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CFB716">
      <w:pPr>
        <w:pStyle w:val="18"/>
        <w:jc w:val="center"/>
        <w:rPr>
          <w:rFonts w:hint="eastAsia" w:hAnsi="宋体"/>
          <w:b/>
          <w:color w:val="auto"/>
          <w:sz w:val="52"/>
          <w:szCs w:val="52"/>
          <w:lang w:eastAsia="zh-CN"/>
        </w:rPr>
      </w:pPr>
      <w:bookmarkStart w:id="0" w:name="_Toc381880843"/>
      <w:bookmarkStart w:id="168" w:name="_GoBack"/>
      <w:r>
        <w:rPr>
          <w:rFonts w:hint="eastAsia" w:hAnsi="宋体"/>
          <w:b/>
          <w:color w:val="auto"/>
          <w:sz w:val="52"/>
          <w:szCs w:val="52"/>
          <w:lang w:eastAsia="zh-CN"/>
        </w:rPr>
        <w:t>邹城市钢山街道办事处钢山花园小区李官村三期热力工程</w:t>
      </w:r>
    </w:p>
    <w:p w14:paraId="2DFC204C">
      <w:pPr>
        <w:pStyle w:val="18"/>
        <w:jc w:val="center"/>
        <w:rPr>
          <w:rFonts w:hint="eastAsia" w:hAnsi="宋体"/>
          <w:b/>
          <w:color w:val="auto"/>
          <w:sz w:val="52"/>
          <w:szCs w:val="52"/>
          <w:lang w:eastAsia="zh-CN"/>
        </w:rPr>
      </w:pPr>
    </w:p>
    <w:p w14:paraId="2CC7E217">
      <w:pPr>
        <w:pStyle w:val="18"/>
        <w:jc w:val="center"/>
        <w:outlineLvl w:val="0"/>
        <w:rPr>
          <w:rFonts w:hAnsi="宋体"/>
          <w:b/>
          <w:color w:val="auto"/>
          <w:sz w:val="72"/>
          <w:szCs w:val="72"/>
        </w:rPr>
      </w:pPr>
      <w:bookmarkStart w:id="1" w:name="_Toc19227"/>
      <w:r>
        <w:rPr>
          <w:rFonts w:hint="eastAsia" w:hAnsi="宋体"/>
          <w:b/>
          <w:color w:val="auto"/>
          <w:sz w:val="72"/>
          <w:szCs w:val="72"/>
        </w:rPr>
        <w:t>竞争性磋商文件</w:t>
      </w:r>
      <w:bookmarkEnd w:id="0"/>
      <w:bookmarkEnd w:id="1"/>
    </w:p>
    <w:p w14:paraId="2D3D12F1">
      <w:pPr>
        <w:pStyle w:val="18"/>
        <w:jc w:val="center"/>
        <w:rPr>
          <w:rFonts w:hint="eastAsia" w:hAnsi="宋体" w:eastAsia="宋体"/>
          <w:b/>
          <w:color w:val="auto"/>
          <w:sz w:val="18"/>
          <w:szCs w:val="18"/>
          <w:lang w:eastAsia="zh-CN"/>
        </w:rPr>
      </w:pPr>
    </w:p>
    <w:p w14:paraId="43C55680">
      <w:pPr>
        <w:pStyle w:val="18"/>
        <w:ind w:firstLine="2872" w:firstLineChars="894"/>
        <w:outlineLvl w:val="0"/>
        <w:rPr>
          <w:rFonts w:hint="eastAsia" w:hAnsi="宋体" w:eastAsia="宋体"/>
          <w:b/>
          <w:color w:val="auto"/>
          <w:sz w:val="32"/>
          <w:lang w:val="en-US" w:eastAsia="zh-CN"/>
        </w:rPr>
      </w:pPr>
      <w:bookmarkStart w:id="2" w:name="_Toc1930"/>
      <w:r>
        <w:rPr>
          <w:rFonts w:hint="eastAsia" w:hAnsi="宋体"/>
          <w:b/>
          <w:color w:val="auto"/>
          <w:sz w:val="32"/>
        </w:rPr>
        <w:t>项目编号</w:t>
      </w:r>
      <w:bookmarkEnd w:id="2"/>
      <w:r>
        <w:rPr>
          <w:rFonts w:hint="eastAsia" w:hAnsi="宋体"/>
          <w:b/>
          <w:color w:val="auto"/>
          <w:sz w:val="32"/>
          <w:lang w:val="en-US" w:eastAsia="zh-CN"/>
        </w:rPr>
        <w:t>:</w:t>
      </w:r>
      <w:r>
        <w:rPr>
          <w:rFonts w:hint="eastAsia" w:hAnsi="宋体"/>
          <w:b/>
          <w:color w:val="auto"/>
          <w:sz w:val="32"/>
          <w:lang w:eastAsia="zh-CN"/>
        </w:rPr>
        <w:t>SDTS-ZCZB2025-021</w:t>
      </w:r>
    </w:p>
    <w:p w14:paraId="5CB8D601">
      <w:pPr>
        <w:jc w:val="center"/>
        <w:rPr>
          <w:rFonts w:ascii="宋体" w:hAnsi="宋体"/>
          <w:b/>
          <w:color w:val="auto"/>
          <w:sz w:val="36"/>
          <w:szCs w:val="36"/>
        </w:rPr>
      </w:pPr>
    </w:p>
    <w:p w14:paraId="6ED48152">
      <w:pPr>
        <w:jc w:val="center"/>
        <w:rPr>
          <w:rFonts w:ascii="宋体" w:hAnsi="宋体"/>
          <w:b/>
          <w:color w:val="auto"/>
          <w:sz w:val="36"/>
          <w:szCs w:val="36"/>
        </w:rPr>
      </w:pPr>
    </w:p>
    <w:p w14:paraId="5AE4D7DC">
      <w:pPr>
        <w:jc w:val="center"/>
        <w:rPr>
          <w:rFonts w:ascii="宋体" w:hAnsi="宋体"/>
          <w:b/>
          <w:bCs/>
          <w:color w:val="auto"/>
          <w:kern w:val="16"/>
          <w:sz w:val="36"/>
          <w:szCs w:val="36"/>
        </w:rPr>
      </w:pPr>
    </w:p>
    <w:p w14:paraId="63644B83">
      <w:pPr>
        <w:pStyle w:val="10"/>
        <w:rPr>
          <w:rFonts w:ascii="宋体" w:hAnsi="宋体"/>
          <w:b/>
          <w:bCs/>
          <w:color w:val="auto"/>
          <w:kern w:val="16"/>
          <w:sz w:val="36"/>
          <w:szCs w:val="36"/>
        </w:rPr>
      </w:pPr>
    </w:p>
    <w:p w14:paraId="0511BFDE">
      <w:pPr>
        <w:rPr>
          <w:rFonts w:ascii="宋体" w:hAnsi="宋体"/>
          <w:b/>
          <w:bCs/>
          <w:color w:val="auto"/>
          <w:kern w:val="16"/>
          <w:sz w:val="36"/>
          <w:szCs w:val="36"/>
        </w:rPr>
      </w:pPr>
    </w:p>
    <w:p w14:paraId="1310C065">
      <w:pPr>
        <w:rPr>
          <w:rFonts w:ascii="宋体" w:hAnsi="宋体"/>
          <w:b/>
          <w:bCs/>
          <w:color w:val="auto"/>
          <w:kern w:val="16"/>
          <w:sz w:val="36"/>
          <w:szCs w:val="36"/>
        </w:rPr>
      </w:pPr>
    </w:p>
    <w:p w14:paraId="33AFBB1B">
      <w:pPr>
        <w:pStyle w:val="85"/>
        <w:spacing w:line="600" w:lineRule="auto"/>
        <w:ind w:firstLine="1446" w:firstLineChars="400"/>
        <w:jc w:val="both"/>
        <w:rPr>
          <w:rFonts w:hint="eastAsia" w:ascii="宋体" w:hAnsi="宋体"/>
          <w:b/>
          <w:color w:val="auto"/>
          <w:sz w:val="36"/>
          <w:szCs w:val="36"/>
        </w:rPr>
      </w:pPr>
    </w:p>
    <w:p w14:paraId="61728ACE">
      <w:pPr>
        <w:pStyle w:val="85"/>
        <w:spacing w:line="600" w:lineRule="auto"/>
        <w:ind w:firstLine="1446" w:firstLineChars="400"/>
        <w:jc w:val="both"/>
        <w:rPr>
          <w:rFonts w:hint="eastAsia" w:ascii="宋体" w:hAnsi="宋体"/>
          <w:b/>
          <w:color w:val="auto"/>
          <w:sz w:val="36"/>
          <w:szCs w:val="36"/>
        </w:rPr>
      </w:pPr>
    </w:p>
    <w:p w14:paraId="7EC2A74E">
      <w:pPr>
        <w:pStyle w:val="85"/>
        <w:spacing w:line="600" w:lineRule="auto"/>
        <w:ind w:firstLine="1446" w:firstLineChars="400"/>
        <w:jc w:val="both"/>
        <w:rPr>
          <w:rFonts w:hint="eastAsia" w:ascii="宋体" w:hAnsi="宋体"/>
          <w:b/>
          <w:color w:val="auto"/>
          <w:sz w:val="36"/>
          <w:szCs w:val="36"/>
        </w:rPr>
      </w:pPr>
    </w:p>
    <w:p w14:paraId="57485BB4">
      <w:pPr>
        <w:pStyle w:val="85"/>
        <w:spacing w:line="600" w:lineRule="auto"/>
        <w:ind w:firstLine="1446" w:firstLineChars="400"/>
        <w:jc w:val="both"/>
        <w:rPr>
          <w:rFonts w:hint="eastAsia" w:ascii="宋体" w:hAnsi="宋体"/>
          <w:b/>
          <w:color w:val="auto"/>
          <w:sz w:val="36"/>
          <w:szCs w:val="36"/>
        </w:rPr>
      </w:pPr>
    </w:p>
    <w:p w14:paraId="0F5DDC13">
      <w:pPr>
        <w:pStyle w:val="85"/>
        <w:spacing w:line="600" w:lineRule="auto"/>
        <w:ind w:firstLine="1446" w:firstLineChars="400"/>
        <w:jc w:val="both"/>
        <w:outlineLvl w:val="0"/>
        <w:rPr>
          <w:rFonts w:hint="eastAsia" w:ascii="宋体" w:hAnsi="宋体" w:eastAsia="宋体"/>
          <w:b/>
          <w:color w:val="auto"/>
          <w:sz w:val="36"/>
          <w:szCs w:val="36"/>
          <w:lang w:val="en-US" w:eastAsia="zh-CN"/>
        </w:rPr>
      </w:pPr>
      <w:bookmarkStart w:id="3" w:name="_Toc23738"/>
      <w:r>
        <w:rPr>
          <w:rFonts w:hint="eastAsia" w:ascii="宋体" w:hAnsi="宋体"/>
          <w:b/>
          <w:color w:val="auto"/>
          <w:sz w:val="36"/>
          <w:szCs w:val="36"/>
        </w:rPr>
        <w:t>采 购 人：</w:t>
      </w:r>
      <w:bookmarkEnd w:id="3"/>
      <w:r>
        <w:rPr>
          <w:rFonts w:hint="eastAsia" w:ascii="宋体" w:hAnsi="宋体"/>
          <w:b/>
          <w:color w:val="auto"/>
          <w:sz w:val="36"/>
          <w:szCs w:val="36"/>
          <w:lang w:eastAsia="zh-CN"/>
        </w:rPr>
        <w:t>邹城市钢山街道李官庄村村民委员会</w:t>
      </w:r>
    </w:p>
    <w:p w14:paraId="0D0217CC">
      <w:pPr>
        <w:pStyle w:val="85"/>
        <w:spacing w:line="600" w:lineRule="auto"/>
        <w:ind w:firstLine="1446" w:firstLineChars="400"/>
        <w:jc w:val="both"/>
        <w:rPr>
          <w:rFonts w:hint="eastAsia" w:ascii="宋体" w:hAnsi="宋体" w:eastAsia="宋体"/>
          <w:b/>
          <w:color w:val="auto"/>
          <w:sz w:val="36"/>
          <w:szCs w:val="36"/>
          <w:lang w:eastAsia="zh-CN"/>
        </w:rPr>
      </w:pPr>
      <w:r>
        <w:rPr>
          <w:rFonts w:hint="eastAsia" w:ascii="宋体" w:hAnsi="宋体"/>
          <w:b/>
          <w:color w:val="auto"/>
          <w:sz w:val="36"/>
          <w:szCs w:val="36"/>
        </w:rPr>
        <w:t>代理机构：</w:t>
      </w:r>
      <w:r>
        <w:rPr>
          <w:rFonts w:hint="eastAsia" w:ascii="宋体" w:hAnsi="宋体"/>
          <w:b/>
          <w:color w:val="auto"/>
          <w:sz w:val="36"/>
          <w:szCs w:val="36"/>
          <w:lang w:eastAsia="zh-CN"/>
        </w:rPr>
        <w:t>山东泰山工程项目管理有限公司</w:t>
      </w:r>
    </w:p>
    <w:p w14:paraId="6AD4823D">
      <w:pPr>
        <w:tabs>
          <w:tab w:val="left" w:pos="1080"/>
        </w:tabs>
        <w:spacing w:line="600" w:lineRule="auto"/>
        <w:ind w:firstLine="1446" w:firstLineChars="400"/>
        <w:rPr>
          <w:rFonts w:ascii="宋体" w:hAnsi="宋体"/>
          <w:b/>
          <w:color w:val="auto"/>
          <w:sz w:val="36"/>
          <w:szCs w:val="36"/>
        </w:rPr>
        <w:sectPr>
          <w:headerReference r:id="rId4" w:type="first"/>
          <w:footerReference r:id="rId6" w:type="first"/>
          <w:headerReference r:id="rId3" w:type="default"/>
          <w:footerReference r:id="rId5" w:type="default"/>
          <w:pgSz w:w="11906" w:h="16838"/>
          <w:pgMar w:top="1440" w:right="1080" w:bottom="1440" w:left="1080" w:header="851" w:footer="992" w:gutter="0"/>
          <w:pgNumType w:start="0"/>
          <w:cols w:space="720" w:num="1"/>
          <w:docGrid w:type="lines" w:linePitch="286" w:charSpace="0"/>
        </w:sectPr>
      </w:pPr>
      <w:r>
        <w:rPr>
          <w:rFonts w:hint="eastAsia" w:ascii="宋体" w:hAnsi="宋体"/>
          <w:b/>
          <w:color w:val="auto"/>
          <w:sz w:val="36"/>
          <w:szCs w:val="36"/>
        </w:rPr>
        <w:t>日    期：二○二</w:t>
      </w:r>
      <w:r>
        <w:rPr>
          <w:rFonts w:hint="eastAsia" w:ascii="宋体" w:hAnsi="宋体"/>
          <w:b/>
          <w:color w:val="auto"/>
          <w:sz w:val="36"/>
          <w:szCs w:val="36"/>
          <w:lang w:eastAsia="zh-CN"/>
        </w:rPr>
        <w:t>五</w:t>
      </w:r>
      <w:r>
        <w:rPr>
          <w:rFonts w:hint="eastAsia" w:ascii="宋体" w:hAnsi="宋体"/>
          <w:b/>
          <w:color w:val="auto"/>
          <w:sz w:val="36"/>
          <w:szCs w:val="36"/>
        </w:rPr>
        <w:t>年</w:t>
      </w:r>
      <w:r>
        <w:rPr>
          <w:rFonts w:hint="eastAsia" w:ascii="宋体" w:hAnsi="宋体"/>
          <w:b/>
          <w:color w:val="auto"/>
          <w:sz w:val="36"/>
          <w:szCs w:val="36"/>
          <w:lang w:eastAsia="zh-CN"/>
        </w:rPr>
        <w:t>六</w:t>
      </w:r>
      <w:r>
        <w:rPr>
          <w:rFonts w:hint="eastAsia" w:ascii="宋体" w:hAnsi="宋体"/>
          <w:b/>
          <w:color w:val="auto"/>
          <w:sz w:val="36"/>
          <w:szCs w:val="36"/>
        </w:rPr>
        <w:t>月</w:t>
      </w:r>
    </w:p>
    <w:sdt>
      <w:sdtPr>
        <w:rPr>
          <w:rFonts w:ascii="宋体" w:hAnsi="宋体" w:eastAsia="宋体" w:cs="Times New Roman"/>
          <w:color w:val="auto"/>
          <w:kern w:val="2"/>
          <w:sz w:val="21"/>
          <w:szCs w:val="24"/>
          <w:lang w:val="en-US" w:eastAsia="zh-CN" w:bidi="ar-SA"/>
        </w:rPr>
        <w:id w:val="147477112"/>
        <w15:color w:val="DBDBDB"/>
        <w:docPartObj>
          <w:docPartGallery w:val="Table of Contents"/>
          <w:docPartUnique/>
        </w:docPartObj>
      </w:sdtPr>
      <w:sdtEndPr>
        <w:rPr>
          <w:rFonts w:ascii="宋体" w:hAnsi="宋体" w:eastAsia="宋体" w:cs="Times New Roman"/>
          <w:color w:val="auto"/>
          <w:kern w:val="2"/>
          <w:sz w:val="21"/>
          <w:szCs w:val="24"/>
          <w:lang w:val="en-US" w:eastAsia="zh-CN" w:bidi="ar-SA"/>
        </w:rPr>
      </w:sdtEndPr>
      <w:sdtContent>
        <w:p w14:paraId="40FEAF89">
          <w:pPr>
            <w:spacing w:before="0" w:beforeLines="0" w:after="0" w:afterLines="0" w:line="240" w:lineRule="auto"/>
            <w:ind w:left="0" w:leftChars="0" w:right="0" w:rightChars="0" w:firstLine="0" w:firstLineChars="0"/>
            <w:jc w:val="center"/>
            <w:rPr>
              <w:b/>
              <w:bCs/>
              <w:color w:val="auto"/>
              <w:sz w:val="28"/>
              <w:szCs w:val="36"/>
            </w:rPr>
          </w:pPr>
          <w:r>
            <w:rPr>
              <w:rFonts w:ascii="宋体" w:hAnsi="宋体" w:eastAsia="宋体"/>
              <w:b/>
              <w:bCs/>
              <w:color w:val="auto"/>
              <w:sz w:val="28"/>
              <w:szCs w:val="36"/>
            </w:rPr>
            <w:t>目</w:t>
          </w:r>
          <w:r>
            <w:rPr>
              <w:rFonts w:hint="eastAsia" w:ascii="宋体" w:hAnsi="宋体" w:eastAsia="宋体"/>
              <w:b/>
              <w:bCs/>
              <w:color w:val="auto"/>
              <w:sz w:val="28"/>
              <w:szCs w:val="36"/>
              <w:lang w:val="en-US" w:eastAsia="zh-CN"/>
            </w:rPr>
            <w:t xml:space="preserve"> </w:t>
          </w:r>
          <w:r>
            <w:rPr>
              <w:rFonts w:ascii="宋体" w:hAnsi="宋体" w:eastAsia="宋体"/>
              <w:b/>
              <w:bCs/>
              <w:color w:val="auto"/>
              <w:sz w:val="28"/>
              <w:szCs w:val="36"/>
            </w:rPr>
            <w:t>录</w:t>
          </w:r>
        </w:p>
        <w:p w14:paraId="05E9238A">
          <w:pPr>
            <w:pStyle w:val="191"/>
            <w:tabs>
              <w:tab w:val="right" w:leader="dot" w:pos="9746"/>
            </w:tabs>
            <w:rPr>
              <w:color w:val="auto"/>
            </w:rPr>
          </w:pPr>
          <w:r>
            <w:rPr>
              <w:rFonts w:ascii="宋体" w:hAnsi="宋体"/>
              <w:color w:val="auto"/>
              <w:sz w:val="24"/>
            </w:rPr>
            <w:fldChar w:fldCharType="begin"/>
          </w:r>
          <w:r>
            <w:rPr>
              <w:rFonts w:ascii="宋体" w:hAnsi="宋体"/>
              <w:color w:val="auto"/>
              <w:sz w:val="24"/>
            </w:rPr>
            <w:instrText xml:space="preserve">TOC \o "1-1" \h \u </w:instrText>
          </w:r>
          <w:r>
            <w:rPr>
              <w:rFonts w:ascii="宋体" w:hAnsi="宋体"/>
              <w:color w:val="auto"/>
              <w:sz w:val="24"/>
            </w:rPr>
            <w:fldChar w:fldCharType="separate"/>
          </w:r>
        </w:p>
        <w:p w14:paraId="5F79D498">
          <w:pPr>
            <w:pStyle w:val="191"/>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_Toc27750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第一部分  竞争性磋商公告</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_Toc27750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2</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14:paraId="3BA63B10">
          <w:pPr>
            <w:pStyle w:val="191"/>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_Toc17307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lang w:eastAsia="zh-CN"/>
            </w:rPr>
            <w:t>第二部分</w:t>
          </w:r>
          <w:r>
            <w:rPr>
              <w:rFonts w:hint="eastAsia" w:ascii="宋体" w:hAnsi="宋体" w:eastAsia="宋体" w:cs="宋体"/>
              <w:color w:val="auto"/>
              <w:sz w:val="24"/>
              <w:szCs w:val="24"/>
            </w:rPr>
            <w:t xml:space="preserve"> 磋商响应方须知</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_Toc17307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5</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14:paraId="22AC3BD2">
          <w:pPr>
            <w:pStyle w:val="191"/>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_Toc20347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lang w:val="en-US" w:eastAsia="zh-CN"/>
            </w:rPr>
            <w:t>第三部分  磋商组织、步骤与评审方法</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_Toc20347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15</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14:paraId="0C9B94CE">
          <w:pPr>
            <w:pStyle w:val="191"/>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_Toc19153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lang w:val="en-US" w:eastAsia="zh-CN"/>
            </w:rPr>
            <w:t>第四部分  采购内容及要求</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_Toc19153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19</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14:paraId="148A765A">
          <w:pPr>
            <w:pStyle w:val="191"/>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_Toc16799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第五部分  合同授予</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_Toc16799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24</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14:paraId="12743DA7">
          <w:pPr>
            <w:pStyle w:val="191"/>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color w:val="auto"/>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_Toc30486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第六部分  响应文件格式</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_Toc30486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106</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14:paraId="13C548A8">
          <w:pPr>
            <w:tabs>
              <w:tab w:val="left" w:pos="1080"/>
            </w:tabs>
            <w:snapToGrid w:val="0"/>
            <w:spacing w:line="720" w:lineRule="auto"/>
            <w:ind w:firstLine="3045" w:firstLineChars="1450"/>
            <w:rPr>
              <w:rFonts w:ascii="宋体" w:hAnsi="宋体"/>
              <w:color w:val="auto"/>
              <w:sz w:val="24"/>
            </w:rPr>
          </w:pPr>
          <w:r>
            <w:rPr>
              <w:rFonts w:ascii="宋体" w:hAnsi="宋体"/>
              <w:color w:val="auto"/>
            </w:rPr>
            <w:fldChar w:fldCharType="end"/>
          </w:r>
        </w:p>
      </w:sdtContent>
    </w:sdt>
    <w:p w14:paraId="48A14670">
      <w:pPr>
        <w:spacing w:line="360" w:lineRule="auto"/>
        <w:jc w:val="center"/>
        <w:outlineLvl w:val="9"/>
        <w:rPr>
          <w:rFonts w:ascii="宋体" w:hAnsi="宋体"/>
          <w:b/>
          <w:color w:val="auto"/>
          <w:sz w:val="32"/>
          <w:szCs w:val="32"/>
        </w:rPr>
      </w:pPr>
      <w:bookmarkStart w:id="4" w:name="_Toc15040"/>
    </w:p>
    <w:p w14:paraId="7207DBF6">
      <w:pPr>
        <w:spacing w:line="360" w:lineRule="auto"/>
        <w:jc w:val="center"/>
        <w:outlineLvl w:val="9"/>
        <w:rPr>
          <w:rFonts w:ascii="宋体" w:hAnsi="宋体"/>
          <w:b/>
          <w:color w:val="auto"/>
          <w:sz w:val="32"/>
          <w:szCs w:val="32"/>
        </w:rPr>
      </w:pPr>
    </w:p>
    <w:p w14:paraId="55535E10">
      <w:pPr>
        <w:spacing w:line="360" w:lineRule="auto"/>
        <w:jc w:val="center"/>
        <w:outlineLvl w:val="9"/>
        <w:rPr>
          <w:rFonts w:ascii="宋体" w:hAnsi="宋体"/>
          <w:color w:val="auto"/>
          <w:sz w:val="32"/>
          <w:szCs w:val="32"/>
        </w:rPr>
      </w:pPr>
    </w:p>
    <w:p w14:paraId="45487D9C">
      <w:pPr>
        <w:tabs>
          <w:tab w:val="left" w:pos="6210"/>
        </w:tabs>
        <w:rPr>
          <w:rFonts w:ascii="宋体" w:hAnsi="宋体"/>
          <w:color w:val="auto"/>
          <w:sz w:val="32"/>
          <w:szCs w:val="32"/>
        </w:rPr>
        <w:sectPr>
          <w:headerReference r:id="rId7" w:type="default"/>
          <w:footerReference r:id="rId8" w:type="default"/>
          <w:pgSz w:w="11906" w:h="16838"/>
          <w:pgMar w:top="1440" w:right="1080" w:bottom="1440" w:left="1080" w:header="851" w:footer="992" w:gutter="0"/>
          <w:pgNumType w:fmt="decimal" w:start="1"/>
          <w:cols w:space="720" w:num="1"/>
          <w:docGrid w:type="lines" w:linePitch="286" w:charSpace="0"/>
        </w:sectPr>
      </w:pPr>
      <w:r>
        <w:rPr>
          <w:rFonts w:ascii="宋体" w:hAnsi="宋体"/>
          <w:color w:val="auto"/>
          <w:sz w:val="32"/>
          <w:szCs w:val="32"/>
        </w:rPr>
        <w:tab/>
      </w:r>
    </w:p>
    <w:p w14:paraId="1C62FE24">
      <w:pPr>
        <w:pStyle w:val="3"/>
        <w:bidi w:val="0"/>
        <w:jc w:val="center"/>
        <w:outlineLvl w:val="0"/>
        <w:rPr>
          <w:rFonts w:hint="eastAsia" w:ascii="宋体" w:hAnsi="宋体" w:eastAsia="宋体" w:cs="宋体"/>
          <w:color w:val="auto"/>
          <w:sz w:val="24"/>
          <w:szCs w:val="24"/>
        </w:rPr>
      </w:pPr>
      <w:bookmarkStart w:id="5" w:name="_Toc27750"/>
      <w:r>
        <w:rPr>
          <w:rFonts w:hint="eastAsia" w:ascii="宋体" w:hAnsi="宋体" w:eastAsia="宋体" w:cs="宋体"/>
          <w:color w:val="auto"/>
          <w:sz w:val="24"/>
          <w:szCs w:val="24"/>
        </w:rPr>
        <w:t>第一部分  竞争性磋商公告</w:t>
      </w:r>
      <w:bookmarkEnd w:id="4"/>
      <w:bookmarkEnd w:id="5"/>
    </w:p>
    <w:p w14:paraId="0AE6A364">
      <w:pPr>
        <w:keepNext w:val="0"/>
        <w:keepLines w:val="0"/>
        <w:pageBreakBefore w:val="0"/>
        <w:widowControl/>
        <w:shd w:val="clear" w:color="auto" w:fill="FFFFFF"/>
        <w:kinsoku/>
        <w:wordWrap/>
        <w:overflowPunct/>
        <w:topLinePunct w:val="0"/>
        <w:autoSpaceDE/>
        <w:autoSpaceDN/>
        <w:bidi w:val="0"/>
        <w:spacing w:line="360" w:lineRule="auto"/>
        <w:ind w:firstLine="482" w:firstLineChars="200"/>
        <w:jc w:val="center"/>
        <w:textAlignment w:val="auto"/>
        <w:rPr>
          <w:rFonts w:hint="eastAsia" w:ascii="宋体" w:hAnsi="宋体" w:cs="Helvetica"/>
          <w:b/>
          <w:bCs/>
          <w:color w:val="auto"/>
          <w:kern w:val="0"/>
          <w:sz w:val="24"/>
          <w:lang w:val="en" w:eastAsia="zh-CN"/>
        </w:rPr>
      </w:pPr>
      <w:bookmarkStart w:id="6" w:name="_Hlk62638239"/>
      <w:r>
        <w:rPr>
          <w:rFonts w:hint="eastAsia" w:ascii="宋体" w:hAnsi="宋体" w:cs="Helvetica"/>
          <w:b/>
          <w:bCs/>
          <w:color w:val="auto"/>
          <w:kern w:val="0"/>
          <w:sz w:val="24"/>
          <w:lang w:val="en" w:eastAsia="zh-CN"/>
        </w:rPr>
        <w:t>邹城市钢山街道办事处钢山花园小区李官村三期热力工程</w:t>
      </w:r>
    </w:p>
    <w:p w14:paraId="737E155A">
      <w:pPr>
        <w:keepNext w:val="0"/>
        <w:keepLines w:val="0"/>
        <w:pageBreakBefore w:val="0"/>
        <w:widowControl/>
        <w:shd w:val="clear" w:color="auto" w:fill="FFFFFF"/>
        <w:kinsoku/>
        <w:wordWrap/>
        <w:overflowPunct/>
        <w:topLinePunct w:val="0"/>
        <w:autoSpaceDE/>
        <w:autoSpaceDN/>
        <w:bidi w:val="0"/>
        <w:spacing w:line="360" w:lineRule="auto"/>
        <w:ind w:firstLine="482" w:firstLineChars="200"/>
        <w:jc w:val="center"/>
        <w:textAlignment w:val="auto"/>
        <w:rPr>
          <w:rFonts w:ascii="宋体" w:hAnsi="宋体" w:cs="Helvetica"/>
          <w:b/>
          <w:bCs/>
          <w:color w:val="auto"/>
          <w:kern w:val="0"/>
          <w:sz w:val="24"/>
          <w:lang w:val="en"/>
        </w:rPr>
      </w:pPr>
      <w:r>
        <w:rPr>
          <w:rFonts w:hint="eastAsia" w:ascii="宋体" w:hAnsi="宋体" w:cs="Helvetica"/>
          <w:b/>
          <w:bCs/>
          <w:color w:val="auto"/>
          <w:kern w:val="0"/>
          <w:sz w:val="24"/>
          <w:lang w:val="en"/>
        </w:rPr>
        <w:t>竞争性磋商公告</w:t>
      </w:r>
    </w:p>
    <w:p w14:paraId="3EFC4338">
      <w:pPr>
        <w:keepNext w:val="0"/>
        <w:keepLines w:val="0"/>
        <w:pageBreakBefore w:val="0"/>
        <w:widowControl/>
        <w:shd w:val="clear" w:color="auto" w:fill="FFFFFF"/>
        <w:kinsoku/>
        <w:wordWrap/>
        <w:overflowPunct/>
        <w:topLinePunct w:val="0"/>
        <w:autoSpaceDE/>
        <w:autoSpaceDN/>
        <w:bidi w:val="0"/>
        <w:spacing w:line="360" w:lineRule="auto"/>
        <w:ind w:firstLine="482" w:firstLineChars="200"/>
        <w:jc w:val="left"/>
        <w:textAlignment w:val="auto"/>
        <w:rPr>
          <w:rFonts w:hint="eastAsia" w:ascii="宋体" w:hAnsi="宋体" w:eastAsia="宋体" w:cs="宋体"/>
          <w:b/>
          <w:bCs/>
          <w:color w:val="auto"/>
          <w:kern w:val="0"/>
          <w:sz w:val="24"/>
          <w:lang w:eastAsia="zh-CN"/>
        </w:rPr>
      </w:pPr>
      <w:bookmarkStart w:id="7" w:name="_Hlk52379596"/>
      <w:r>
        <w:rPr>
          <w:rFonts w:hint="eastAsia" w:ascii="宋体" w:hAnsi="宋体" w:cs="宋体"/>
          <w:b/>
          <w:bCs/>
          <w:color w:val="auto"/>
          <w:kern w:val="0"/>
          <w:sz w:val="24"/>
        </w:rPr>
        <w:t>一、采 购 人：</w:t>
      </w:r>
      <w:r>
        <w:rPr>
          <w:rFonts w:hint="eastAsia" w:ascii="宋体" w:hAnsi="宋体" w:cs="宋体"/>
          <w:b w:val="0"/>
          <w:bCs w:val="0"/>
          <w:color w:val="auto"/>
          <w:kern w:val="0"/>
          <w:sz w:val="24"/>
          <w:lang w:eastAsia="zh-CN"/>
        </w:rPr>
        <w:t>邹城市钢山街道李官庄村村民委员会</w:t>
      </w:r>
    </w:p>
    <w:p w14:paraId="7E5CD562">
      <w:pPr>
        <w:keepNext w:val="0"/>
        <w:keepLines w:val="0"/>
        <w:pageBreakBefore w:val="0"/>
        <w:widowControl/>
        <w:shd w:val="clear" w:color="auto" w:fill="FFFFFF"/>
        <w:kinsoku/>
        <w:wordWrap/>
        <w:overflowPunct/>
        <w:topLinePunct w:val="0"/>
        <w:autoSpaceDE/>
        <w:autoSpaceDN/>
        <w:bidi w:val="0"/>
        <w:spacing w:line="360" w:lineRule="auto"/>
        <w:ind w:firstLine="482" w:firstLineChars="200"/>
        <w:jc w:val="left"/>
        <w:textAlignment w:val="auto"/>
        <w:rPr>
          <w:rFonts w:hint="eastAsia" w:ascii="宋体" w:hAnsi="宋体" w:eastAsia="宋体" w:cs="宋体"/>
          <w:b/>
          <w:bCs/>
          <w:color w:val="auto"/>
          <w:kern w:val="0"/>
          <w:sz w:val="24"/>
          <w:lang w:eastAsia="zh-CN"/>
        </w:rPr>
      </w:pPr>
      <w:r>
        <w:rPr>
          <w:rFonts w:hint="eastAsia" w:ascii="宋体" w:hAnsi="宋体" w:cs="宋体"/>
          <w:b/>
          <w:bCs/>
          <w:color w:val="auto"/>
          <w:kern w:val="0"/>
          <w:sz w:val="24"/>
        </w:rPr>
        <w:t>二、项目名称：</w:t>
      </w:r>
      <w:r>
        <w:rPr>
          <w:rFonts w:hint="eastAsia" w:ascii="宋体" w:hAnsi="宋体" w:cs="宋体"/>
          <w:b w:val="0"/>
          <w:bCs w:val="0"/>
          <w:color w:val="auto"/>
          <w:kern w:val="0"/>
          <w:sz w:val="24"/>
          <w:lang w:eastAsia="zh-CN"/>
        </w:rPr>
        <w:t>邹城市钢山街道办事处钢山花园小区李官村三期热力工程</w:t>
      </w:r>
    </w:p>
    <w:p w14:paraId="72089A75">
      <w:pPr>
        <w:keepNext w:val="0"/>
        <w:keepLines w:val="0"/>
        <w:pageBreakBefore w:val="0"/>
        <w:widowControl/>
        <w:shd w:val="clear" w:color="auto" w:fill="FFFFFF"/>
        <w:kinsoku/>
        <w:wordWrap/>
        <w:overflowPunct/>
        <w:topLinePunct w:val="0"/>
        <w:autoSpaceDE/>
        <w:autoSpaceDN/>
        <w:bidi w:val="0"/>
        <w:spacing w:line="360" w:lineRule="auto"/>
        <w:ind w:firstLine="482" w:firstLineChars="200"/>
        <w:jc w:val="left"/>
        <w:textAlignment w:val="auto"/>
        <w:rPr>
          <w:rFonts w:hint="eastAsia" w:ascii="宋体" w:hAnsi="宋体" w:cs="宋体"/>
          <w:b w:val="0"/>
          <w:bCs w:val="0"/>
          <w:color w:val="auto"/>
          <w:kern w:val="0"/>
          <w:sz w:val="24"/>
          <w:lang w:val="en-US" w:eastAsia="zh-CN"/>
        </w:rPr>
      </w:pPr>
      <w:r>
        <w:rPr>
          <w:rFonts w:hint="eastAsia" w:ascii="宋体" w:hAnsi="宋体" w:cs="宋体"/>
          <w:b/>
          <w:bCs/>
          <w:color w:val="auto"/>
          <w:kern w:val="0"/>
          <w:sz w:val="24"/>
        </w:rPr>
        <w:t>三、项目编号：</w:t>
      </w:r>
      <w:r>
        <w:rPr>
          <w:rFonts w:hint="eastAsia" w:ascii="宋体" w:hAnsi="宋体" w:cs="宋体"/>
          <w:b w:val="0"/>
          <w:bCs w:val="0"/>
          <w:color w:val="auto"/>
          <w:kern w:val="0"/>
          <w:sz w:val="24"/>
          <w:lang w:eastAsia="zh-CN"/>
        </w:rPr>
        <w:t>SDTS-ZCZB2025-021</w:t>
      </w:r>
    </w:p>
    <w:p w14:paraId="2B8FFC39">
      <w:pPr>
        <w:keepNext w:val="0"/>
        <w:keepLines w:val="0"/>
        <w:pageBreakBefore w:val="0"/>
        <w:widowControl/>
        <w:shd w:val="clear" w:color="auto" w:fill="FFFFFF"/>
        <w:kinsoku/>
        <w:wordWrap/>
        <w:overflowPunct/>
        <w:topLinePunct w:val="0"/>
        <w:autoSpaceDE/>
        <w:autoSpaceDN/>
        <w:bidi w:val="0"/>
        <w:spacing w:line="360" w:lineRule="auto"/>
        <w:ind w:firstLine="482" w:firstLineChars="200"/>
        <w:jc w:val="left"/>
        <w:textAlignment w:val="auto"/>
        <w:rPr>
          <w:rFonts w:hint="eastAsia" w:ascii="宋体" w:hAnsi="宋体" w:cs="宋体"/>
          <w:b/>
          <w:bCs/>
          <w:color w:val="auto"/>
          <w:kern w:val="0"/>
          <w:sz w:val="24"/>
          <w:lang w:eastAsia="zh-CN"/>
        </w:rPr>
      </w:pPr>
      <w:r>
        <w:rPr>
          <w:rFonts w:hint="eastAsia" w:ascii="宋体" w:hAnsi="宋体" w:cs="宋体"/>
          <w:b/>
          <w:bCs/>
          <w:color w:val="auto"/>
          <w:kern w:val="0"/>
          <w:sz w:val="24"/>
          <w:lang w:eastAsia="zh-CN"/>
        </w:rPr>
        <w:t>四、采购内容：</w:t>
      </w:r>
    </w:p>
    <w:p w14:paraId="415938C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ascii="宋体" w:hAnsi="宋体" w:cs="宋体"/>
          <w:color w:val="auto"/>
          <w:kern w:val="0"/>
          <w:sz w:val="24"/>
        </w:rPr>
      </w:pPr>
      <w:r>
        <w:rPr>
          <w:rFonts w:hint="eastAsia" w:ascii="宋体" w:hAnsi="宋体" w:cs="宋体"/>
          <w:color w:val="auto"/>
          <w:sz w:val="24"/>
          <w:szCs w:val="24"/>
          <w:lang w:eastAsia="zh-CN"/>
        </w:rPr>
        <w:t>邹城市钢山街道办事处钢山花园小区李官村三期热力工程图纸范围内（以施工界面划分为准）的全部施工内容及配套热力机组设备的供货、安装和调试等，主要包括：各类管道沟槽开挖、回填、余土弃置，管道支架安装，管道、阀门安装及配套电气设备（电力电缆、灯具、桥架、配管）安装。本项目施工范围包括：本项目施工范围包括：换热站砖墙砌筑及墙面抹灰，换热站墙面瓷砖铺贴，踢脚线铺贴及地面瓷砖铺贴，换热站格栅板更换，换热站灯具、支架及配套电缆安装；换热站外墙至各住宅楼热力小室热力管道铺设（配套阀门安装等）及相关的管沟开挖、配套土建工程。换热站外墙至商业楼及综合楼热力小室处，接口装置等做法同住宅楼</w:t>
      </w:r>
      <w:r>
        <w:rPr>
          <w:rFonts w:hint="eastAsia" w:ascii="宋体" w:hAnsi="宋体" w:eastAsia="宋体" w:cs="宋体"/>
          <w:color w:val="auto"/>
          <w:sz w:val="24"/>
          <w:szCs w:val="24"/>
          <w:lang w:eastAsia="zh-CN"/>
        </w:rPr>
        <w:t>。采购预算为</w:t>
      </w:r>
      <w:r>
        <w:rPr>
          <w:rFonts w:hint="eastAsia" w:ascii="宋体" w:hAnsi="宋体" w:cs="宋体"/>
          <w:color w:val="auto"/>
          <w:sz w:val="24"/>
          <w:szCs w:val="24"/>
          <w:lang w:eastAsia="zh-CN"/>
        </w:rPr>
        <w:t>2099700.63</w:t>
      </w:r>
      <w:r>
        <w:rPr>
          <w:rFonts w:hint="eastAsia" w:ascii="宋体" w:hAnsi="宋体" w:eastAsia="宋体" w:cs="宋体"/>
          <w:color w:val="auto"/>
          <w:sz w:val="24"/>
          <w:szCs w:val="24"/>
          <w:lang w:eastAsia="zh-CN"/>
        </w:rPr>
        <w:t>元 (</w:t>
      </w:r>
      <w:r>
        <w:rPr>
          <w:rFonts w:hint="eastAsia" w:ascii="宋体" w:hAnsi="宋体" w:cs="宋体"/>
          <w:color w:val="auto"/>
          <w:sz w:val="24"/>
          <w:szCs w:val="24"/>
          <w:lang w:eastAsia="zh-CN"/>
        </w:rPr>
        <w:t>其中：施工采购预算为：1326700.63</w:t>
      </w:r>
      <w:r>
        <w:rPr>
          <w:rFonts w:hint="eastAsia" w:ascii="宋体" w:hAnsi="宋体" w:cs="宋体"/>
          <w:color w:val="auto"/>
          <w:sz w:val="24"/>
          <w:szCs w:val="24"/>
          <w:lang w:val="en-US" w:eastAsia="zh-CN"/>
        </w:rPr>
        <w:t>元，热力机组设备采购预算为773000.00元，</w:t>
      </w:r>
      <w:r>
        <w:rPr>
          <w:rFonts w:hint="eastAsia" w:ascii="宋体" w:hAnsi="宋体" w:eastAsia="宋体" w:cs="宋体"/>
          <w:color w:val="auto"/>
          <w:sz w:val="24"/>
          <w:szCs w:val="24"/>
          <w:lang w:eastAsia="zh-CN"/>
        </w:rPr>
        <w:t>详见第四章采购内容及要求)</w:t>
      </w:r>
      <w:r>
        <w:rPr>
          <w:rFonts w:hint="eastAsia" w:ascii="宋体" w:hAnsi="宋体" w:cs="宋体"/>
          <w:color w:val="auto"/>
          <w:kern w:val="0"/>
          <w:sz w:val="24"/>
          <w:shd w:val="clear" w:color="auto" w:fill="FFFFFF"/>
          <w:lang w:val="en-US" w:eastAsia="zh-CN" w:bidi="ar"/>
        </w:rPr>
        <w:t>。</w:t>
      </w:r>
    </w:p>
    <w:p w14:paraId="4A822170">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ascii="宋体" w:hAnsi="宋体" w:cs="宋体"/>
          <w:b/>
          <w:bCs/>
          <w:color w:val="auto"/>
          <w:kern w:val="0"/>
          <w:sz w:val="24"/>
        </w:rPr>
      </w:pPr>
      <w:r>
        <w:rPr>
          <w:rFonts w:hint="eastAsia" w:ascii="宋体" w:hAnsi="宋体" w:cs="宋体"/>
          <w:b/>
          <w:bCs/>
          <w:color w:val="auto"/>
          <w:kern w:val="0"/>
          <w:sz w:val="24"/>
        </w:rPr>
        <w:t>五、供应商资格要求：</w:t>
      </w:r>
    </w:p>
    <w:p w14:paraId="57EBB84B">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color w:val="auto"/>
          <w:kern w:val="0"/>
          <w:sz w:val="24"/>
        </w:rPr>
      </w:pPr>
      <w:r>
        <w:rPr>
          <w:rFonts w:hint="eastAsia" w:ascii="宋体" w:hAnsi="宋体" w:cs="宋体"/>
          <w:color w:val="auto"/>
          <w:kern w:val="0"/>
          <w:sz w:val="24"/>
        </w:rPr>
        <w:t>1、具备《政府采购法》第二十二条规定的条件。</w:t>
      </w:r>
    </w:p>
    <w:p w14:paraId="09C90376">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Cs/>
          <w:color w:val="auto"/>
          <w:kern w:val="0"/>
          <w:sz w:val="24"/>
        </w:rPr>
      </w:pPr>
      <w:r>
        <w:rPr>
          <w:rFonts w:hint="eastAsia" w:ascii="宋体" w:hAnsi="宋体" w:cs="宋体"/>
          <w:bCs/>
          <w:color w:val="auto"/>
          <w:kern w:val="0"/>
          <w:sz w:val="24"/>
        </w:rPr>
        <w:t>（一）具有独立承担民事责任的能力；</w:t>
      </w:r>
    </w:p>
    <w:p w14:paraId="48191F80">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Cs/>
          <w:color w:val="auto"/>
          <w:kern w:val="0"/>
          <w:sz w:val="24"/>
        </w:rPr>
      </w:pPr>
      <w:r>
        <w:rPr>
          <w:rFonts w:hint="eastAsia" w:ascii="宋体" w:hAnsi="宋体" w:cs="宋体"/>
          <w:bCs/>
          <w:color w:val="auto"/>
          <w:kern w:val="0"/>
          <w:sz w:val="24"/>
        </w:rPr>
        <w:t>（二）具有良好的商业信誉和健全的财务会计制度；</w:t>
      </w:r>
    </w:p>
    <w:p w14:paraId="7D291F2B">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Cs/>
          <w:color w:val="auto"/>
          <w:kern w:val="0"/>
          <w:sz w:val="24"/>
        </w:rPr>
      </w:pPr>
      <w:r>
        <w:rPr>
          <w:rFonts w:hint="eastAsia" w:ascii="宋体" w:hAnsi="宋体" w:cs="宋体"/>
          <w:bCs/>
          <w:color w:val="auto"/>
          <w:kern w:val="0"/>
          <w:sz w:val="24"/>
        </w:rPr>
        <w:t>（三）具有履行合同所必需的货物和专业技术能力；</w:t>
      </w:r>
    </w:p>
    <w:p w14:paraId="33AC6D02">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Cs/>
          <w:color w:val="auto"/>
          <w:kern w:val="0"/>
          <w:sz w:val="24"/>
        </w:rPr>
      </w:pPr>
      <w:r>
        <w:rPr>
          <w:rFonts w:hint="eastAsia" w:ascii="宋体" w:hAnsi="宋体" w:cs="宋体"/>
          <w:bCs/>
          <w:color w:val="auto"/>
          <w:kern w:val="0"/>
          <w:sz w:val="24"/>
        </w:rPr>
        <w:t>（四）有依法缴纳税收和社会保障资金的良好记录；</w:t>
      </w:r>
    </w:p>
    <w:p w14:paraId="41A4DB9A">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Cs/>
          <w:color w:val="auto"/>
          <w:kern w:val="0"/>
          <w:sz w:val="24"/>
        </w:rPr>
      </w:pPr>
      <w:r>
        <w:rPr>
          <w:rFonts w:hint="eastAsia" w:ascii="宋体" w:hAnsi="宋体" w:cs="宋体"/>
          <w:bCs/>
          <w:color w:val="auto"/>
          <w:kern w:val="0"/>
          <w:sz w:val="24"/>
        </w:rPr>
        <w:t>（五）参加政府采购活动前三年内，在经营活动中没有重大违法记录；</w:t>
      </w:r>
    </w:p>
    <w:p w14:paraId="5DCD9F23">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color w:val="auto"/>
          <w:kern w:val="0"/>
          <w:sz w:val="24"/>
        </w:rPr>
      </w:pPr>
      <w:r>
        <w:rPr>
          <w:rFonts w:hint="eastAsia" w:ascii="宋体" w:hAnsi="宋体" w:cs="宋体"/>
          <w:bCs/>
          <w:color w:val="auto"/>
          <w:kern w:val="0"/>
          <w:sz w:val="24"/>
        </w:rPr>
        <w:t>（六）法律、行政法规规定的其他条件。</w:t>
      </w:r>
    </w:p>
    <w:p w14:paraId="0CFEE1C2">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color w:val="auto"/>
          <w:sz w:val="24"/>
        </w:rPr>
      </w:pPr>
      <w:r>
        <w:rPr>
          <w:rFonts w:hint="eastAsia" w:ascii="宋体" w:hAnsi="宋体" w:cs="宋体"/>
          <w:bCs/>
          <w:color w:val="auto"/>
          <w:kern w:val="0"/>
          <w:sz w:val="24"/>
        </w:rPr>
        <w:t>2、</w:t>
      </w:r>
      <w:r>
        <w:rPr>
          <w:rFonts w:ascii="宋体" w:hAnsi="宋体" w:eastAsia="宋体" w:cs="宋体"/>
          <w:color w:val="auto"/>
          <w:spacing w:val="12"/>
          <w:sz w:val="24"/>
          <w:szCs w:val="24"/>
        </w:rPr>
        <w:t>本</w:t>
      </w:r>
      <w:r>
        <w:rPr>
          <w:rFonts w:ascii="宋体" w:hAnsi="宋体" w:eastAsia="宋体" w:cs="宋体"/>
          <w:color w:val="auto"/>
          <w:spacing w:val="11"/>
          <w:sz w:val="24"/>
          <w:szCs w:val="24"/>
        </w:rPr>
        <w:t>次采购要求：</w:t>
      </w:r>
      <w:r>
        <w:rPr>
          <w:rFonts w:hint="eastAsia" w:ascii="宋体" w:hAnsi="宋体" w:eastAsia="宋体" w:cs="宋体"/>
          <w:i w:val="0"/>
          <w:iCs w:val="0"/>
          <w:caps w:val="0"/>
          <w:color w:val="auto"/>
          <w:spacing w:val="0"/>
          <w:sz w:val="24"/>
          <w:szCs w:val="24"/>
          <w:shd w:val="clear" w:fill="FFFFFF"/>
        </w:rPr>
        <w:t>供应商须具备</w:t>
      </w:r>
      <w:r>
        <w:rPr>
          <w:rFonts w:hint="eastAsia" w:ascii="宋体" w:hAnsi="宋体" w:cs="宋体"/>
          <w:b/>
          <w:bCs/>
          <w:i w:val="0"/>
          <w:iCs w:val="0"/>
          <w:caps w:val="0"/>
          <w:color w:val="auto"/>
          <w:spacing w:val="0"/>
          <w:sz w:val="24"/>
          <w:szCs w:val="24"/>
          <w:u w:val="single"/>
          <w:shd w:val="clear" w:fill="FFFFFF"/>
          <w:lang w:eastAsia="zh-CN"/>
        </w:rPr>
        <w:t>建筑工程施工总承包三级（含）以上资质；或市政公用工程施工总承包三级（含）以上资质；或机电工程施工总承包三级（含）以上资质；或建筑机电安装工程专业承包三级（含）以上资质</w:t>
      </w:r>
      <w:r>
        <w:rPr>
          <w:rFonts w:hint="eastAsia" w:ascii="宋体" w:hAnsi="宋体" w:eastAsia="宋体" w:cs="宋体"/>
          <w:i w:val="0"/>
          <w:iCs w:val="0"/>
          <w:caps w:val="0"/>
          <w:color w:val="auto"/>
          <w:spacing w:val="0"/>
          <w:sz w:val="24"/>
          <w:szCs w:val="24"/>
          <w:shd w:val="clear" w:fill="FFFFFF"/>
        </w:rPr>
        <w:t>，并在人员、设备、资金等</w:t>
      </w:r>
      <w:r>
        <w:rPr>
          <w:rFonts w:hint="eastAsia" w:ascii="宋体" w:hAnsi="宋体" w:eastAsia="宋体" w:cs="宋体"/>
          <w:i w:val="0"/>
          <w:iCs w:val="0"/>
          <w:caps w:val="0"/>
          <w:color w:val="auto"/>
          <w:spacing w:val="0"/>
          <w:sz w:val="24"/>
          <w:szCs w:val="24"/>
          <w:shd w:val="clear" w:fill="FFFFFF"/>
        </w:rPr>
        <w:t>方面具有相应的施工能力，</w:t>
      </w:r>
      <w:r>
        <w:rPr>
          <w:rFonts w:hint="eastAsia" w:ascii="宋体" w:hAnsi="宋体" w:eastAsia="宋体" w:cs="宋体"/>
          <w:i w:val="0"/>
          <w:iCs w:val="0"/>
          <w:caps w:val="0"/>
          <w:color w:val="auto"/>
          <w:spacing w:val="0"/>
          <w:sz w:val="24"/>
          <w:szCs w:val="24"/>
          <w:shd w:val="clear" w:color="auto" w:fill="FFFFFF"/>
        </w:rPr>
        <w:t>无拖欠农民工工资的不良行为</w:t>
      </w:r>
      <w:r>
        <w:rPr>
          <w:rFonts w:hint="eastAsia" w:ascii="宋体" w:hAnsi="宋体" w:eastAsia="宋体" w:cs="宋体"/>
          <w:i w:val="0"/>
          <w:iCs w:val="0"/>
          <w:caps w:val="0"/>
          <w:color w:val="auto"/>
          <w:spacing w:val="0"/>
          <w:sz w:val="24"/>
          <w:szCs w:val="24"/>
          <w:shd w:val="clear" w:color="auto" w:fill="FFFFFF"/>
          <w:lang w:eastAsia="zh-CN"/>
        </w:rPr>
        <w:t>。</w:t>
      </w:r>
      <w:r>
        <w:rPr>
          <w:rFonts w:hint="eastAsia" w:ascii="宋体" w:hAnsi="宋体" w:eastAsia="宋体" w:cs="宋体"/>
          <w:i w:val="0"/>
          <w:iCs w:val="0"/>
          <w:caps w:val="0"/>
          <w:color w:val="auto"/>
          <w:spacing w:val="0"/>
          <w:sz w:val="24"/>
          <w:szCs w:val="24"/>
          <w:shd w:val="clear" w:fill="FFFFFF"/>
        </w:rPr>
        <w:t>其中，供应商拟派项目经理须</w:t>
      </w:r>
      <w:r>
        <w:rPr>
          <w:rFonts w:hint="eastAsia" w:ascii="宋体" w:hAnsi="宋体" w:cs="宋体"/>
          <w:b/>
          <w:bCs/>
          <w:i w:val="0"/>
          <w:iCs w:val="0"/>
          <w:caps w:val="0"/>
          <w:color w:val="auto"/>
          <w:spacing w:val="0"/>
          <w:sz w:val="24"/>
          <w:szCs w:val="24"/>
          <w:u w:val="single"/>
          <w:shd w:val="clear" w:fill="FFFFFF"/>
          <w:lang w:eastAsia="zh-CN"/>
        </w:rPr>
        <w:t>具备本单位注册的建筑专业贰级（含）以上注册建造师执业资格；或市政专业贰级（含）以上注册建造师执业资格；或机电专业贰级（含）以上注册建造师执业资格，具备有效的安全生产考核证书B证</w:t>
      </w:r>
      <w:r>
        <w:rPr>
          <w:rFonts w:hint="eastAsia" w:ascii="宋体" w:hAnsi="宋体" w:eastAsia="宋体" w:cs="宋体"/>
          <w:i w:val="0"/>
          <w:iCs w:val="0"/>
          <w:caps w:val="0"/>
          <w:color w:val="auto"/>
          <w:spacing w:val="0"/>
          <w:sz w:val="24"/>
          <w:szCs w:val="24"/>
          <w:shd w:val="clear" w:fill="FFFFFF"/>
        </w:rPr>
        <w:t>，且未担任其</w:t>
      </w:r>
      <w:r>
        <w:rPr>
          <w:rFonts w:hint="eastAsia" w:ascii="宋体" w:hAnsi="宋体" w:eastAsia="宋体" w:cs="宋体"/>
          <w:i w:val="0"/>
          <w:iCs w:val="0"/>
          <w:caps w:val="0"/>
          <w:color w:val="auto"/>
          <w:spacing w:val="0"/>
          <w:sz w:val="24"/>
          <w:szCs w:val="24"/>
          <w:shd w:val="clear" w:fill="FFFFFF"/>
        </w:rPr>
        <w:t>他在施建设工程项目的项目经理</w:t>
      </w:r>
      <w:r>
        <w:rPr>
          <w:rFonts w:hint="eastAsia" w:ascii="宋体" w:hAnsi="宋体" w:cs="宋体"/>
          <w:bCs/>
          <w:color w:val="auto"/>
          <w:kern w:val="0"/>
          <w:sz w:val="24"/>
        </w:rPr>
        <w:t>。</w:t>
      </w:r>
    </w:p>
    <w:p w14:paraId="09E13300">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Cs/>
          <w:color w:val="auto"/>
          <w:kern w:val="0"/>
          <w:sz w:val="24"/>
        </w:rPr>
      </w:pPr>
      <w:r>
        <w:rPr>
          <w:rFonts w:hint="eastAsia" w:ascii="宋体" w:hAnsi="宋体" w:cs="宋体"/>
          <w:bCs/>
          <w:color w:val="auto"/>
          <w:kern w:val="0"/>
          <w:sz w:val="24"/>
        </w:rPr>
        <w:t>3、因建设工地扬尘污染暂扣安全生产许可证的施工单位，不得参与本项目的磋商；因拖欠农民工工资，计入山东省（省级）及济宁市诚信黑榜，被限制济宁市内建设工程投标资格的施工单位，不得参与本项目的磋商。</w:t>
      </w:r>
    </w:p>
    <w:p w14:paraId="6FD4FB40">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
          <w:bCs w:val="0"/>
          <w:color w:val="auto"/>
          <w:kern w:val="0"/>
          <w:sz w:val="24"/>
        </w:rPr>
      </w:pPr>
      <w:r>
        <w:rPr>
          <w:rFonts w:hint="eastAsia" w:ascii="宋体" w:hAnsi="宋体" w:cs="宋体"/>
          <w:bCs/>
          <w:color w:val="auto"/>
          <w:kern w:val="0"/>
          <w:sz w:val="24"/>
        </w:rPr>
        <w:t>4、供应商在递交响应文件时需同时提供</w:t>
      </w:r>
      <w:r>
        <w:rPr>
          <w:rFonts w:hint="eastAsia" w:ascii="宋体" w:hAnsi="宋体" w:cs="宋体"/>
          <w:b/>
          <w:bCs w:val="0"/>
          <w:color w:val="auto"/>
          <w:kern w:val="0"/>
          <w:sz w:val="24"/>
        </w:rPr>
        <w:t>本单位营业执照(副本原件或加盖单位公章复印件)、资质证书（原件或加盖单位公章复印件）、安全生产许可证（副本原件或加盖单位公章复印件）、项目经理</w:t>
      </w:r>
      <w:r>
        <w:rPr>
          <w:rFonts w:hint="eastAsia" w:ascii="宋体" w:hAnsi="宋体" w:cs="宋体"/>
          <w:b/>
          <w:bCs w:val="0"/>
          <w:color w:val="auto"/>
          <w:kern w:val="0"/>
          <w:sz w:val="24"/>
          <w:lang w:eastAsia="zh-CN"/>
        </w:rPr>
        <w:t>的</w:t>
      </w:r>
      <w:r>
        <w:rPr>
          <w:rFonts w:hint="eastAsia" w:ascii="宋体" w:hAnsi="宋体" w:cs="宋体"/>
          <w:b/>
          <w:bCs w:val="0"/>
          <w:color w:val="auto"/>
          <w:kern w:val="0"/>
          <w:sz w:val="24"/>
        </w:rPr>
        <w:t>建造师注册证（原件或加盖单位公章复印件）及建造师安全生产考核合格证B证（原件或加盖单位公章复印件）、法定代表人或授权委托人有效身份证原件及法人授权委托书原件以及竞争性磋商文件第三部分磋商组织、步骤与评审方法中要求的相关证件资料等。</w:t>
      </w:r>
    </w:p>
    <w:p w14:paraId="62D60613">
      <w:pPr>
        <w:pStyle w:val="3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0" w:right="0" w:firstLine="482"/>
        <w:jc w:val="left"/>
        <w:textAlignment w:val="baseline"/>
        <w:rPr>
          <w:rFonts w:hint="eastAsia" w:ascii="微软雅黑" w:hAnsi="微软雅黑" w:eastAsia="微软雅黑" w:cs="微软雅黑"/>
          <w:i w:val="0"/>
          <w:iCs w:val="0"/>
          <w:caps w:val="0"/>
          <w:color w:val="auto"/>
          <w:spacing w:val="0"/>
          <w:sz w:val="24"/>
          <w:szCs w:val="24"/>
        </w:rPr>
      </w:pPr>
      <w:r>
        <w:rPr>
          <w:rFonts w:hint="eastAsia" w:ascii="宋体" w:hAnsi="宋体" w:eastAsia="宋体" w:cs="宋体"/>
          <w:b/>
          <w:bCs/>
          <w:i w:val="0"/>
          <w:iCs w:val="0"/>
          <w:caps w:val="0"/>
          <w:color w:val="auto"/>
          <w:spacing w:val="0"/>
          <w:sz w:val="24"/>
          <w:szCs w:val="24"/>
          <w:shd w:val="clear" w:fill="FFFFFF"/>
        </w:rPr>
        <w:t>注：</w:t>
      </w:r>
      <w:r>
        <w:rPr>
          <w:rFonts w:hint="eastAsia" w:ascii="宋体" w:hAnsi="宋体" w:cs="宋体"/>
          <w:b/>
          <w:bCs/>
          <w:i w:val="0"/>
          <w:iCs w:val="0"/>
          <w:caps w:val="0"/>
          <w:color w:val="auto"/>
          <w:spacing w:val="0"/>
          <w:sz w:val="24"/>
          <w:szCs w:val="24"/>
          <w:shd w:val="clear" w:fill="FFFFFF"/>
          <w:lang w:eastAsia="zh-CN"/>
        </w:rPr>
        <w:t>供应商应按</w:t>
      </w:r>
      <w:r>
        <w:rPr>
          <w:rFonts w:hint="eastAsia" w:ascii="宋体" w:hAnsi="宋体" w:eastAsia="宋体" w:cs="宋体"/>
          <w:b/>
          <w:bCs/>
          <w:i w:val="0"/>
          <w:iCs w:val="0"/>
          <w:caps w:val="0"/>
          <w:color w:val="auto"/>
          <w:spacing w:val="0"/>
          <w:sz w:val="24"/>
          <w:szCs w:val="24"/>
          <w:shd w:val="clear" w:fill="FFFFFF"/>
        </w:rPr>
        <w:t>上述</w:t>
      </w:r>
      <w:r>
        <w:rPr>
          <w:rFonts w:hint="eastAsia" w:ascii="宋体" w:hAnsi="宋体" w:cs="宋体"/>
          <w:b/>
          <w:bCs/>
          <w:i w:val="0"/>
          <w:iCs w:val="0"/>
          <w:caps w:val="0"/>
          <w:color w:val="auto"/>
          <w:spacing w:val="0"/>
          <w:sz w:val="24"/>
          <w:szCs w:val="24"/>
          <w:shd w:val="clear" w:fill="FFFFFF"/>
          <w:lang w:eastAsia="zh-CN"/>
        </w:rPr>
        <w:t>要求提供有关</w:t>
      </w:r>
      <w:r>
        <w:rPr>
          <w:rFonts w:hint="eastAsia" w:ascii="宋体" w:hAnsi="宋体" w:eastAsia="宋体" w:cs="宋体"/>
          <w:b/>
          <w:bCs/>
          <w:i w:val="0"/>
          <w:iCs w:val="0"/>
          <w:caps w:val="0"/>
          <w:color w:val="auto"/>
          <w:spacing w:val="0"/>
          <w:sz w:val="24"/>
          <w:szCs w:val="24"/>
          <w:shd w:val="clear" w:fill="FFFFFF"/>
        </w:rPr>
        <w:t>材料、证件，</w:t>
      </w:r>
      <w:r>
        <w:rPr>
          <w:rFonts w:hint="eastAsia" w:ascii="宋体" w:hAnsi="宋体" w:cs="宋体"/>
          <w:b/>
          <w:bCs/>
          <w:i w:val="0"/>
          <w:iCs w:val="0"/>
          <w:caps w:val="0"/>
          <w:color w:val="auto"/>
          <w:spacing w:val="0"/>
          <w:sz w:val="24"/>
          <w:szCs w:val="24"/>
          <w:shd w:val="clear" w:fill="FFFFFF"/>
          <w:lang w:eastAsia="zh-CN"/>
        </w:rPr>
        <w:t>要求可以提供加盖公章复印件的材料、证件，已</w:t>
      </w:r>
      <w:r>
        <w:rPr>
          <w:rFonts w:hint="eastAsia" w:ascii="宋体" w:hAnsi="宋体" w:eastAsia="宋体" w:cs="宋体"/>
          <w:b/>
          <w:bCs/>
          <w:i w:val="0"/>
          <w:iCs w:val="0"/>
          <w:caps w:val="0"/>
          <w:color w:val="auto"/>
          <w:spacing w:val="0"/>
          <w:sz w:val="24"/>
          <w:szCs w:val="24"/>
          <w:shd w:val="clear" w:fill="FFFFFF"/>
        </w:rPr>
        <w:t>编制在响应文件中</w:t>
      </w:r>
      <w:r>
        <w:rPr>
          <w:rFonts w:hint="eastAsia" w:ascii="宋体" w:hAnsi="宋体" w:cs="宋体"/>
          <w:b/>
          <w:bCs/>
          <w:i w:val="0"/>
          <w:iCs w:val="0"/>
          <w:caps w:val="0"/>
          <w:color w:val="auto"/>
          <w:spacing w:val="0"/>
          <w:sz w:val="24"/>
          <w:szCs w:val="24"/>
          <w:shd w:val="clear" w:fill="FFFFFF"/>
          <w:lang w:eastAsia="zh-CN"/>
        </w:rPr>
        <w:t>的</w:t>
      </w:r>
      <w:r>
        <w:rPr>
          <w:rFonts w:hint="eastAsia" w:ascii="宋体" w:hAnsi="宋体" w:eastAsia="宋体" w:cs="宋体"/>
          <w:b/>
          <w:bCs/>
          <w:i w:val="0"/>
          <w:iCs w:val="0"/>
          <w:caps w:val="0"/>
          <w:color w:val="auto"/>
          <w:spacing w:val="0"/>
          <w:sz w:val="24"/>
          <w:szCs w:val="24"/>
          <w:shd w:val="clear" w:fill="FFFFFF"/>
        </w:rPr>
        <w:t>，</w:t>
      </w:r>
      <w:r>
        <w:rPr>
          <w:rFonts w:hint="eastAsia" w:ascii="宋体" w:hAnsi="宋体" w:cs="宋体"/>
          <w:b/>
          <w:bCs/>
          <w:i w:val="0"/>
          <w:iCs w:val="0"/>
          <w:caps w:val="0"/>
          <w:color w:val="auto"/>
          <w:spacing w:val="0"/>
          <w:sz w:val="24"/>
          <w:szCs w:val="24"/>
          <w:shd w:val="clear" w:fill="FFFFFF"/>
          <w:lang w:eastAsia="zh-CN"/>
        </w:rPr>
        <w:t>无需再单独提供；</w:t>
      </w:r>
      <w:r>
        <w:rPr>
          <w:rFonts w:hint="eastAsia" w:ascii="宋体" w:hAnsi="宋体" w:eastAsia="宋体" w:cs="宋体"/>
          <w:b/>
          <w:bCs/>
          <w:i w:val="0"/>
          <w:iCs w:val="0"/>
          <w:caps w:val="0"/>
          <w:color w:val="auto"/>
          <w:spacing w:val="0"/>
          <w:sz w:val="24"/>
          <w:szCs w:val="24"/>
          <w:shd w:val="clear" w:fill="FFFFFF"/>
        </w:rPr>
        <w:t>若供应商未将</w:t>
      </w:r>
      <w:r>
        <w:rPr>
          <w:rFonts w:hint="eastAsia" w:ascii="宋体" w:hAnsi="宋体" w:cs="宋体"/>
          <w:b/>
          <w:bCs/>
          <w:i w:val="0"/>
          <w:iCs w:val="0"/>
          <w:caps w:val="0"/>
          <w:color w:val="auto"/>
          <w:spacing w:val="0"/>
          <w:sz w:val="24"/>
          <w:szCs w:val="24"/>
          <w:shd w:val="clear" w:fill="FFFFFF"/>
          <w:lang w:eastAsia="zh-CN"/>
        </w:rPr>
        <w:t>相关材料、证件的</w:t>
      </w:r>
      <w:r>
        <w:rPr>
          <w:rFonts w:hint="eastAsia" w:ascii="宋体" w:hAnsi="宋体" w:eastAsia="宋体" w:cs="宋体"/>
          <w:b/>
          <w:bCs/>
          <w:i w:val="0"/>
          <w:iCs w:val="0"/>
          <w:caps w:val="0"/>
          <w:color w:val="auto"/>
          <w:spacing w:val="0"/>
          <w:sz w:val="24"/>
          <w:szCs w:val="24"/>
          <w:shd w:val="clear" w:fill="FFFFFF"/>
        </w:rPr>
        <w:t>复印件</w:t>
      </w:r>
      <w:r>
        <w:rPr>
          <w:rFonts w:hint="eastAsia" w:ascii="宋体" w:hAnsi="宋体" w:cs="宋体"/>
          <w:b/>
          <w:bCs/>
          <w:i w:val="0"/>
          <w:iCs w:val="0"/>
          <w:caps w:val="0"/>
          <w:color w:val="auto"/>
          <w:spacing w:val="0"/>
          <w:sz w:val="24"/>
          <w:szCs w:val="24"/>
          <w:shd w:val="clear" w:fill="FFFFFF"/>
          <w:lang w:eastAsia="zh-CN"/>
        </w:rPr>
        <w:t>（加盖）</w:t>
      </w:r>
      <w:r>
        <w:rPr>
          <w:rFonts w:hint="eastAsia" w:ascii="宋体" w:hAnsi="宋体" w:eastAsia="宋体" w:cs="宋体"/>
          <w:b/>
          <w:bCs/>
          <w:i w:val="0"/>
          <w:iCs w:val="0"/>
          <w:caps w:val="0"/>
          <w:color w:val="auto"/>
          <w:spacing w:val="0"/>
          <w:sz w:val="24"/>
          <w:szCs w:val="24"/>
          <w:shd w:val="clear" w:fill="FFFFFF"/>
        </w:rPr>
        <w:t>编制在响应文件中，则涉及资格等无效磋商响应文件情形的，将</w:t>
      </w:r>
      <w:r>
        <w:rPr>
          <w:rFonts w:hint="eastAsia" w:ascii="宋体" w:hAnsi="宋体" w:cs="宋体"/>
          <w:b/>
          <w:bCs/>
          <w:i w:val="0"/>
          <w:iCs w:val="0"/>
          <w:caps w:val="0"/>
          <w:color w:val="auto"/>
          <w:spacing w:val="0"/>
          <w:sz w:val="24"/>
          <w:szCs w:val="24"/>
          <w:shd w:val="clear" w:fill="FFFFFF"/>
          <w:lang w:eastAsia="zh-CN"/>
        </w:rPr>
        <w:t>按照无效响应处理</w:t>
      </w:r>
      <w:r>
        <w:rPr>
          <w:rFonts w:hint="eastAsia" w:ascii="宋体" w:hAnsi="宋体" w:eastAsia="宋体" w:cs="宋体"/>
          <w:b/>
          <w:bCs/>
          <w:i w:val="0"/>
          <w:iCs w:val="0"/>
          <w:caps w:val="0"/>
          <w:color w:val="auto"/>
          <w:spacing w:val="0"/>
          <w:sz w:val="24"/>
          <w:szCs w:val="24"/>
          <w:shd w:val="clear" w:fill="FFFFFF"/>
        </w:rPr>
        <w:t>，且不因</w:t>
      </w:r>
      <w:r>
        <w:rPr>
          <w:rFonts w:hint="eastAsia" w:ascii="宋体" w:hAnsi="宋体" w:cs="宋体"/>
          <w:b/>
          <w:bCs/>
          <w:i w:val="0"/>
          <w:iCs w:val="0"/>
          <w:caps w:val="0"/>
          <w:color w:val="auto"/>
          <w:spacing w:val="0"/>
          <w:sz w:val="24"/>
          <w:szCs w:val="24"/>
          <w:shd w:val="clear" w:fill="FFFFFF"/>
          <w:lang w:eastAsia="zh-CN"/>
        </w:rPr>
        <w:t>单独提供了有关材料、证件</w:t>
      </w:r>
      <w:r>
        <w:rPr>
          <w:rFonts w:hint="eastAsia" w:ascii="宋体" w:hAnsi="宋体" w:eastAsia="宋体" w:cs="宋体"/>
          <w:b/>
          <w:bCs/>
          <w:i w:val="0"/>
          <w:iCs w:val="0"/>
          <w:caps w:val="0"/>
          <w:color w:val="auto"/>
          <w:spacing w:val="0"/>
          <w:sz w:val="24"/>
          <w:szCs w:val="24"/>
          <w:shd w:val="clear" w:fill="FFFFFF"/>
        </w:rPr>
        <w:t>而改变。供应商在磋商时未按上述要求提供证明材料的，按无效响应文件处理或按评审办法规定不予认可。</w:t>
      </w:r>
    </w:p>
    <w:p w14:paraId="03700EE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ascii="宋体" w:hAnsi="宋体" w:cs="宋体"/>
          <w:color w:val="auto"/>
          <w:kern w:val="0"/>
          <w:sz w:val="24"/>
        </w:rPr>
      </w:pPr>
      <w:r>
        <w:rPr>
          <w:rFonts w:hint="eastAsia" w:ascii="宋体" w:hAnsi="宋体" w:eastAsia="宋体" w:cs="宋体"/>
          <w:i w:val="0"/>
          <w:iCs w:val="0"/>
          <w:caps w:val="0"/>
          <w:color w:val="auto"/>
          <w:spacing w:val="0"/>
          <w:sz w:val="24"/>
          <w:szCs w:val="24"/>
          <w:shd w:val="clear" w:fill="FFFFFF"/>
        </w:rPr>
        <w:t>5、本次竞争性磋商不接受联合体</w:t>
      </w:r>
      <w:r>
        <w:rPr>
          <w:rFonts w:hint="eastAsia" w:ascii="宋体" w:hAnsi="宋体" w:cs="宋体"/>
          <w:color w:val="auto"/>
          <w:kern w:val="0"/>
          <w:sz w:val="24"/>
        </w:rPr>
        <w:t>。</w:t>
      </w:r>
    </w:p>
    <w:bookmarkEnd w:id="6"/>
    <w:bookmarkEnd w:id="7"/>
    <w:p w14:paraId="3880D547">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kern w:val="0"/>
          <w:sz w:val="24"/>
        </w:rPr>
      </w:pPr>
      <w:r>
        <w:rPr>
          <w:rFonts w:hint="eastAsia" w:ascii="宋体" w:hAnsi="宋体" w:eastAsia="宋体" w:cs="宋体"/>
          <w:b/>
          <w:bCs/>
          <w:color w:val="auto"/>
          <w:kern w:val="0"/>
          <w:sz w:val="24"/>
        </w:rPr>
        <w:t>六、磋商文件的获取：</w:t>
      </w:r>
    </w:p>
    <w:p w14:paraId="1C19E12B">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1、时间：</w:t>
      </w:r>
      <w:r>
        <w:rPr>
          <w:rFonts w:hint="eastAsia" w:ascii="宋体" w:hAnsi="宋体" w:cs="宋体"/>
          <w:color w:val="auto"/>
          <w:sz w:val="24"/>
          <w:szCs w:val="24"/>
          <w:lang w:eastAsia="zh-CN"/>
        </w:rPr>
        <w:t>2025</w:t>
      </w:r>
      <w:r>
        <w:rPr>
          <w:rFonts w:hint="eastAsia" w:ascii="宋体" w:hAnsi="宋体" w:eastAsia="宋体" w:cs="宋体"/>
          <w:color w:val="auto"/>
          <w:sz w:val="24"/>
          <w:szCs w:val="24"/>
          <w:lang w:eastAsia="zh-CN"/>
        </w:rPr>
        <w:t>年</w:t>
      </w:r>
      <w:r>
        <w:rPr>
          <w:rFonts w:hint="eastAsia" w:ascii="宋体" w:hAnsi="宋体" w:cs="宋体"/>
          <w:color w:val="auto"/>
          <w:sz w:val="24"/>
          <w:szCs w:val="24"/>
          <w:lang w:val="en-US" w:eastAsia="zh-CN"/>
        </w:rPr>
        <w:t>6</w:t>
      </w:r>
      <w:r>
        <w:rPr>
          <w:rFonts w:hint="eastAsia" w:ascii="宋体" w:hAnsi="宋体" w:eastAsia="宋体" w:cs="宋体"/>
          <w:color w:val="auto"/>
          <w:sz w:val="24"/>
          <w:szCs w:val="24"/>
          <w:lang w:eastAsia="zh-CN"/>
        </w:rPr>
        <w:t>月</w:t>
      </w:r>
      <w:r>
        <w:rPr>
          <w:rFonts w:hint="eastAsia" w:ascii="宋体" w:hAnsi="宋体" w:cs="宋体"/>
          <w:color w:val="auto"/>
          <w:sz w:val="24"/>
          <w:szCs w:val="24"/>
          <w:lang w:val="en-US" w:eastAsia="zh-CN"/>
        </w:rPr>
        <w:t>9</w:t>
      </w:r>
      <w:r>
        <w:rPr>
          <w:rFonts w:hint="eastAsia" w:ascii="宋体" w:hAnsi="宋体" w:eastAsia="宋体" w:cs="宋体"/>
          <w:color w:val="auto"/>
          <w:sz w:val="24"/>
          <w:szCs w:val="24"/>
          <w:lang w:eastAsia="zh-CN"/>
        </w:rPr>
        <w:t>日至</w:t>
      </w:r>
      <w:r>
        <w:rPr>
          <w:rFonts w:hint="eastAsia" w:ascii="宋体" w:hAnsi="宋体" w:cs="宋体"/>
          <w:color w:val="auto"/>
          <w:sz w:val="24"/>
          <w:szCs w:val="24"/>
          <w:lang w:eastAsia="zh-CN"/>
        </w:rPr>
        <w:t>2025年</w:t>
      </w:r>
      <w:r>
        <w:rPr>
          <w:rFonts w:hint="eastAsia" w:ascii="宋体" w:hAnsi="宋体" w:cs="宋体"/>
          <w:color w:val="auto"/>
          <w:sz w:val="24"/>
          <w:szCs w:val="24"/>
          <w:lang w:val="en-US" w:eastAsia="zh-CN"/>
        </w:rPr>
        <w:t>6</w:t>
      </w:r>
      <w:r>
        <w:rPr>
          <w:rFonts w:hint="eastAsia" w:ascii="宋体" w:hAnsi="宋体" w:cs="宋体"/>
          <w:color w:val="auto"/>
          <w:sz w:val="24"/>
          <w:szCs w:val="24"/>
          <w:lang w:eastAsia="zh-CN"/>
        </w:rPr>
        <w:t>月</w:t>
      </w:r>
      <w:r>
        <w:rPr>
          <w:rFonts w:hint="eastAsia" w:ascii="宋体" w:hAnsi="宋体" w:cs="宋体"/>
          <w:color w:val="auto"/>
          <w:sz w:val="24"/>
          <w:szCs w:val="24"/>
          <w:lang w:val="en-US" w:eastAsia="zh-CN"/>
        </w:rPr>
        <w:t>20</w:t>
      </w:r>
      <w:r>
        <w:rPr>
          <w:rFonts w:hint="eastAsia" w:ascii="宋体" w:hAnsi="宋体" w:cs="宋体"/>
          <w:color w:val="auto"/>
          <w:sz w:val="24"/>
          <w:szCs w:val="24"/>
          <w:lang w:eastAsia="zh-CN"/>
        </w:rPr>
        <w:t>日09时00分</w:t>
      </w:r>
    </w:p>
    <w:p w14:paraId="3628FCCE">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2、地点：邹城市外宣网(http://w.mencius.gov.cn/)。</w:t>
      </w:r>
    </w:p>
    <w:p w14:paraId="6B24791C">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3、方式：登录邹城市外宣网(http://w.mencius.gov.cn/)直接点击公告下方附件下载竞争性磋商文件。</w:t>
      </w:r>
    </w:p>
    <w:p w14:paraId="576787C5">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kern w:val="0"/>
          <w:sz w:val="24"/>
          <w:lang w:eastAsia="zh-CN"/>
        </w:rPr>
      </w:pPr>
      <w:r>
        <w:rPr>
          <w:rFonts w:hint="eastAsia" w:ascii="宋体" w:hAnsi="宋体" w:eastAsia="宋体" w:cs="宋体"/>
          <w:b/>
          <w:bCs/>
          <w:color w:val="auto"/>
          <w:kern w:val="0"/>
          <w:sz w:val="24"/>
          <w:lang w:eastAsia="zh-CN"/>
        </w:rPr>
        <w:t>七、磋商响应文件的递交：</w:t>
      </w:r>
    </w:p>
    <w:p w14:paraId="08F838B9">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1、</w:t>
      </w:r>
      <w:r>
        <w:rPr>
          <w:rFonts w:hint="eastAsia" w:ascii="宋体" w:hAnsi="宋体" w:cs="宋体"/>
          <w:color w:val="auto"/>
          <w:sz w:val="24"/>
          <w:szCs w:val="24"/>
          <w:lang w:eastAsia="zh-CN"/>
        </w:rPr>
        <w:t>邹城市钢山街道李官庄村村民委员会</w:t>
      </w:r>
      <w:r>
        <w:rPr>
          <w:rFonts w:hint="eastAsia" w:ascii="宋体" w:hAnsi="宋体" w:eastAsia="宋体" w:cs="宋体"/>
          <w:color w:val="auto"/>
          <w:sz w:val="24"/>
          <w:szCs w:val="24"/>
          <w:lang w:eastAsia="zh-CN"/>
        </w:rPr>
        <w:t>会于</w:t>
      </w:r>
      <w:r>
        <w:rPr>
          <w:rFonts w:hint="eastAsia" w:ascii="宋体" w:hAnsi="宋体" w:cs="宋体"/>
          <w:color w:val="auto"/>
          <w:sz w:val="24"/>
          <w:szCs w:val="24"/>
          <w:lang w:eastAsia="zh-CN"/>
        </w:rPr>
        <w:t>2025年6月20日09时00分</w:t>
      </w:r>
      <w:r>
        <w:rPr>
          <w:rFonts w:hint="eastAsia" w:ascii="宋体" w:hAnsi="宋体" w:eastAsia="宋体" w:cs="宋体"/>
          <w:color w:val="auto"/>
          <w:sz w:val="24"/>
          <w:szCs w:val="24"/>
          <w:lang w:eastAsia="zh-CN"/>
        </w:rPr>
        <w:t>磋商开始前在</w:t>
      </w:r>
      <w:r>
        <w:rPr>
          <w:rFonts w:hint="eastAsia" w:ascii="宋体" w:hAnsi="宋体" w:cs="宋体"/>
          <w:color w:val="auto"/>
          <w:sz w:val="24"/>
          <w:szCs w:val="24"/>
          <w:lang w:eastAsia="zh-CN"/>
        </w:rPr>
        <w:t>邹城市钢山街道公共资源交易中心开标室（燕京社区服务中心4楼）</w:t>
      </w:r>
      <w:r>
        <w:rPr>
          <w:rFonts w:hint="eastAsia" w:ascii="宋体" w:hAnsi="宋体" w:eastAsia="宋体" w:cs="宋体"/>
          <w:color w:val="auto"/>
          <w:sz w:val="24"/>
          <w:szCs w:val="24"/>
          <w:lang w:eastAsia="zh-CN"/>
        </w:rPr>
        <w:t>受理供应商磋商响应文件的递交；</w:t>
      </w:r>
    </w:p>
    <w:p w14:paraId="5033983A">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2、逾期送达或未送达指定地点的磋商响应文件，采购人不予受理。</w:t>
      </w:r>
    </w:p>
    <w:p w14:paraId="0A6A5291">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kern w:val="0"/>
          <w:sz w:val="24"/>
          <w:lang w:eastAsia="zh-CN"/>
        </w:rPr>
      </w:pPr>
      <w:r>
        <w:rPr>
          <w:rFonts w:hint="eastAsia" w:ascii="宋体" w:hAnsi="宋体" w:eastAsia="宋体" w:cs="宋体"/>
          <w:b/>
          <w:bCs/>
          <w:color w:val="auto"/>
          <w:kern w:val="0"/>
          <w:sz w:val="24"/>
          <w:lang w:eastAsia="zh-CN"/>
        </w:rPr>
        <w:t>八、磋商时间与地点：</w:t>
      </w:r>
    </w:p>
    <w:p w14:paraId="07934A91">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时间：</w:t>
      </w:r>
      <w:r>
        <w:rPr>
          <w:rFonts w:hint="eastAsia" w:ascii="宋体" w:hAnsi="宋体" w:cs="宋体"/>
          <w:color w:val="auto"/>
          <w:sz w:val="24"/>
          <w:szCs w:val="24"/>
          <w:lang w:eastAsia="zh-CN"/>
        </w:rPr>
        <w:t>2025年6月20日09时00分</w:t>
      </w:r>
      <w:r>
        <w:rPr>
          <w:rFonts w:hint="eastAsia" w:ascii="宋体" w:hAnsi="宋体" w:eastAsia="宋体" w:cs="宋体"/>
          <w:color w:val="auto"/>
          <w:sz w:val="24"/>
          <w:szCs w:val="24"/>
          <w:lang w:eastAsia="zh-CN"/>
        </w:rPr>
        <w:t>。</w:t>
      </w:r>
    </w:p>
    <w:p w14:paraId="254DE7B8">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地点：</w:t>
      </w:r>
      <w:r>
        <w:rPr>
          <w:rFonts w:hint="eastAsia" w:ascii="宋体" w:hAnsi="宋体" w:cs="宋体"/>
          <w:color w:val="auto"/>
          <w:sz w:val="24"/>
          <w:szCs w:val="24"/>
          <w:lang w:eastAsia="zh-CN"/>
        </w:rPr>
        <w:t>邹城市钢山街道公共资源交易中心开标室（燕京社区服务中心4楼）</w:t>
      </w:r>
      <w:r>
        <w:rPr>
          <w:rFonts w:hint="eastAsia" w:ascii="宋体" w:hAnsi="宋体" w:eastAsia="宋体" w:cs="宋体"/>
          <w:color w:val="auto"/>
          <w:sz w:val="24"/>
          <w:szCs w:val="24"/>
          <w:lang w:eastAsia="zh-CN"/>
        </w:rPr>
        <w:t>。</w:t>
      </w:r>
    </w:p>
    <w:p w14:paraId="0167F99D">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kern w:val="0"/>
          <w:sz w:val="24"/>
          <w:lang w:eastAsia="zh-CN"/>
        </w:rPr>
      </w:pPr>
      <w:r>
        <w:rPr>
          <w:rFonts w:hint="eastAsia" w:ascii="宋体" w:hAnsi="宋体" w:eastAsia="宋体" w:cs="宋体"/>
          <w:b/>
          <w:bCs/>
          <w:color w:val="auto"/>
          <w:kern w:val="0"/>
          <w:sz w:val="24"/>
          <w:lang w:eastAsia="zh-CN"/>
        </w:rPr>
        <w:t>九、联系方式：</w:t>
      </w:r>
    </w:p>
    <w:p w14:paraId="522F11C0">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采 购 人：</w:t>
      </w:r>
      <w:r>
        <w:rPr>
          <w:rFonts w:hint="eastAsia" w:ascii="宋体" w:hAnsi="宋体" w:cs="宋体"/>
          <w:color w:val="auto"/>
          <w:sz w:val="24"/>
          <w:szCs w:val="24"/>
          <w:lang w:eastAsia="zh-CN"/>
        </w:rPr>
        <w:t>邹城市钢山街道李官庄村村民委员会</w:t>
      </w:r>
    </w:p>
    <w:p w14:paraId="1BAF9C69">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地    址：</w:t>
      </w:r>
      <w:r>
        <w:rPr>
          <w:rFonts w:hint="eastAsia" w:ascii="宋体" w:hAnsi="宋体" w:cs="宋体"/>
          <w:color w:val="auto"/>
          <w:sz w:val="24"/>
          <w:szCs w:val="24"/>
          <w:lang w:eastAsia="zh-CN"/>
        </w:rPr>
        <w:t>邹城市护驾山路3666号钢山花园社区高层2号楼</w:t>
      </w:r>
    </w:p>
    <w:p w14:paraId="0E8DBE3B">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联 系 人：</w:t>
      </w:r>
      <w:r>
        <w:rPr>
          <w:rFonts w:hint="eastAsia" w:ascii="宋体" w:hAnsi="宋体" w:cs="宋体"/>
          <w:color w:val="auto"/>
          <w:sz w:val="24"/>
          <w:szCs w:val="24"/>
          <w:lang w:eastAsia="zh-CN"/>
        </w:rPr>
        <w:t>王主任</w:t>
      </w:r>
    </w:p>
    <w:p w14:paraId="1596983D">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联系电话：</w:t>
      </w:r>
      <w:r>
        <w:rPr>
          <w:rFonts w:hint="eastAsia" w:ascii="宋体" w:hAnsi="宋体" w:cs="宋体"/>
          <w:color w:val="auto"/>
          <w:sz w:val="24"/>
          <w:szCs w:val="24"/>
          <w:lang w:eastAsia="zh-CN"/>
        </w:rPr>
        <w:t>18865044555</w:t>
      </w:r>
    </w:p>
    <w:p w14:paraId="6D37D305">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代理机构：</w:t>
      </w:r>
      <w:r>
        <w:rPr>
          <w:rFonts w:hint="eastAsia" w:ascii="宋体" w:hAnsi="宋体" w:cs="宋体"/>
          <w:color w:val="auto"/>
          <w:sz w:val="24"/>
          <w:szCs w:val="24"/>
          <w:lang w:eastAsia="zh-CN"/>
        </w:rPr>
        <w:t>山东泰山工程项目管理有限公司</w:t>
      </w:r>
    </w:p>
    <w:p w14:paraId="6AB2BFDB">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地   址：</w:t>
      </w:r>
      <w:r>
        <w:rPr>
          <w:rFonts w:hint="eastAsia" w:ascii="宋体" w:hAnsi="宋体" w:cs="宋体"/>
          <w:color w:val="auto"/>
          <w:sz w:val="24"/>
          <w:szCs w:val="24"/>
          <w:lang w:eastAsia="zh-CN"/>
        </w:rPr>
        <w:t>山东省济南市历下区华能路9号新龙科技大厦7楼</w:t>
      </w:r>
    </w:p>
    <w:p w14:paraId="32425EBD">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联 系 人：</w:t>
      </w:r>
      <w:r>
        <w:rPr>
          <w:rFonts w:hint="eastAsia" w:ascii="宋体" w:hAnsi="宋体" w:cs="宋体"/>
          <w:color w:val="auto"/>
          <w:sz w:val="24"/>
          <w:szCs w:val="24"/>
          <w:lang w:eastAsia="zh-CN"/>
        </w:rPr>
        <w:t>陈工</w:t>
      </w:r>
    </w:p>
    <w:p w14:paraId="642FF475">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联系电话：</w:t>
      </w:r>
      <w:r>
        <w:rPr>
          <w:rFonts w:hint="eastAsia" w:ascii="宋体" w:hAnsi="宋体" w:cs="宋体"/>
          <w:color w:val="auto"/>
          <w:sz w:val="24"/>
          <w:szCs w:val="24"/>
          <w:lang w:val="en-US" w:eastAsia="zh-CN"/>
        </w:rPr>
        <w:t>18354743698</w:t>
      </w:r>
      <w:r>
        <w:rPr>
          <w:rFonts w:hint="eastAsia" w:ascii="宋体" w:hAnsi="宋体" w:eastAsia="宋体" w:cs="宋体"/>
          <w:color w:val="auto"/>
          <w:sz w:val="24"/>
          <w:szCs w:val="24"/>
          <w:lang w:val="en-US" w:eastAsia="zh-CN"/>
        </w:rPr>
        <w:t xml:space="preserve">     </w:t>
      </w:r>
    </w:p>
    <w:p w14:paraId="46CBE162">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电子邮箱：</w:t>
      </w:r>
      <w:r>
        <w:rPr>
          <w:rFonts w:hint="eastAsia" w:ascii="宋体" w:hAnsi="宋体" w:cs="宋体"/>
          <w:color w:val="auto"/>
          <w:sz w:val="24"/>
          <w:szCs w:val="24"/>
          <w:lang w:eastAsia="zh-CN"/>
        </w:rPr>
        <w:t>sdtszcfgs@163.com</w:t>
      </w:r>
    </w:p>
    <w:p w14:paraId="380C0963">
      <w:pPr>
        <w:keepNext w:val="0"/>
        <w:keepLines w:val="0"/>
        <w:pageBreakBefore w:val="0"/>
        <w:widowControl/>
        <w:kinsoku w:val="0"/>
        <w:wordWrap/>
        <w:overflowPunct/>
        <w:topLinePunct w:val="0"/>
        <w:autoSpaceDE w:val="0"/>
        <w:autoSpaceDN w:val="0"/>
        <w:bidi w:val="0"/>
        <w:adjustRightInd w:val="0"/>
        <w:snapToGrid w:val="0"/>
        <w:spacing w:line="360" w:lineRule="auto"/>
        <w:ind w:firstLine="482" w:firstLineChars="200"/>
        <w:textAlignment w:val="baseline"/>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lang w:eastAsia="zh-CN"/>
        </w:rPr>
        <w:t>十、重要说明</w:t>
      </w:r>
    </w:p>
    <w:p w14:paraId="593C01C3">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1、施工期间的安全问题、地方关系或个体关系由施工单位自行解决。</w:t>
      </w:r>
    </w:p>
    <w:p w14:paraId="36D7EBB1">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2、竞争性磋商文件等相关资料一经在邹城外宣网 (http://w.mencius.gov.cn/）发布，视作已发放给所有潜在供应商 (发布时间即为发出磋商文件的时间)，各供应商应随时关注邹城市外宣网下载电子版磋商文件，否则所造成的一切后果由供应商自负。</w:t>
      </w:r>
    </w:p>
    <w:p w14:paraId="78986541">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本项目如有必要澄清和修改需要发布变更公告的，将在本网站及时发布。请各潜在供应商及时关注相关信息。同时，依据相关法律法规规定，变更公告一旦发布即视为以书面形式通知所有潜在供应商。</w:t>
      </w:r>
    </w:p>
    <w:p w14:paraId="34E8B48F">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jc w:val="right"/>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 xml:space="preserve">                                       </w:t>
      </w:r>
      <w:r>
        <w:rPr>
          <w:rFonts w:hint="eastAsia" w:ascii="宋体" w:hAnsi="宋体" w:cs="宋体"/>
          <w:color w:val="auto"/>
          <w:sz w:val="24"/>
          <w:szCs w:val="24"/>
          <w:lang w:eastAsia="zh-CN"/>
        </w:rPr>
        <w:t>邹城市钢山街道李官庄村村民委员会</w:t>
      </w:r>
    </w:p>
    <w:p w14:paraId="43DB7F0C">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jc w:val="right"/>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 xml:space="preserve">                                       </w:t>
      </w:r>
      <w:r>
        <w:rPr>
          <w:rFonts w:hint="eastAsia" w:ascii="宋体" w:hAnsi="宋体" w:cs="宋体"/>
          <w:color w:val="auto"/>
          <w:sz w:val="24"/>
          <w:szCs w:val="24"/>
          <w:lang w:eastAsia="zh-CN"/>
        </w:rPr>
        <w:t>山东泰山工程项目管理有限公司</w:t>
      </w:r>
      <w:r>
        <w:rPr>
          <w:rFonts w:hint="eastAsia" w:ascii="宋体" w:hAnsi="宋体" w:eastAsia="宋体" w:cs="宋体"/>
          <w:color w:val="auto"/>
          <w:sz w:val="24"/>
          <w:szCs w:val="24"/>
          <w:lang w:eastAsia="zh-CN"/>
        </w:rPr>
        <w:t xml:space="preserve"> </w:t>
      </w:r>
    </w:p>
    <w:p w14:paraId="123F7351">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jc w:val="right"/>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lang w:eastAsia="zh-CN"/>
        </w:rPr>
        <w:t>发布时间：</w:t>
      </w:r>
      <w:r>
        <w:rPr>
          <w:rFonts w:hint="eastAsia" w:ascii="宋体" w:hAnsi="宋体" w:cs="宋体"/>
          <w:color w:val="auto"/>
          <w:sz w:val="24"/>
          <w:szCs w:val="24"/>
          <w:lang w:eastAsia="zh-CN"/>
        </w:rPr>
        <w:t>2025</w:t>
      </w:r>
      <w:r>
        <w:rPr>
          <w:rFonts w:hint="eastAsia" w:ascii="宋体" w:hAnsi="宋体" w:eastAsia="宋体" w:cs="宋体"/>
          <w:color w:val="auto"/>
          <w:sz w:val="24"/>
          <w:szCs w:val="24"/>
          <w:lang w:eastAsia="zh-CN"/>
        </w:rPr>
        <w:t>年</w:t>
      </w:r>
      <w:r>
        <w:rPr>
          <w:rFonts w:hint="eastAsia" w:ascii="宋体" w:hAnsi="宋体" w:cs="宋体"/>
          <w:color w:val="auto"/>
          <w:sz w:val="24"/>
          <w:szCs w:val="24"/>
          <w:lang w:val="en-US" w:eastAsia="zh-CN"/>
        </w:rPr>
        <w:t>6</w:t>
      </w:r>
      <w:r>
        <w:rPr>
          <w:rFonts w:hint="eastAsia" w:ascii="宋体" w:hAnsi="宋体" w:eastAsia="宋体" w:cs="宋体"/>
          <w:color w:val="auto"/>
          <w:sz w:val="24"/>
          <w:szCs w:val="24"/>
          <w:lang w:eastAsia="zh-CN"/>
        </w:rPr>
        <w:t>月</w:t>
      </w:r>
      <w:r>
        <w:rPr>
          <w:rFonts w:hint="eastAsia" w:ascii="宋体" w:hAnsi="宋体" w:cs="宋体"/>
          <w:color w:val="auto"/>
          <w:sz w:val="24"/>
          <w:szCs w:val="24"/>
          <w:lang w:val="en-US" w:eastAsia="zh-CN"/>
        </w:rPr>
        <w:t>9</w:t>
      </w:r>
      <w:r>
        <w:rPr>
          <w:rFonts w:hint="eastAsia" w:ascii="宋体" w:hAnsi="宋体" w:eastAsia="宋体" w:cs="宋体"/>
          <w:color w:val="auto"/>
          <w:sz w:val="24"/>
          <w:szCs w:val="24"/>
          <w:lang w:eastAsia="zh-CN"/>
        </w:rPr>
        <w:t>日</w:t>
      </w:r>
    </w:p>
    <w:p w14:paraId="60614B6D">
      <w:pPr>
        <w:widowControl/>
        <w:shd w:val="clear" w:color="auto" w:fill="FFFFFF"/>
        <w:spacing w:line="560" w:lineRule="exact"/>
        <w:ind w:firstLine="480"/>
        <w:jc w:val="left"/>
        <w:rPr>
          <w:rFonts w:ascii="宋体" w:hAnsi="宋体" w:cs="Helvetica"/>
          <w:color w:val="auto"/>
          <w:kern w:val="0"/>
          <w:sz w:val="24"/>
          <w:lang w:val="en"/>
        </w:rPr>
      </w:pPr>
    </w:p>
    <w:p w14:paraId="73824522">
      <w:pPr>
        <w:widowControl/>
        <w:shd w:val="clear" w:color="auto" w:fill="FFFFFF"/>
        <w:spacing w:line="560" w:lineRule="exact"/>
        <w:ind w:firstLine="480"/>
        <w:jc w:val="left"/>
        <w:rPr>
          <w:rFonts w:ascii="宋体" w:hAnsi="宋体" w:cs="Helvetica"/>
          <w:color w:val="auto"/>
          <w:kern w:val="0"/>
          <w:sz w:val="24"/>
          <w:lang w:val="en"/>
        </w:rPr>
      </w:pPr>
    </w:p>
    <w:p w14:paraId="0E783956">
      <w:pPr>
        <w:widowControl/>
        <w:shd w:val="clear" w:color="auto" w:fill="FFFFFF"/>
        <w:spacing w:line="560" w:lineRule="exact"/>
        <w:ind w:firstLine="480"/>
        <w:jc w:val="left"/>
        <w:rPr>
          <w:rFonts w:ascii="宋体" w:hAnsi="宋体" w:cs="Helvetica"/>
          <w:color w:val="auto"/>
          <w:kern w:val="0"/>
          <w:sz w:val="24"/>
          <w:lang w:val="en"/>
        </w:rPr>
      </w:pPr>
    </w:p>
    <w:p w14:paraId="1F7490C1">
      <w:pPr>
        <w:widowControl/>
        <w:shd w:val="clear" w:color="auto" w:fill="FFFFFF"/>
        <w:spacing w:line="560" w:lineRule="exact"/>
        <w:ind w:firstLine="480"/>
        <w:jc w:val="left"/>
        <w:rPr>
          <w:rFonts w:ascii="宋体" w:hAnsi="宋体" w:cs="Helvetica"/>
          <w:color w:val="auto"/>
          <w:kern w:val="0"/>
          <w:sz w:val="24"/>
          <w:lang w:val="en"/>
        </w:rPr>
      </w:pPr>
    </w:p>
    <w:p w14:paraId="58314EB2">
      <w:pPr>
        <w:rPr>
          <w:rFonts w:hint="eastAsia" w:ascii="宋体" w:hAnsi="宋体" w:eastAsia="宋体" w:cs="宋体"/>
          <w:color w:val="auto"/>
          <w:sz w:val="24"/>
          <w:szCs w:val="24"/>
          <w:lang w:eastAsia="zh-CN"/>
        </w:rPr>
      </w:pPr>
      <w:bookmarkStart w:id="8" w:name="_Toc17307"/>
      <w:bookmarkStart w:id="9" w:name="_Toc474"/>
      <w:r>
        <w:rPr>
          <w:rFonts w:hint="eastAsia" w:ascii="宋体" w:hAnsi="宋体" w:eastAsia="宋体" w:cs="宋体"/>
          <w:color w:val="auto"/>
          <w:sz w:val="24"/>
          <w:szCs w:val="24"/>
          <w:lang w:eastAsia="zh-CN"/>
        </w:rPr>
        <w:br w:type="page"/>
      </w:r>
    </w:p>
    <w:p w14:paraId="7714E92B">
      <w:pPr>
        <w:pStyle w:val="3"/>
        <w:pageBreakBefore w:val="0"/>
        <w:widowControl w:val="0"/>
        <w:kinsoku/>
        <w:wordWrap/>
        <w:overflowPunct/>
        <w:topLinePunct w:val="0"/>
        <w:autoSpaceDE/>
        <w:autoSpaceDN/>
        <w:bidi w:val="0"/>
        <w:adjustRightInd/>
        <w:snapToGrid/>
        <w:spacing w:before="0" w:after="0"/>
        <w:jc w:val="center"/>
        <w:textAlignment w:val="auto"/>
        <w:outlineLvl w:val="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第二部分</w:t>
      </w:r>
      <w:r>
        <w:rPr>
          <w:rFonts w:hint="eastAsia" w:ascii="宋体" w:hAnsi="宋体" w:eastAsia="宋体" w:cs="宋体"/>
          <w:color w:val="auto"/>
          <w:sz w:val="24"/>
          <w:szCs w:val="24"/>
        </w:rPr>
        <w:t xml:space="preserve"> 磋商响应方须知</w:t>
      </w:r>
      <w:bookmarkEnd w:id="8"/>
      <w:bookmarkEnd w:id="9"/>
    </w:p>
    <w:p w14:paraId="3E44A7D5">
      <w:pPr>
        <w:pStyle w:val="10"/>
        <w:pageBreakBefore w:val="0"/>
        <w:widowControl w:val="0"/>
        <w:numPr>
          <w:ilvl w:val="0"/>
          <w:numId w:val="1"/>
        </w:numPr>
        <w:kinsoku/>
        <w:wordWrap/>
        <w:overflowPunct/>
        <w:topLinePunct w:val="0"/>
        <w:autoSpaceDE/>
        <w:autoSpaceDN/>
        <w:bidi w:val="0"/>
        <w:adjustRightInd/>
        <w:snapToGrid/>
        <w:spacing w:before="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响应方须知前附表</w:t>
      </w:r>
    </w:p>
    <w:tbl>
      <w:tblPr>
        <w:tblStyle w:val="39"/>
        <w:tblW w:w="93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9"/>
        <w:gridCol w:w="1716"/>
        <w:gridCol w:w="6753"/>
      </w:tblGrid>
      <w:tr w14:paraId="0978A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09" w:type="dxa"/>
            <w:noWrap w:val="0"/>
            <w:vAlign w:val="center"/>
          </w:tcPr>
          <w:p w14:paraId="3D858D7E">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项号</w:t>
            </w:r>
          </w:p>
        </w:tc>
        <w:tc>
          <w:tcPr>
            <w:tcW w:w="1716" w:type="dxa"/>
            <w:noWrap w:val="0"/>
            <w:vAlign w:val="center"/>
          </w:tcPr>
          <w:p w14:paraId="30FF3A1B">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内容</w:t>
            </w:r>
          </w:p>
        </w:tc>
        <w:tc>
          <w:tcPr>
            <w:tcW w:w="6753" w:type="dxa"/>
            <w:noWrap w:val="0"/>
            <w:vAlign w:val="center"/>
          </w:tcPr>
          <w:p w14:paraId="7433DDF4">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说明与要求</w:t>
            </w:r>
          </w:p>
        </w:tc>
      </w:tr>
      <w:tr w14:paraId="58539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909" w:type="dxa"/>
            <w:noWrap w:val="0"/>
            <w:vAlign w:val="center"/>
          </w:tcPr>
          <w:p w14:paraId="52DC4601">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716" w:type="dxa"/>
            <w:noWrap w:val="0"/>
            <w:vAlign w:val="center"/>
          </w:tcPr>
          <w:p w14:paraId="07D59CC7">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项目名称</w:t>
            </w:r>
          </w:p>
        </w:tc>
        <w:tc>
          <w:tcPr>
            <w:tcW w:w="6753" w:type="dxa"/>
            <w:noWrap w:val="0"/>
            <w:vAlign w:val="center"/>
          </w:tcPr>
          <w:p w14:paraId="76ABBE73">
            <w:pPr>
              <w:spacing w:line="440" w:lineRule="exact"/>
              <w:jc w:val="both"/>
              <w:rPr>
                <w:rFonts w:hint="eastAsia" w:ascii="宋体" w:hAnsi="宋体" w:eastAsia="宋体" w:cs="宋体"/>
                <w:color w:val="auto"/>
                <w:sz w:val="24"/>
                <w:szCs w:val="24"/>
                <w:lang w:eastAsia="zh-CN"/>
              </w:rPr>
            </w:pPr>
            <w:r>
              <w:rPr>
                <w:rFonts w:hint="eastAsia" w:ascii="宋体" w:hAnsi="宋体" w:cs="宋体"/>
                <w:color w:val="auto"/>
                <w:sz w:val="24"/>
                <w:szCs w:val="24"/>
                <w:lang w:eastAsia="zh-CN"/>
              </w:rPr>
              <w:t>邹城市钢山街道办事处钢山花园小区李官村三期热力工程</w:t>
            </w:r>
          </w:p>
        </w:tc>
      </w:tr>
      <w:tr w14:paraId="656DF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909" w:type="dxa"/>
            <w:noWrap w:val="0"/>
            <w:vAlign w:val="center"/>
          </w:tcPr>
          <w:p w14:paraId="1EBAD86A">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1716" w:type="dxa"/>
            <w:noWrap w:val="0"/>
            <w:vAlign w:val="center"/>
          </w:tcPr>
          <w:p w14:paraId="22EBBE89">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项目编号</w:t>
            </w:r>
          </w:p>
        </w:tc>
        <w:tc>
          <w:tcPr>
            <w:tcW w:w="6753" w:type="dxa"/>
            <w:noWrap w:val="0"/>
            <w:vAlign w:val="center"/>
          </w:tcPr>
          <w:p w14:paraId="56A828C3">
            <w:pPr>
              <w:spacing w:line="440" w:lineRule="exact"/>
              <w:jc w:val="both"/>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SDTS-ZCZB2025-021</w:t>
            </w:r>
          </w:p>
        </w:tc>
      </w:tr>
      <w:tr w14:paraId="4D750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2AEDB8D1">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1716" w:type="dxa"/>
            <w:noWrap w:val="0"/>
            <w:vAlign w:val="center"/>
          </w:tcPr>
          <w:p w14:paraId="69C0310D">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项目地点</w:t>
            </w:r>
          </w:p>
        </w:tc>
        <w:tc>
          <w:tcPr>
            <w:tcW w:w="6753" w:type="dxa"/>
            <w:noWrap w:val="0"/>
            <w:vAlign w:val="center"/>
          </w:tcPr>
          <w:p w14:paraId="12681643">
            <w:pPr>
              <w:spacing w:line="440" w:lineRule="exact"/>
              <w:jc w:val="both"/>
              <w:rPr>
                <w:rFonts w:hint="eastAsia" w:ascii="宋体" w:hAnsi="宋体" w:eastAsia="宋体" w:cs="宋体"/>
                <w:color w:val="auto"/>
                <w:sz w:val="24"/>
                <w:szCs w:val="24"/>
                <w:lang w:val="en-US" w:eastAsia="zh-CN"/>
              </w:rPr>
            </w:pPr>
            <w:r>
              <w:rPr>
                <w:rFonts w:hint="eastAsia" w:ascii="宋体" w:hAnsi="宋体" w:cs="宋体"/>
                <w:color w:val="auto"/>
                <w:sz w:val="24"/>
                <w:szCs w:val="24"/>
                <w:lang w:eastAsia="zh-CN"/>
              </w:rPr>
              <w:t>邹城市钢山街道办事处钢山花园小区社区内</w:t>
            </w:r>
          </w:p>
        </w:tc>
      </w:tr>
      <w:tr w14:paraId="20AC6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1165C50E">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1716" w:type="dxa"/>
            <w:noWrap w:val="0"/>
            <w:vAlign w:val="center"/>
          </w:tcPr>
          <w:p w14:paraId="68211ADF">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工期</w:t>
            </w:r>
          </w:p>
        </w:tc>
        <w:tc>
          <w:tcPr>
            <w:tcW w:w="6753" w:type="dxa"/>
            <w:noWrap w:val="0"/>
            <w:vAlign w:val="center"/>
          </w:tcPr>
          <w:p w14:paraId="729F4416">
            <w:pPr>
              <w:spacing w:line="440" w:lineRule="exact"/>
              <w:jc w:val="both"/>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 xml:space="preserve">    50日历天</w:t>
            </w:r>
          </w:p>
          <w:p w14:paraId="7A374A45">
            <w:pPr>
              <w:spacing w:line="440" w:lineRule="exact"/>
              <w:ind w:firstLine="480" w:firstLineChars="200"/>
              <w:jc w:val="both"/>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注：实际开工日期以发包人签署的开工指令为准；竣工日期以发包人及监理等五方共同书面确认的全部工程竣工验收通过日期为准。承包人须根据发包人进度要求进行施工，除发包人书面调整外，无论何种原因，竣工日期不变。以上工期总日历天数的约定已考虑施工期间的节假日、以及城市创卫、环保扬尘治理、冬雨季施工、施工现场场地条件和环境条件、农忙及恶劣气候（包括但不限于大风、沙尘、冰雹、持续高温等）、疫情、政府部门政治性会议或其他事件对施工的限制、设计变更导致工程量的增加或工程的返工工期等因素（一次性设计变更超过合同价款的5%并经发包人书面签证的除外）</w:t>
            </w:r>
          </w:p>
        </w:tc>
      </w:tr>
      <w:tr w14:paraId="174DF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trPr>
        <w:tc>
          <w:tcPr>
            <w:tcW w:w="909" w:type="dxa"/>
            <w:noWrap w:val="0"/>
            <w:vAlign w:val="center"/>
          </w:tcPr>
          <w:p w14:paraId="59C4530B">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5</w:t>
            </w:r>
          </w:p>
        </w:tc>
        <w:tc>
          <w:tcPr>
            <w:tcW w:w="1716" w:type="dxa"/>
            <w:noWrap w:val="0"/>
            <w:vAlign w:val="center"/>
          </w:tcPr>
          <w:p w14:paraId="1D0CC881">
            <w:pPr>
              <w:spacing w:line="440" w:lineRule="exact"/>
              <w:jc w:val="center"/>
              <w:rPr>
                <w:rFonts w:hint="eastAsia" w:ascii="宋体" w:hAnsi="宋体" w:eastAsia="宋体" w:cs="宋体"/>
                <w:color w:val="auto"/>
                <w:sz w:val="24"/>
                <w:szCs w:val="24"/>
                <w:lang w:eastAsia="zh-CN"/>
              </w:rPr>
            </w:pPr>
            <w:r>
              <w:rPr>
                <w:rFonts w:hint="eastAsia" w:ascii="宋体" w:hAnsi="宋体" w:cs="宋体"/>
                <w:color w:val="auto"/>
                <w:sz w:val="24"/>
                <w:szCs w:val="24"/>
                <w:lang w:eastAsia="zh-CN"/>
              </w:rPr>
              <w:t>缺陷责任期</w:t>
            </w:r>
          </w:p>
        </w:tc>
        <w:tc>
          <w:tcPr>
            <w:tcW w:w="6753" w:type="dxa"/>
            <w:noWrap w:val="0"/>
            <w:vAlign w:val="center"/>
          </w:tcPr>
          <w:p w14:paraId="1098EE4B">
            <w:pPr>
              <w:spacing w:line="440" w:lineRule="exact"/>
              <w:jc w:val="both"/>
              <w:rPr>
                <w:rFonts w:hint="default" w:ascii="宋体" w:hAnsi="宋体" w:eastAsia="宋体" w:cs="宋体"/>
                <w:bCs/>
                <w:color w:val="auto"/>
                <w:sz w:val="24"/>
                <w:szCs w:val="24"/>
                <w:lang w:val="en-US" w:eastAsia="zh-CN"/>
              </w:rPr>
            </w:pPr>
            <w:r>
              <w:rPr>
                <w:rFonts w:hint="eastAsia" w:ascii="宋体" w:hAnsi="宋体" w:cs="宋体"/>
                <w:bCs/>
                <w:color w:val="auto"/>
                <w:sz w:val="24"/>
                <w:szCs w:val="24"/>
                <w:lang w:val="en-US" w:eastAsia="zh-CN"/>
              </w:rPr>
              <w:t>两个完整的供暖期</w:t>
            </w:r>
          </w:p>
        </w:tc>
      </w:tr>
      <w:tr w14:paraId="10972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58E1FE11">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6</w:t>
            </w:r>
          </w:p>
        </w:tc>
        <w:tc>
          <w:tcPr>
            <w:tcW w:w="1716" w:type="dxa"/>
            <w:noWrap w:val="0"/>
            <w:vAlign w:val="center"/>
          </w:tcPr>
          <w:p w14:paraId="174DBC05">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采购内容</w:t>
            </w:r>
          </w:p>
        </w:tc>
        <w:tc>
          <w:tcPr>
            <w:tcW w:w="6753" w:type="dxa"/>
            <w:noWrap w:val="0"/>
            <w:vAlign w:val="center"/>
          </w:tcPr>
          <w:p w14:paraId="47C65517">
            <w:pPr>
              <w:spacing w:line="440" w:lineRule="exact"/>
              <w:jc w:val="both"/>
              <w:rPr>
                <w:rFonts w:hint="eastAsia" w:ascii="宋体" w:hAnsi="宋体" w:eastAsia="宋体" w:cs="宋体"/>
                <w:color w:val="auto"/>
                <w:sz w:val="24"/>
                <w:szCs w:val="24"/>
              </w:rPr>
            </w:pPr>
            <w:r>
              <w:rPr>
                <w:rFonts w:hint="eastAsia" w:ascii="宋体" w:hAnsi="宋体" w:eastAsia="宋体" w:cs="宋体"/>
                <w:color w:val="auto"/>
                <w:sz w:val="24"/>
                <w:szCs w:val="24"/>
              </w:rPr>
              <w:t>详见第四部分采购内容及要求。</w:t>
            </w:r>
          </w:p>
        </w:tc>
      </w:tr>
      <w:tr w14:paraId="00B45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09" w:type="dxa"/>
            <w:noWrap w:val="0"/>
            <w:vAlign w:val="center"/>
          </w:tcPr>
          <w:p w14:paraId="487A5C4D">
            <w:pPr>
              <w:spacing w:line="440" w:lineRule="exact"/>
              <w:jc w:val="center"/>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7</w:t>
            </w:r>
          </w:p>
        </w:tc>
        <w:tc>
          <w:tcPr>
            <w:tcW w:w="1716" w:type="dxa"/>
            <w:noWrap w:val="0"/>
            <w:vAlign w:val="center"/>
          </w:tcPr>
          <w:p w14:paraId="5CB14C95">
            <w:pPr>
              <w:spacing w:line="440" w:lineRule="exact"/>
              <w:jc w:val="center"/>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付款方式</w:t>
            </w:r>
          </w:p>
        </w:tc>
        <w:tc>
          <w:tcPr>
            <w:tcW w:w="6753" w:type="dxa"/>
            <w:noWrap w:val="0"/>
            <w:vAlign w:val="center"/>
          </w:tcPr>
          <w:p w14:paraId="25073040">
            <w:pPr>
              <w:keepNext w:val="0"/>
              <w:keepLines w:val="0"/>
              <w:pageBreakBefore w:val="0"/>
              <w:widowControl w:val="0"/>
              <w:tabs>
                <w:tab w:val="left" w:pos="315"/>
              </w:tabs>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每月25日前经甲方及监理方共同验收合格后，施工单位上报每月实际完成付款清单（付款清单=合格工程量乘以固定含税全费用综合单价），首先由甲方项目部及监理方签字确认后，转交公司成本部，成本部收到签字确认的付款清单后组织审计公司进行审计，三方达成一致后，支付每月实际完成合格工程造价的50%（同比例扣除发包人供应材料、设备价款）。</w:t>
            </w:r>
          </w:p>
          <w:p w14:paraId="5BFB9779">
            <w:pPr>
              <w:keepNext w:val="0"/>
              <w:keepLines w:val="0"/>
              <w:pageBreakBefore w:val="0"/>
              <w:widowControl w:val="0"/>
              <w:tabs>
                <w:tab w:val="left" w:pos="315"/>
              </w:tabs>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（2）整体工程施工全部完成，并经甲方及监理方验收合格后，累计支付实际完成总额工程造价的</w:t>
            </w:r>
            <w:r>
              <w:rPr>
                <w:rFonts w:hint="eastAsia" w:ascii="宋体" w:hAnsi="宋体" w:cs="宋体"/>
                <w:color w:val="auto"/>
                <w:sz w:val="24"/>
                <w:szCs w:val="24"/>
                <w:lang w:val="en-US" w:eastAsia="zh-CN"/>
              </w:rPr>
              <w:t>60</w:t>
            </w:r>
            <w:r>
              <w:rPr>
                <w:rFonts w:hint="eastAsia" w:ascii="宋体" w:hAnsi="宋体" w:eastAsia="宋体" w:cs="宋体"/>
                <w:color w:val="auto"/>
                <w:sz w:val="24"/>
                <w:szCs w:val="24"/>
                <w:lang w:val="en-US" w:eastAsia="zh-CN"/>
              </w:rPr>
              <w:t>%（同比例扣除发包人供应材料、设备价款）。</w:t>
            </w:r>
          </w:p>
          <w:p w14:paraId="073C965D">
            <w:pPr>
              <w:keepNext w:val="0"/>
              <w:keepLines w:val="0"/>
              <w:pageBreakBefore w:val="0"/>
              <w:widowControl w:val="0"/>
              <w:tabs>
                <w:tab w:val="left" w:pos="315"/>
              </w:tabs>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（3）整体工程竣工验收合格移交工程竣工资料并工程备案完毕、经具有工程造价咨询资质的机构审计完成，竣工结算办理完毕手续后累计支付到结算值的97%（全额扣除发包人供应材料、设备价款）。</w:t>
            </w:r>
          </w:p>
          <w:p w14:paraId="58261B9C">
            <w:pPr>
              <w:keepNext w:val="0"/>
              <w:keepLines w:val="0"/>
              <w:pageBreakBefore w:val="0"/>
              <w:widowControl w:val="0"/>
              <w:tabs>
                <w:tab w:val="left" w:pos="315"/>
              </w:tabs>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留结算价的3%作为保修金，在工程整体竣工验收合格之日起满2年后，如工程无质量问题、乙方无违约行为（在保修金支付前乙方须提前20天书面申请甲方对工程进行验收，待甲方组织验收无质量问题并加盖甲方公章书面确认后）后，经乙方书面申请30日内，无息返还保修金。否则，甲方有权延期或拒绝付款，并无须承担违约责任。</w:t>
            </w:r>
          </w:p>
          <w:p w14:paraId="3CFFE590">
            <w:pPr>
              <w:keepNext w:val="0"/>
              <w:keepLines w:val="0"/>
              <w:pageBreakBefore w:val="0"/>
              <w:widowControl w:val="0"/>
              <w:tabs>
                <w:tab w:val="left" w:pos="315"/>
              </w:tabs>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工程结算总价=确认的固定含税全费用综合单价×实测工程量+设计变更、洽商、签证＋依据本合同的增加项目-依据本合同的减少项目-违约金和（或）损失赔偿额；结算资料需双方签字盖章方为有效，不符合条件的工程结算资料依据均属无效，双方不作为办理结算的依据</w:t>
            </w:r>
          </w:p>
        </w:tc>
      </w:tr>
      <w:tr w14:paraId="1D63F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4615677B">
            <w:pPr>
              <w:spacing w:line="440" w:lineRule="exact"/>
              <w:jc w:val="center"/>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8</w:t>
            </w:r>
          </w:p>
        </w:tc>
        <w:tc>
          <w:tcPr>
            <w:tcW w:w="1716" w:type="dxa"/>
            <w:noWrap w:val="0"/>
            <w:vAlign w:val="center"/>
          </w:tcPr>
          <w:p w14:paraId="21AB25E8">
            <w:pPr>
              <w:spacing w:line="44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磋商响应方资格要求</w:t>
            </w:r>
          </w:p>
        </w:tc>
        <w:tc>
          <w:tcPr>
            <w:tcW w:w="6753" w:type="dxa"/>
            <w:noWrap w:val="0"/>
            <w:vAlign w:val="center"/>
          </w:tcPr>
          <w:p w14:paraId="48C0CA0C">
            <w:pPr>
              <w:keepNext w:val="0"/>
              <w:keepLines w:val="0"/>
              <w:pageBreakBefore w:val="0"/>
              <w:widowControl w:val="0"/>
              <w:tabs>
                <w:tab w:val="left" w:pos="315"/>
              </w:tabs>
              <w:kinsoku/>
              <w:wordWrap/>
              <w:overflowPunct/>
              <w:topLinePunct w:val="0"/>
              <w:autoSpaceDE/>
              <w:autoSpaceDN/>
              <w:bidi w:val="0"/>
              <w:adjustRightInd/>
              <w:snapToGrid/>
              <w:spacing w:line="520" w:lineRule="exact"/>
              <w:textAlignment w:val="auto"/>
              <w:rPr>
                <w:rFonts w:hint="eastAsia" w:ascii="宋体" w:hAnsi="宋体" w:eastAsia="宋体" w:cs="宋体"/>
                <w:b/>
                <w:color w:val="auto"/>
                <w:sz w:val="24"/>
                <w:szCs w:val="24"/>
                <w:lang w:eastAsia="zh-CN"/>
              </w:rPr>
            </w:pPr>
            <w:r>
              <w:rPr>
                <w:rFonts w:hint="eastAsia" w:ascii="宋体" w:hAnsi="宋体" w:eastAsia="宋体" w:cs="宋体"/>
                <w:b/>
                <w:color w:val="auto"/>
                <w:sz w:val="24"/>
                <w:szCs w:val="24"/>
                <w:lang w:eastAsia="zh-CN"/>
              </w:rPr>
              <w:t>详见磋商响应方须知：三、</w:t>
            </w:r>
            <w:r>
              <w:rPr>
                <w:rFonts w:hint="eastAsia" w:ascii="宋体" w:hAnsi="宋体" w:cs="宋体"/>
                <w:b/>
                <w:color w:val="auto"/>
                <w:sz w:val="24"/>
                <w:szCs w:val="24"/>
                <w:lang w:eastAsia="zh-CN"/>
              </w:rPr>
              <w:t>供应商应具备的条件</w:t>
            </w:r>
          </w:p>
        </w:tc>
      </w:tr>
      <w:tr w14:paraId="7DDE0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09" w:type="dxa"/>
            <w:noWrap w:val="0"/>
            <w:vAlign w:val="center"/>
          </w:tcPr>
          <w:p w14:paraId="72A71CC7">
            <w:pPr>
              <w:spacing w:line="440" w:lineRule="exact"/>
              <w:jc w:val="center"/>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9</w:t>
            </w:r>
          </w:p>
        </w:tc>
        <w:tc>
          <w:tcPr>
            <w:tcW w:w="1716" w:type="dxa"/>
            <w:noWrap w:val="0"/>
            <w:vAlign w:val="center"/>
          </w:tcPr>
          <w:p w14:paraId="1657B0BB">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资格审查方式</w:t>
            </w:r>
          </w:p>
        </w:tc>
        <w:tc>
          <w:tcPr>
            <w:tcW w:w="6753" w:type="dxa"/>
            <w:noWrap w:val="0"/>
            <w:vAlign w:val="center"/>
          </w:tcPr>
          <w:p w14:paraId="17AB8F6E">
            <w:pPr>
              <w:widowControl/>
              <w:numPr>
                <w:ilvl w:val="0"/>
                <w:numId w:val="0"/>
              </w:numPr>
              <w:shd w:val="clear" w:color="auto" w:fill="FFFFFF"/>
              <w:spacing w:line="360" w:lineRule="auto"/>
              <w:ind w:leftChars="0"/>
              <w:jc w:val="left"/>
              <w:rPr>
                <w:rFonts w:hint="eastAsia" w:ascii="宋体" w:hAnsi="宋体" w:eastAsia="宋体" w:cs="宋体"/>
                <w:b/>
                <w:bCs w:val="0"/>
                <w:color w:val="auto"/>
                <w:kern w:val="0"/>
                <w:sz w:val="24"/>
                <w:szCs w:val="24"/>
                <w:lang w:val="en-US" w:eastAsia="zh-CN" w:bidi="ar-SA"/>
              </w:rPr>
            </w:pPr>
            <w:r>
              <w:rPr>
                <w:rFonts w:hint="eastAsia" w:ascii="宋体" w:hAnsi="宋体" w:eastAsia="宋体" w:cs="宋体"/>
                <w:b/>
                <w:bCs w:val="0"/>
                <w:color w:val="auto"/>
                <w:kern w:val="0"/>
                <w:sz w:val="24"/>
                <w:szCs w:val="24"/>
                <w:lang w:val="en-US" w:eastAsia="zh-CN" w:bidi="ar-SA"/>
              </w:rPr>
              <w:t>资格后审</w:t>
            </w:r>
          </w:p>
        </w:tc>
      </w:tr>
      <w:tr w14:paraId="310B9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448B26B2">
            <w:pPr>
              <w:spacing w:line="44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cs="宋体"/>
                <w:color w:val="auto"/>
                <w:sz w:val="24"/>
                <w:szCs w:val="24"/>
                <w:lang w:val="en-US" w:eastAsia="zh-CN"/>
              </w:rPr>
              <w:t>0</w:t>
            </w:r>
          </w:p>
        </w:tc>
        <w:tc>
          <w:tcPr>
            <w:tcW w:w="1716" w:type="dxa"/>
            <w:noWrap w:val="0"/>
            <w:vAlign w:val="center"/>
          </w:tcPr>
          <w:p w14:paraId="5D2F90F8">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lang w:eastAsia="zh-CN"/>
              </w:rPr>
              <w:t>磋商</w:t>
            </w:r>
            <w:r>
              <w:rPr>
                <w:rFonts w:hint="eastAsia" w:ascii="宋体" w:hAnsi="宋体" w:eastAsia="宋体" w:cs="宋体"/>
                <w:color w:val="auto"/>
                <w:sz w:val="24"/>
                <w:szCs w:val="24"/>
              </w:rPr>
              <w:t>有效期</w:t>
            </w:r>
          </w:p>
        </w:tc>
        <w:tc>
          <w:tcPr>
            <w:tcW w:w="6753" w:type="dxa"/>
            <w:noWrap w:val="0"/>
            <w:vAlign w:val="center"/>
          </w:tcPr>
          <w:p w14:paraId="3287A536">
            <w:pPr>
              <w:spacing w:line="440" w:lineRule="exact"/>
              <w:jc w:val="both"/>
              <w:rPr>
                <w:rFonts w:hint="eastAsia" w:ascii="宋体" w:hAnsi="宋体" w:eastAsia="宋体" w:cs="宋体"/>
                <w:color w:val="auto"/>
                <w:sz w:val="24"/>
                <w:szCs w:val="24"/>
              </w:rPr>
            </w:pPr>
            <w:r>
              <w:rPr>
                <w:rFonts w:hint="eastAsia" w:ascii="宋体" w:hAnsi="宋体" w:eastAsia="宋体" w:cs="宋体"/>
                <w:color w:val="auto"/>
                <w:sz w:val="24"/>
                <w:szCs w:val="24"/>
              </w:rPr>
              <w:t>自递交</w:t>
            </w:r>
            <w:r>
              <w:rPr>
                <w:rFonts w:hint="eastAsia" w:ascii="宋体" w:hAnsi="宋体" w:eastAsia="宋体" w:cs="宋体"/>
                <w:color w:val="auto"/>
                <w:sz w:val="24"/>
                <w:szCs w:val="24"/>
                <w:lang w:eastAsia="zh-CN"/>
              </w:rPr>
              <w:t>磋商</w:t>
            </w:r>
            <w:r>
              <w:rPr>
                <w:rFonts w:hint="eastAsia" w:ascii="宋体" w:hAnsi="宋体" w:eastAsia="宋体" w:cs="宋体"/>
                <w:color w:val="auto"/>
                <w:sz w:val="24"/>
                <w:szCs w:val="24"/>
              </w:rPr>
              <w:t>响应文件截止之日起</w:t>
            </w:r>
            <w:r>
              <w:rPr>
                <w:rFonts w:hint="eastAsia" w:ascii="宋体" w:hAnsi="宋体" w:eastAsia="宋体" w:cs="宋体"/>
                <w:color w:val="auto"/>
                <w:sz w:val="24"/>
                <w:szCs w:val="24"/>
                <w:lang w:val="en-US" w:eastAsia="zh-CN"/>
              </w:rPr>
              <w:t>60</w:t>
            </w:r>
            <w:r>
              <w:rPr>
                <w:rFonts w:hint="eastAsia" w:ascii="宋体" w:hAnsi="宋体" w:eastAsia="宋体" w:cs="宋体"/>
                <w:color w:val="auto"/>
                <w:sz w:val="24"/>
                <w:szCs w:val="24"/>
              </w:rPr>
              <w:t>日历天。</w:t>
            </w:r>
          </w:p>
        </w:tc>
      </w:tr>
      <w:tr w14:paraId="2D896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20D399EB">
            <w:pPr>
              <w:spacing w:line="44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cs="宋体"/>
                <w:color w:val="auto"/>
                <w:sz w:val="24"/>
                <w:szCs w:val="24"/>
                <w:lang w:val="en-US" w:eastAsia="zh-CN"/>
              </w:rPr>
              <w:t>1</w:t>
            </w:r>
          </w:p>
        </w:tc>
        <w:tc>
          <w:tcPr>
            <w:tcW w:w="1716" w:type="dxa"/>
            <w:noWrap w:val="0"/>
            <w:vAlign w:val="center"/>
          </w:tcPr>
          <w:p w14:paraId="6A1788C1">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lang w:eastAsia="zh-CN"/>
              </w:rPr>
              <w:t>磋商</w:t>
            </w:r>
            <w:r>
              <w:rPr>
                <w:rFonts w:hint="eastAsia" w:ascii="宋体" w:hAnsi="宋体" w:eastAsia="宋体" w:cs="宋体"/>
                <w:color w:val="auto"/>
                <w:sz w:val="24"/>
                <w:szCs w:val="24"/>
              </w:rPr>
              <w:t>保证金</w:t>
            </w:r>
          </w:p>
        </w:tc>
        <w:tc>
          <w:tcPr>
            <w:tcW w:w="6753" w:type="dxa"/>
            <w:noWrap w:val="0"/>
            <w:vAlign w:val="center"/>
          </w:tcPr>
          <w:p w14:paraId="41E5A2CF">
            <w:pPr>
              <w:spacing w:line="440" w:lineRule="exac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本项目无需缴纳磋商保证金。</w:t>
            </w:r>
          </w:p>
        </w:tc>
      </w:tr>
      <w:tr w14:paraId="3D26E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7AB6FDE4">
            <w:pPr>
              <w:spacing w:line="44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cs="宋体"/>
                <w:color w:val="auto"/>
                <w:sz w:val="24"/>
                <w:szCs w:val="24"/>
                <w:lang w:val="en-US" w:eastAsia="zh-CN"/>
              </w:rPr>
              <w:t>2</w:t>
            </w:r>
          </w:p>
        </w:tc>
        <w:tc>
          <w:tcPr>
            <w:tcW w:w="1716" w:type="dxa"/>
            <w:noWrap w:val="0"/>
            <w:vAlign w:val="center"/>
          </w:tcPr>
          <w:p w14:paraId="18689817">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lang w:eastAsia="zh-CN"/>
              </w:rPr>
              <w:t>磋商</w:t>
            </w:r>
            <w:r>
              <w:rPr>
                <w:rFonts w:hint="eastAsia" w:ascii="宋体" w:hAnsi="宋体" w:eastAsia="宋体" w:cs="宋体"/>
                <w:color w:val="auto"/>
                <w:sz w:val="24"/>
                <w:szCs w:val="24"/>
              </w:rPr>
              <w:t>响应文件份数</w:t>
            </w:r>
          </w:p>
        </w:tc>
        <w:tc>
          <w:tcPr>
            <w:tcW w:w="6753" w:type="dxa"/>
            <w:noWrap w:val="0"/>
            <w:vAlign w:val="center"/>
          </w:tcPr>
          <w:p w14:paraId="72B4773C">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lang w:eastAsia="zh-CN"/>
              </w:rPr>
              <w:t>纸质版文件</w:t>
            </w:r>
            <w:r>
              <w:rPr>
                <w:rFonts w:hint="eastAsia" w:ascii="宋体" w:hAnsi="宋体" w:eastAsia="宋体" w:cs="宋体"/>
                <w:color w:val="auto"/>
                <w:sz w:val="24"/>
                <w:szCs w:val="24"/>
              </w:rPr>
              <w:t>正本</w:t>
            </w:r>
            <w:r>
              <w:rPr>
                <w:rFonts w:hint="eastAsia" w:ascii="宋体" w:hAnsi="宋体" w:eastAsia="宋体" w:cs="宋体"/>
                <w:color w:val="auto"/>
                <w:sz w:val="24"/>
                <w:szCs w:val="24"/>
                <w:lang w:eastAsia="zh-CN"/>
              </w:rPr>
              <w:t>一</w:t>
            </w:r>
            <w:r>
              <w:rPr>
                <w:rFonts w:hint="eastAsia" w:ascii="宋体" w:hAnsi="宋体" w:eastAsia="宋体" w:cs="宋体"/>
                <w:color w:val="auto"/>
                <w:sz w:val="24"/>
                <w:szCs w:val="24"/>
              </w:rPr>
              <w:t>份、副本</w:t>
            </w:r>
            <w:r>
              <w:rPr>
                <w:rFonts w:hint="eastAsia" w:ascii="宋体" w:hAnsi="宋体" w:cs="宋体"/>
                <w:color w:val="auto"/>
                <w:sz w:val="24"/>
                <w:szCs w:val="24"/>
                <w:lang w:eastAsia="zh-CN"/>
              </w:rPr>
              <w:t>叁</w:t>
            </w:r>
            <w:r>
              <w:rPr>
                <w:rFonts w:hint="eastAsia" w:ascii="宋体" w:hAnsi="宋体" w:eastAsia="宋体" w:cs="宋体"/>
                <w:color w:val="auto"/>
                <w:sz w:val="24"/>
                <w:szCs w:val="24"/>
              </w:rPr>
              <w:t>份</w:t>
            </w:r>
          </w:p>
        </w:tc>
      </w:tr>
      <w:tr w14:paraId="0E3F4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430C8E66">
            <w:pPr>
              <w:spacing w:line="44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cs="宋体"/>
                <w:color w:val="auto"/>
                <w:sz w:val="24"/>
                <w:szCs w:val="24"/>
                <w:lang w:val="en-US" w:eastAsia="zh-CN"/>
              </w:rPr>
              <w:t>3</w:t>
            </w:r>
          </w:p>
        </w:tc>
        <w:tc>
          <w:tcPr>
            <w:tcW w:w="1716" w:type="dxa"/>
            <w:noWrap w:val="0"/>
            <w:vAlign w:val="center"/>
          </w:tcPr>
          <w:p w14:paraId="4EE73579">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rPr>
              <w:t>纸质响应文件的密封</w:t>
            </w:r>
          </w:p>
        </w:tc>
        <w:tc>
          <w:tcPr>
            <w:tcW w:w="6753" w:type="dxa"/>
            <w:noWrap w:val="0"/>
            <w:vAlign w:val="center"/>
          </w:tcPr>
          <w:p w14:paraId="4D3A1400">
            <w:pPr>
              <w:widowControl/>
              <w:shd w:val="clear" w:color="auto" w:fill="FFFFFF"/>
              <w:spacing w:line="360" w:lineRule="auto"/>
              <w:jc w:val="left"/>
              <w:rPr>
                <w:rFonts w:hint="eastAsia" w:ascii="宋体" w:hAnsi="宋体" w:eastAsia="宋体" w:cs="宋体"/>
                <w:bCs/>
                <w:color w:val="auto"/>
                <w:sz w:val="24"/>
                <w:szCs w:val="24"/>
                <w:lang w:eastAsia="zh-CN"/>
              </w:rPr>
            </w:pPr>
            <w:r>
              <w:rPr>
                <w:rFonts w:hint="eastAsia" w:ascii="宋体" w:hAnsi="宋体" w:eastAsia="宋体" w:cs="宋体"/>
                <w:b/>
                <w:color w:val="auto"/>
                <w:sz w:val="24"/>
                <w:szCs w:val="24"/>
              </w:rPr>
              <w:t>响应供应商应将</w:t>
            </w:r>
            <w:r>
              <w:rPr>
                <w:rFonts w:hint="eastAsia" w:ascii="宋体" w:hAnsi="宋体" w:eastAsia="宋体" w:cs="宋体"/>
                <w:b/>
                <w:color w:val="auto"/>
                <w:sz w:val="24"/>
                <w:szCs w:val="24"/>
                <w:lang w:val="en-US" w:eastAsia="zh-CN"/>
              </w:rPr>
              <w:t>磋商</w:t>
            </w:r>
            <w:r>
              <w:rPr>
                <w:rFonts w:hint="eastAsia" w:ascii="宋体" w:hAnsi="宋体" w:eastAsia="宋体" w:cs="宋体"/>
                <w:b/>
                <w:color w:val="auto"/>
                <w:sz w:val="24"/>
                <w:szCs w:val="24"/>
              </w:rPr>
              <w:t>响应文件密封，并在封口处加盖供应商公章或由法定代表人（或授权代表）签字（或盖章），未按本条要求密封的</w:t>
            </w:r>
            <w:r>
              <w:rPr>
                <w:rFonts w:hint="eastAsia" w:ascii="宋体" w:hAnsi="宋体" w:eastAsia="宋体" w:cs="宋体"/>
                <w:b/>
                <w:color w:val="auto"/>
                <w:sz w:val="24"/>
                <w:szCs w:val="24"/>
                <w:lang w:val="en-US" w:eastAsia="zh-CN"/>
              </w:rPr>
              <w:t>磋商</w:t>
            </w:r>
            <w:r>
              <w:rPr>
                <w:rFonts w:hint="eastAsia" w:ascii="宋体" w:hAnsi="宋体" w:eastAsia="宋体" w:cs="宋体"/>
                <w:b/>
                <w:color w:val="auto"/>
                <w:sz w:val="24"/>
                <w:szCs w:val="24"/>
              </w:rPr>
              <w:t>响应文件采购人不予接收</w:t>
            </w:r>
            <w:r>
              <w:rPr>
                <w:rFonts w:hint="eastAsia" w:ascii="宋体" w:hAnsi="宋体" w:eastAsia="宋体" w:cs="宋体"/>
                <w:b/>
                <w:color w:val="auto"/>
                <w:kern w:val="0"/>
                <w:sz w:val="24"/>
                <w:szCs w:val="24"/>
              </w:rPr>
              <w:t>。</w:t>
            </w:r>
          </w:p>
        </w:tc>
      </w:tr>
      <w:tr w14:paraId="18078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72F956BB">
            <w:pPr>
              <w:spacing w:line="440" w:lineRule="exac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w:t>
            </w:r>
            <w:r>
              <w:rPr>
                <w:rFonts w:hint="eastAsia" w:ascii="宋体" w:hAnsi="宋体" w:cs="宋体"/>
                <w:color w:val="auto"/>
                <w:sz w:val="24"/>
                <w:szCs w:val="24"/>
                <w:lang w:val="en-US" w:eastAsia="zh-CN"/>
              </w:rPr>
              <w:t>4</w:t>
            </w:r>
          </w:p>
        </w:tc>
        <w:tc>
          <w:tcPr>
            <w:tcW w:w="1716" w:type="dxa"/>
            <w:noWrap w:val="0"/>
            <w:vAlign w:val="center"/>
          </w:tcPr>
          <w:p w14:paraId="2C7803A9">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rPr>
              <w:t>纸质响应文件装订要求</w:t>
            </w:r>
          </w:p>
        </w:tc>
        <w:tc>
          <w:tcPr>
            <w:tcW w:w="6753" w:type="dxa"/>
            <w:noWrap w:val="0"/>
            <w:vAlign w:val="center"/>
          </w:tcPr>
          <w:p w14:paraId="7680F2DF">
            <w:pPr>
              <w:widowControl/>
              <w:shd w:val="clear" w:color="auto" w:fill="FFFFFF"/>
              <w:spacing w:line="360" w:lineRule="auto"/>
              <w:jc w:val="left"/>
              <w:rPr>
                <w:rFonts w:hint="eastAsia" w:ascii="宋体" w:hAnsi="宋体" w:eastAsia="宋体" w:cs="宋体"/>
                <w:bCs/>
                <w:color w:val="auto"/>
                <w:sz w:val="24"/>
                <w:szCs w:val="24"/>
              </w:rPr>
            </w:pPr>
            <w:r>
              <w:rPr>
                <w:rFonts w:hint="eastAsia" w:ascii="宋体" w:hAnsi="宋体" w:eastAsia="宋体" w:cs="宋体"/>
                <w:bCs/>
                <w:color w:val="auto"/>
                <w:sz w:val="24"/>
                <w:szCs w:val="24"/>
              </w:rPr>
              <w:t>1、</w:t>
            </w:r>
            <w:r>
              <w:rPr>
                <w:rFonts w:hint="eastAsia" w:ascii="宋体" w:hAnsi="宋体" w:eastAsia="宋体" w:cs="宋体"/>
                <w:bCs/>
                <w:color w:val="auto"/>
                <w:sz w:val="24"/>
                <w:szCs w:val="24"/>
                <w:lang w:eastAsia="zh-CN"/>
              </w:rPr>
              <w:t>磋商</w:t>
            </w:r>
            <w:r>
              <w:rPr>
                <w:rFonts w:hint="eastAsia" w:ascii="宋体" w:hAnsi="宋体" w:eastAsia="宋体" w:cs="宋体"/>
                <w:bCs/>
                <w:color w:val="auto"/>
                <w:sz w:val="24"/>
                <w:szCs w:val="24"/>
              </w:rPr>
              <w:t>响应文件需签字及盖章齐全并以胶装的方式装订成册；</w:t>
            </w:r>
          </w:p>
          <w:p w14:paraId="6A2A4CF7">
            <w:pPr>
              <w:widowControl/>
              <w:shd w:val="clear" w:color="auto" w:fill="FFFFFF"/>
              <w:spacing w:line="360" w:lineRule="auto"/>
              <w:jc w:val="left"/>
              <w:rPr>
                <w:rFonts w:hint="eastAsia" w:ascii="宋体" w:hAnsi="宋体" w:eastAsia="宋体" w:cs="宋体"/>
                <w:bCs/>
                <w:color w:val="auto"/>
                <w:sz w:val="24"/>
                <w:szCs w:val="24"/>
              </w:rPr>
            </w:pPr>
            <w:r>
              <w:rPr>
                <w:rFonts w:hint="eastAsia" w:ascii="宋体" w:hAnsi="宋体" w:eastAsia="宋体" w:cs="宋体"/>
                <w:bCs/>
                <w:color w:val="auto"/>
                <w:sz w:val="24"/>
                <w:szCs w:val="24"/>
              </w:rPr>
              <w:t>2、供应商应准备</w:t>
            </w:r>
            <w:r>
              <w:rPr>
                <w:rFonts w:hint="eastAsia" w:ascii="宋体" w:hAnsi="宋体" w:eastAsia="宋体" w:cs="宋体"/>
                <w:bCs/>
                <w:color w:val="auto"/>
                <w:sz w:val="24"/>
                <w:szCs w:val="24"/>
                <w:lang w:eastAsia="zh-CN"/>
              </w:rPr>
              <w:t>磋商</w:t>
            </w:r>
            <w:r>
              <w:rPr>
                <w:rFonts w:hint="eastAsia" w:ascii="宋体" w:hAnsi="宋体" w:eastAsia="宋体" w:cs="宋体"/>
                <w:bCs/>
                <w:color w:val="auto"/>
                <w:sz w:val="24"/>
                <w:szCs w:val="24"/>
              </w:rPr>
              <w:t>响应文件</w:t>
            </w:r>
            <w:r>
              <w:rPr>
                <w:rFonts w:hint="eastAsia" w:ascii="宋体" w:hAnsi="宋体" w:cs="宋体"/>
                <w:bCs/>
                <w:color w:val="auto"/>
                <w:sz w:val="24"/>
                <w:szCs w:val="24"/>
                <w:lang w:eastAsia="zh-CN"/>
              </w:rPr>
              <w:t>四</w:t>
            </w:r>
            <w:r>
              <w:rPr>
                <w:rFonts w:hint="eastAsia" w:ascii="宋体" w:hAnsi="宋体" w:eastAsia="宋体" w:cs="宋体"/>
                <w:bCs/>
                <w:color w:val="auto"/>
                <w:sz w:val="24"/>
                <w:szCs w:val="24"/>
              </w:rPr>
              <w:t>份，一份正本和</w:t>
            </w:r>
            <w:r>
              <w:rPr>
                <w:rFonts w:hint="eastAsia" w:ascii="宋体" w:hAnsi="宋体" w:cs="宋体"/>
                <w:bCs/>
                <w:color w:val="auto"/>
                <w:sz w:val="24"/>
                <w:szCs w:val="24"/>
                <w:lang w:eastAsia="zh-CN"/>
              </w:rPr>
              <w:t>三</w:t>
            </w:r>
            <w:r>
              <w:rPr>
                <w:rFonts w:hint="eastAsia" w:ascii="宋体" w:hAnsi="宋体" w:eastAsia="宋体" w:cs="宋体"/>
                <w:bCs/>
                <w:color w:val="auto"/>
                <w:sz w:val="24"/>
                <w:szCs w:val="24"/>
              </w:rPr>
              <w:t>份副本。在每一份</w:t>
            </w:r>
            <w:r>
              <w:rPr>
                <w:rFonts w:hint="eastAsia" w:ascii="宋体" w:hAnsi="宋体" w:eastAsia="宋体" w:cs="宋体"/>
                <w:bCs/>
                <w:color w:val="auto"/>
                <w:sz w:val="24"/>
                <w:szCs w:val="24"/>
                <w:lang w:eastAsia="zh-CN"/>
              </w:rPr>
              <w:t>磋商</w:t>
            </w:r>
            <w:r>
              <w:rPr>
                <w:rFonts w:hint="eastAsia" w:ascii="宋体" w:hAnsi="宋体" w:eastAsia="宋体" w:cs="宋体"/>
                <w:bCs/>
                <w:color w:val="auto"/>
                <w:sz w:val="24"/>
                <w:szCs w:val="24"/>
              </w:rPr>
              <w:t>响应文件上要明确注明“正本”或“副本”字样，一旦正本和副本有差异，以正本为准；</w:t>
            </w:r>
          </w:p>
        </w:tc>
      </w:tr>
      <w:tr w14:paraId="0D991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18A03BD4">
            <w:pPr>
              <w:spacing w:line="44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cs="宋体"/>
                <w:color w:val="auto"/>
                <w:sz w:val="24"/>
                <w:szCs w:val="24"/>
                <w:lang w:val="en-US" w:eastAsia="zh-CN"/>
              </w:rPr>
              <w:t>5</w:t>
            </w:r>
          </w:p>
        </w:tc>
        <w:tc>
          <w:tcPr>
            <w:tcW w:w="1716" w:type="dxa"/>
            <w:noWrap w:val="0"/>
            <w:vAlign w:val="center"/>
          </w:tcPr>
          <w:p w14:paraId="44B6C2EA">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lang w:eastAsia="zh-CN"/>
              </w:rPr>
              <w:t>磋商</w:t>
            </w:r>
            <w:r>
              <w:rPr>
                <w:rFonts w:hint="eastAsia" w:ascii="宋体" w:hAnsi="宋体" w:eastAsia="宋体" w:cs="宋体"/>
                <w:color w:val="auto"/>
                <w:sz w:val="24"/>
                <w:szCs w:val="24"/>
              </w:rPr>
              <w:t>响应文件提交地点及截止时间</w:t>
            </w:r>
          </w:p>
        </w:tc>
        <w:tc>
          <w:tcPr>
            <w:tcW w:w="6753" w:type="dxa"/>
            <w:noWrap w:val="0"/>
            <w:vAlign w:val="center"/>
          </w:tcPr>
          <w:p w14:paraId="03E51811">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提交地点：</w:t>
            </w:r>
            <w:r>
              <w:rPr>
                <w:rFonts w:hint="eastAsia" w:ascii="宋体" w:hAnsi="宋体" w:cs="宋体"/>
                <w:color w:val="auto"/>
                <w:sz w:val="24"/>
                <w:szCs w:val="24"/>
                <w:highlight w:val="none"/>
                <w:lang w:eastAsia="zh-CN"/>
              </w:rPr>
              <w:t>邹城市钢山街道公共资源交易中心开标室（燕京社区服务中心4楼）</w:t>
            </w:r>
          </w:p>
          <w:p w14:paraId="1CC327F7">
            <w:pPr>
              <w:spacing w:line="44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截止时间：</w:t>
            </w:r>
            <w:r>
              <w:rPr>
                <w:rFonts w:hint="eastAsia" w:ascii="宋体" w:hAnsi="宋体" w:cs="宋体"/>
                <w:color w:val="auto"/>
                <w:sz w:val="24"/>
                <w:szCs w:val="24"/>
                <w:lang w:eastAsia="zh-CN"/>
              </w:rPr>
              <w:t>2025年6月20日09时00分</w:t>
            </w:r>
          </w:p>
        </w:tc>
      </w:tr>
      <w:tr w14:paraId="4A505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2C603E4F">
            <w:pPr>
              <w:spacing w:line="44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cs="宋体"/>
                <w:color w:val="auto"/>
                <w:sz w:val="24"/>
                <w:szCs w:val="24"/>
                <w:lang w:val="en-US" w:eastAsia="zh-CN"/>
              </w:rPr>
              <w:t>6</w:t>
            </w:r>
          </w:p>
        </w:tc>
        <w:tc>
          <w:tcPr>
            <w:tcW w:w="1716" w:type="dxa"/>
            <w:noWrap w:val="0"/>
            <w:vAlign w:val="center"/>
          </w:tcPr>
          <w:p w14:paraId="654990A0">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lang w:eastAsia="zh-CN"/>
              </w:rPr>
              <w:t>磋商</w:t>
            </w:r>
            <w:r>
              <w:rPr>
                <w:rFonts w:hint="eastAsia" w:ascii="宋体" w:hAnsi="宋体" w:eastAsia="宋体" w:cs="宋体"/>
                <w:color w:val="auto"/>
                <w:sz w:val="24"/>
                <w:szCs w:val="24"/>
              </w:rPr>
              <w:t>时间及地点</w:t>
            </w:r>
          </w:p>
        </w:tc>
        <w:tc>
          <w:tcPr>
            <w:tcW w:w="6753" w:type="dxa"/>
            <w:noWrap w:val="0"/>
            <w:vAlign w:val="center"/>
          </w:tcPr>
          <w:p w14:paraId="3B2F6175">
            <w:pPr>
              <w:spacing w:line="44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时间：</w:t>
            </w:r>
            <w:r>
              <w:rPr>
                <w:rFonts w:hint="eastAsia" w:ascii="宋体" w:hAnsi="宋体" w:cs="宋体"/>
                <w:color w:val="auto"/>
                <w:sz w:val="24"/>
                <w:szCs w:val="24"/>
                <w:lang w:eastAsia="zh-CN"/>
              </w:rPr>
              <w:t>2025年6月20日09时00分</w:t>
            </w:r>
          </w:p>
          <w:p w14:paraId="6B57C848">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地点：</w:t>
            </w:r>
            <w:r>
              <w:rPr>
                <w:rFonts w:hint="eastAsia" w:ascii="宋体" w:hAnsi="宋体" w:cs="宋体"/>
                <w:color w:val="auto"/>
                <w:sz w:val="24"/>
                <w:szCs w:val="24"/>
                <w:highlight w:val="none"/>
                <w:lang w:eastAsia="zh-CN"/>
              </w:rPr>
              <w:t>邹城市钢山街道公共资源交易中心开标室（燕京社区服务中心4楼）</w:t>
            </w:r>
          </w:p>
        </w:tc>
      </w:tr>
      <w:tr w14:paraId="4FD48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40E94BE7">
            <w:pPr>
              <w:spacing w:line="440" w:lineRule="exac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r>
              <w:rPr>
                <w:rFonts w:hint="eastAsia" w:ascii="宋体" w:hAnsi="宋体" w:cs="宋体"/>
                <w:color w:val="auto"/>
                <w:sz w:val="24"/>
                <w:szCs w:val="24"/>
                <w:lang w:val="en-US" w:eastAsia="zh-CN"/>
              </w:rPr>
              <w:t>7</w:t>
            </w:r>
          </w:p>
        </w:tc>
        <w:tc>
          <w:tcPr>
            <w:tcW w:w="1716" w:type="dxa"/>
            <w:noWrap w:val="0"/>
            <w:vAlign w:val="center"/>
          </w:tcPr>
          <w:p w14:paraId="5B17CDED">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成交原则</w:t>
            </w:r>
          </w:p>
        </w:tc>
        <w:tc>
          <w:tcPr>
            <w:tcW w:w="6753" w:type="dxa"/>
            <w:noWrap w:val="0"/>
            <w:vAlign w:val="center"/>
          </w:tcPr>
          <w:p w14:paraId="306F42D5">
            <w:pPr>
              <w:tabs>
                <w:tab w:val="left" w:pos="315"/>
              </w:tabs>
              <w:spacing w:line="360" w:lineRule="auto"/>
              <w:ind w:firstLine="480" w:firstLineChars="200"/>
              <w:rPr>
                <w:rFonts w:hint="eastAsia" w:ascii="宋体" w:hAnsi="宋体" w:eastAsia="宋体" w:cs="宋体"/>
                <w:b w:val="0"/>
                <w:bCs/>
                <w:color w:val="auto"/>
                <w:sz w:val="24"/>
                <w:szCs w:val="24"/>
                <w:lang w:val="en-US" w:eastAsia="zh-CN"/>
              </w:rPr>
            </w:pPr>
            <w:r>
              <w:rPr>
                <w:rFonts w:hint="eastAsia" w:ascii="宋体" w:hAnsi="宋体" w:eastAsia="宋体" w:cs="宋体"/>
                <w:b w:val="0"/>
                <w:bCs/>
                <w:color w:val="auto"/>
                <w:sz w:val="24"/>
                <w:szCs w:val="24"/>
                <w:lang w:val="en-US" w:eastAsia="zh-CN"/>
              </w:rPr>
              <w:t>本项目采用综合评分法，是指响应文件满足磋商文件全部实质性要求且按评审因素的量化指标评审得分，按照评审得分由高到低顺序推荐成交候选供应商的评审方法。</w:t>
            </w:r>
          </w:p>
          <w:p w14:paraId="4ADBBB73">
            <w:pPr>
              <w:tabs>
                <w:tab w:val="left" w:pos="315"/>
              </w:tabs>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b w:val="0"/>
                <w:bCs/>
                <w:color w:val="auto"/>
                <w:sz w:val="24"/>
                <w:szCs w:val="24"/>
                <w:lang w:val="en-US" w:eastAsia="zh-CN"/>
              </w:rPr>
              <w:t>总得分相同者，按最终报价低的名次在前；总得分相同，最终报价也相同的，技术部分总得分高者排名优先；总得分相同，最终报价、技术部分也相同的，按照资信部分得分高者排名优先。</w:t>
            </w:r>
          </w:p>
        </w:tc>
      </w:tr>
      <w:tr w14:paraId="0306A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41042722">
            <w:pPr>
              <w:spacing w:line="440" w:lineRule="exact"/>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r>
              <w:rPr>
                <w:rFonts w:hint="eastAsia" w:ascii="宋体" w:hAnsi="宋体" w:cs="宋体"/>
                <w:color w:val="auto"/>
                <w:sz w:val="24"/>
                <w:szCs w:val="24"/>
                <w:lang w:val="en-US" w:eastAsia="zh-CN"/>
              </w:rPr>
              <w:t>8</w:t>
            </w:r>
          </w:p>
        </w:tc>
        <w:tc>
          <w:tcPr>
            <w:tcW w:w="1716" w:type="dxa"/>
            <w:noWrap w:val="0"/>
            <w:vAlign w:val="center"/>
          </w:tcPr>
          <w:p w14:paraId="3A8B05D6">
            <w:pPr>
              <w:keepNext w:val="0"/>
              <w:keepLines w:val="0"/>
              <w:pageBreakBefore w:val="0"/>
              <w:suppressLineNumbers w:val="0"/>
              <w:kinsoku/>
              <w:overflowPunct/>
              <w:autoSpaceDE/>
              <w:autoSpaceDN/>
              <w:bidi w:val="0"/>
              <w:adjustRightInd/>
              <w:spacing w:before="0" w:beforeAutospacing="0" w:after="0" w:afterAutospacing="0" w:line="360" w:lineRule="auto"/>
              <w:ind w:left="0" w:leftChars="0" w:right="0" w:rightChars="0"/>
              <w:jc w:val="center"/>
              <w:rPr>
                <w:rFonts w:hint="eastAsia" w:ascii="宋体" w:hAnsi="宋体" w:eastAsia="宋体" w:cs="宋体"/>
                <w:color w:val="auto"/>
                <w:sz w:val="24"/>
                <w:szCs w:val="24"/>
              </w:rPr>
            </w:pPr>
            <w:r>
              <w:rPr>
                <w:rFonts w:hint="eastAsia" w:ascii="宋体" w:hAnsi="宋体" w:eastAsia="宋体" w:cs="宋体"/>
                <w:color w:val="auto"/>
                <w:sz w:val="24"/>
                <w:szCs w:val="24"/>
                <w:highlight w:val="none"/>
              </w:rPr>
              <w:t>磋商费用</w:t>
            </w:r>
          </w:p>
        </w:tc>
        <w:tc>
          <w:tcPr>
            <w:tcW w:w="6753" w:type="dxa"/>
            <w:noWrap w:val="0"/>
            <w:vAlign w:val="center"/>
          </w:tcPr>
          <w:p w14:paraId="5076494D">
            <w:pPr>
              <w:keepNext w:val="0"/>
              <w:keepLines w:val="0"/>
              <w:pageBreakBefore w:val="0"/>
              <w:suppressLineNumbers w:val="0"/>
              <w:kinsoku/>
              <w:overflowPunct/>
              <w:autoSpaceDE/>
              <w:autoSpaceDN/>
              <w:bidi w:val="0"/>
              <w:adjustRightInd/>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1、无论报价过程中的方法和结果如何，各磋商响应方自行承担所有参与磋商的有关费用。</w:t>
            </w:r>
          </w:p>
          <w:p w14:paraId="3B47DE9E">
            <w:pPr>
              <w:keepNext w:val="0"/>
              <w:keepLines w:val="0"/>
              <w:pageBreakBefore w:val="0"/>
              <w:suppressLineNumbers w:val="0"/>
              <w:kinsoku/>
              <w:overflowPunct/>
              <w:autoSpaceDE/>
              <w:autoSpaceDN/>
              <w:bidi w:val="0"/>
              <w:adjustRightInd/>
              <w:spacing w:before="0" w:beforeAutospacing="0" w:after="0" w:afterAutospacing="0"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2、本次采购代理费由成交供应商支付，</w:t>
            </w:r>
            <w:r>
              <w:rPr>
                <w:rFonts w:hint="eastAsia" w:ascii="宋体" w:hAnsi="宋体" w:cs="宋体"/>
                <w:color w:val="auto"/>
                <w:sz w:val="24"/>
                <w:szCs w:val="24"/>
                <w:highlight w:val="none"/>
                <w:lang w:eastAsia="zh-CN"/>
              </w:rPr>
              <w:t>采购代理费为采购预算的</w:t>
            </w:r>
            <w:r>
              <w:rPr>
                <w:rFonts w:hint="eastAsia" w:ascii="宋体" w:hAnsi="宋体" w:cs="宋体"/>
                <w:color w:val="auto"/>
                <w:sz w:val="24"/>
                <w:szCs w:val="24"/>
                <w:highlight w:val="none"/>
                <w:lang w:val="en-US" w:eastAsia="zh-CN"/>
              </w:rPr>
              <w:t>0.7%</w:t>
            </w:r>
            <w:r>
              <w:rPr>
                <w:rFonts w:hint="eastAsia" w:ascii="宋体" w:hAnsi="宋体" w:cs="宋体"/>
                <w:b/>
                <w:bCs/>
                <w:color w:val="auto"/>
                <w:sz w:val="24"/>
                <w:szCs w:val="24"/>
                <w:highlight w:val="none"/>
                <w:lang w:val="en-US" w:eastAsia="zh-CN"/>
              </w:rPr>
              <w:t>。</w:t>
            </w:r>
            <w:r>
              <w:rPr>
                <w:rFonts w:hint="eastAsia" w:ascii="宋体" w:hAnsi="宋体" w:eastAsia="宋体" w:cs="宋体"/>
                <w:color w:val="auto"/>
                <w:sz w:val="24"/>
                <w:szCs w:val="24"/>
                <w:highlight w:val="none"/>
              </w:rPr>
              <w:t>成交通知书发出前，成交人从其账户一次性汇入代理机构指定账户。</w:t>
            </w:r>
          </w:p>
          <w:p w14:paraId="17B9D098">
            <w:pPr>
              <w:keepNext w:val="0"/>
              <w:keepLines w:val="0"/>
              <w:pageBreakBefore w:val="0"/>
              <w:suppressLineNumbers w:val="0"/>
              <w:kinsoku/>
              <w:overflowPunct/>
              <w:autoSpaceDE/>
              <w:autoSpaceDN/>
              <w:bidi w:val="0"/>
              <w:adjustRightInd/>
              <w:spacing w:before="0" w:beforeAutospacing="0" w:after="0" w:afterAutospacing="0" w:line="360" w:lineRule="auto"/>
              <w:ind w:left="0" w:leftChars="0" w:right="0" w:rightChars="0" w:firstLine="480" w:firstLineChars="200"/>
              <w:jc w:val="left"/>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3、本项目另代收评审费4200.00元，</w:t>
            </w:r>
            <w:r>
              <w:rPr>
                <w:rFonts w:hint="eastAsia" w:ascii="宋体" w:hAnsi="宋体" w:eastAsia="宋体" w:cs="宋体"/>
                <w:color w:val="auto"/>
                <w:sz w:val="24"/>
                <w:szCs w:val="24"/>
                <w:highlight w:val="none"/>
              </w:rPr>
              <w:t>成交通知书发出前，成交人从其账户一次性汇入代理机构指定账户。</w:t>
            </w:r>
          </w:p>
        </w:tc>
      </w:tr>
      <w:tr w14:paraId="4E4CB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63F532B2">
            <w:pPr>
              <w:spacing w:line="440" w:lineRule="exact"/>
              <w:jc w:val="center"/>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19</w:t>
            </w:r>
          </w:p>
        </w:tc>
        <w:tc>
          <w:tcPr>
            <w:tcW w:w="1716" w:type="dxa"/>
            <w:noWrap w:val="0"/>
            <w:vAlign w:val="center"/>
          </w:tcPr>
          <w:p w14:paraId="66937945">
            <w:pPr>
              <w:keepNext w:val="0"/>
              <w:keepLines w:val="0"/>
              <w:pageBreakBefore w:val="0"/>
              <w:suppressLineNumbers w:val="0"/>
              <w:kinsoku/>
              <w:overflowPunct/>
              <w:autoSpaceDE/>
              <w:autoSpaceDN/>
              <w:bidi w:val="0"/>
              <w:adjustRightInd/>
              <w:spacing w:before="0" w:beforeAutospacing="0" w:after="0" w:afterAutospacing="0" w:line="360" w:lineRule="auto"/>
              <w:ind w:left="0" w:leftChars="0" w:right="0" w:rightChars="0"/>
              <w:jc w:val="center"/>
              <w:rPr>
                <w:rFonts w:hint="eastAsia" w:ascii="宋体" w:hAnsi="宋体" w:eastAsia="宋体" w:cs="宋体"/>
                <w:color w:val="auto"/>
                <w:sz w:val="24"/>
                <w:szCs w:val="24"/>
              </w:rPr>
            </w:pPr>
            <w:r>
              <w:rPr>
                <w:rFonts w:hint="eastAsia" w:ascii="宋体" w:hAnsi="宋体" w:eastAsia="宋体" w:cs="宋体"/>
                <w:color w:val="auto"/>
                <w:sz w:val="24"/>
                <w:szCs w:val="24"/>
                <w:highlight w:val="none"/>
              </w:rPr>
              <w:t>磋商采购预算</w:t>
            </w:r>
          </w:p>
        </w:tc>
        <w:tc>
          <w:tcPr>
            <w:tcW w:w="6753" w:type="dxa"/>
            <w:noWrap w:val="0"/>
            <w:vAlign w:val="center"/>
          </w:tcPr>
          <w:p w14:paraId="2B536E1C">
            <w:pPr>
              <w:keepNext w:val="0"/>
              <w:keepLines w:val="0"/>
              <w:pageBreakBefore w:val="0"/>
              <w:suppressLineNumbers w:val="0"/>
              <w:kinsoku/>
              <w:overflowPunct/>
              <w:autoSpaceDE/>
              <w:autoSpaceDN/>
              <w:bidi w:val="0"/>
              <w:adjustRightInd/>
              <w:spacing w:before="0" w:beforeAutospacing="0" w:after="0" w:afterAutospacing="0" w:line="360" w:lineRule="auto"/>
              <w:ind w:left="0" w:right="0" w:firstLine="482" w:firstLineChars="200"/>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本工程采购预算（控制价）</w:t>
            </w:r>
            <w:r>
              <w:rPr>
                <w:rFonts w:hint="eastAsia" w:ascii="宋体" w:hAnsi="宋体" w:eastAsia="宋体" w:cs="宋体"/>
                <w:b/>
                <w:bCs/>
                <w:color w:val="auto"/>
                <w:kern w:val="0"/>
                <w:sz w:val="24"/>
                <w:szCs w:val="24"/>
                <w:highlight w:val="none"/>
                <w:lang w:val="en-US" w:eastAsia="zh-CN"/>
              </w:rPr>
              <w:t>：</w:t>
            </w:r>
            <w:r>
              <w:rPr>
                <w:rFonts w:hint="eastAsia" w:ascii="宋体" w:hAnsi="宋体" w:cs="宋体"/>
                <w:b/>
                <w:bCs/>
                <w:color w:val="auto"/>
                <w:kern w:val="0"/>
                <w:sz w:val="24"/>
                <w:szCs w:val="24"/>
                <w:highlight w:val="none"/>
                <w:lang w:val="en-US" w:eastAsia="zh-CN"/>
              </w:rPr>
              <w:t>2099700.63</w:t>
            </w:r>
            <w:r>
              <w:rPr>
                <w:rFonts w:hint="eastAsia" w:ascii="宋体" w:hAnsi="宋体" w:eastAsia="宋体" w:cs="宋体"/>
                <w:b/>
                <w:bCs/>
                <w:color w:val="auto"/>
                <w:kern w:val="0"/>
                <w:sz w:val="24"/>
                <w:szCs w:val="24"/>
                <w:highlight w:val="none"/>
                <w:lang w:val="en-US" w:eastAsia="zh-CN"/>
              </w:rPr>
              <w:t>元（施工采购预算为：1326700.63元，热力机组设备采购预算为773000.00元）</w:t>
            </w:r>
          </w:p>
          <w:p w14:paraId="69E240B4">
            <w:pPr>
              <w:keepNext w:val="0"/>
              <w:keepLines w:val="0"/>
              <w:pageBreakBefore w:val="0"/>
              <w:suppressLineNumbers w:val="0"/>
              <w:kinsoku/>
              <w:overflowPunct/>
              <w:autoSpaceDE/>
              <w:autoSpaceDN/>
              <w:bidi w:val="0"/>
              <w:adjustRightInd/>
              <w:spacing w:before="0" w:beforeAutospacing="0" w:after="0" w:afterAutospacing="0" w:line="360" w:lineRule="auto"/>
              <w:ind w:left="0" w:leftChars="0" w:right="0" w:rightChars="0" w:firstLine="480" w:firstLineChars="200"/>
              <w:rPr>
                <w:rFonts w:hint="eastAsia" w:ascii="宋体" w:hAnsi="宋体" w:eastAsia="宋体" w:cs="宋体"/>
                <w:color w:val="auto"/>
                <w:sz w:val="24"/>
                <w:szCs w:val="24"/>
              </w:rPr>
            </w:pPr>
            <w:r>
              <w:rPr>
                <w:rFonts w:hint="eastAsia" w:ascii="宋体" w:hAnsi="宋体" w:eastAsia="宋体" w:cs="宋体"/>
                <w:bCs/>
                <w:color w:val="auto"/>
                <w:kern w:val="0"/>
                <w:sz w:val="24"/>
                <w:szCs w:val="24"/>
                <w:highlight w:val="none"/>
              </w:rPr>
              <w:t>采购预算价是采购人对采购项目期望的最高限价，供应商</w:t>
            </w:r>
            <w:r>
              <w:rPr>
                <w:rFonts w:hint="eastAsia" w:ascii="宋体" w:hAnsi="宋体" w:cs="宋体"/>
                <w:bCs/>
                <w:color w:val="auto"/>
                <w:kern w:val="0"/>
                <w:sz w:val="24"/>
                <w:szCs w:val="24"/>
                <w:highlight w:val="none"/>
                <w:lang w:eastAsia="zh-CN"/>
              </w:rPr>
              <w:t>初次</w:t>
            </w:r>
            <w:r>
              <w:rPr>
                <w:rFonts w:hint="eastAsia" w:ascii="宋体" w:hAnsi="宋体" w:eastAsia="宋体" w:cs="宋体"/>
                <w:bCs/>
                <w:color w:val="auto"/>
                <w:kern w:val="0"/>
                <w:sz w:val="24"/>
                <w:szCs w:val="24"/>
                <w:highlight w:val="none"/>
              </w:rPr>
              <w:t>报价</w:t>
            </w:r>
            <w:r>
              <w:rPr>
                <w:rFonts w:hint="eastAsia" w:ascii="宋体" w:hAnsi="宋体" w:cs="宋体"/>
                <w:bCs/>
                <w:color w:val="auto"/>
                <w:kern w:val="0"/>
                <w:sz w:val="24"/>
                <w:szCs w:val="24"/>
                <w:highlight w:val="none"/>
                <w:lang w:eastAsia="zh-CN"/>
              </w:rPr>
              <w:t>的总价、施工部分的合价、热力机组部分的合价及最终报价的总价、施工部分的合价、热力机组部分的合价</w:t>
            </w:r>
            <w:r>
              <w:rPr>
                <w:rFonts w:hint="eastAsia" w:ascii="宋体" w:hAnsi="宋体" w:eastAsia="宋体" w:cs="宋体"/>
                <w:bCs/>
                <w:color w:val="auto"/>
                <w:kern w:val="0"/>
                <w:sz w:val="24"/>
                <w:szCs w:val="24"/>
                <w:highlight w:val="none"/>
              </w:rPr>
              <w:t>均不得超出采购预算（控制价）且最终报价不得超出初次报价，如若超出按无效响应</w:t>
            </w:r>
            <w:r>
              <w:rPr>
                <w:rFonts w:hint="eastAsia" w:ascii="宋体" w:hAnsi="宋体" w:cs="宋体"/>
                <w:bCs/>
                <w:color w:val="auto"/>
                <w:kern w:val="0"/>
                <w:sz w:val="24"/>
                <w:szCs w:val="24"/>
                <w:highlight w:val="none"/>
                <w:lang w:eastAsia="zh-CN"/>
              </w:rPr>
              <w:t>文件</w:t>
            </w:r>
            <w:r>
              <w:rPr>
                <w:rFonts w:hint="eastAsia" w:ascii="宋体" w:hAnsi="宋体" w:eastAsia="宋体" w:cs="宋体"/>
                <w:bCs/>
                <w:color w:val="auto"/>
                <w:kern w:val="0"/>
                <w:sz w:val="24"/>
                <w:szCs w:val="24"/>
                <w:highlight w:val="none"/>
              </w:rPr>
              <w:t>处理。</w:t>
            </w:r>
          </w:p>
        </w:tc>
      </w:tr>
      <w:tr w14:paraId="062D1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vMerge w:val="restart"/>
            <w:noWrap w:val="0"/>
            <w:vAlign w:val="center"/>
          </w:tcPr>
          <w:p w14:paraId="7EBE9941">
            <w:pPr>
              <w:spacing w:line="440" w:lineRule="exac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r>
              <w:rPr>
                <w:rFonts w:hint="eastAsia" w:ascii="宋体" w:hAnsi="宋体" w:cs="宋体"/>
                <w:color w:val="auto"/>
                <w:sz w:val="24"/>
                <w:szCs w:val="24"/>
                <w:lang w:val="en-US" w:eastAsia="zh-CN"/>
              </w:rPr>
              <w:t>0</w:t>
            </w:r>
          </w:p>
        </w:tc>
        <w:tc>
          <w:tcPr>
            <w:tcW w:w="1716" w:type="dxa"/>
            <w:noWrap w:val="0"/>
            <w:vAlign w:val="center"/>
          </w:tcPr>
          <w:p w14:paraId="11F87CF4">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质疑投诉内容</w:t>
            </w:r>
          </w:p>
        </w:tc>
        <w:tc>
          <w:tcPr>
            <w:tcW w:w="6753" w:type="dxa"/>
            <w:noWrap w:val="0"/>
            <w:vAlign w:val="center"/>
          </w:tcPr>
          <w:p w14:paraId="7C640FFE">
            <w:pPr>
              <w:tabs>
                <w:tab w:val="left" w:pos="315"/>
              </w:tabs>
              <w:spacing w:line="360" w:lineRule="auto"/>
              <w:ind w:firstLine="480" w:firstLineChars="200"/>
              <w:rPr>
                <w:rFonts w:hint="eastAsia" w:ascii="宋体" w:hAnsi="宋体" w:eastAsia="宋体" w:cs="宋体"/>
                <w:b w:val="0"/>
                <w:bCs/>
                <w:color w:val="auto"/>
                <w:sz w:val="24"/>
                <w:szCs w:val="24"/>
                <w:lang w:val="en-US" w:eastAsia="zh-CN"/>
              </w:rPr>
            </w:pPr>
            <w:r>
              <w:rPr>
                <w:rFonts w:hint="eastAsia" w:ascii="宋体" w:hAnsi="宋体" w:eastAsia="宋体" w:cs="宋体"/>
                <w:b w:val="0"/>
                <w:bCs/>
                <w:color w:val="auto"/>
                <w:sz w:val="24"/>
                <w:szCs w:val="24"/>
                <w:lang w:val="en-US" w:eastAsia="zh-CN"/>
              </w:rPr>
              <w:t>质疑：参加磋商的供应商认为采购文件、采购过程和成交结果使自己的合法权益受到损害的，有权依法向采购人或采购代理机构提出质疑。</w:t>
            </w:r>
          </w:p>
          <w:p w14:paraId="63A8703E">
            <w:pPr>
              <w:tabs>
                <w:tab w:val="left" w:pos="315"/>
              </w:tabs>
              <w:spacing w:line="360" w:lineRule="auto"/>
              <w:ind w:firstLine="480" w:firstLineChars="200"/>
              <w:rPr>
                <w:rFonts w:hint="eastAsia" w:ascii="宋体" w:hAnsi="宋体" w:eastAsia="宋体" w:cs="宋体"/>
                <w:color w:val="auto"/>
                <w:kern w:val="2"/>
                <w:sz w:val="24"/>
                <w:szCs w:val="24"/>
              </w:rPr>
            </w:pPr>
            <w:r>
              <w:rPr>
                <w:rFonts w:hint="eastAsia" w:ascii="宋体" w:hAnsi="宋体" w:eastAsia="宋体" w:cs="宋体"/>
                <w:b w:val="0"/>
                <w:bCs/>
                <w:color w:val="auto"/>
                <w:sz w:val="24"/>
                <w:szCs w:val="24"/>
                <w:lang w:val="en-US" w:eastAsia="zh-CN"/>
              </w:rPr>
              <w:t>投诉：参加磋商的供应商对采购人的质疑答复不满意，或者采购人未在规定期限内作出答复的，供应商可以在答复期满后可以向相关行政主管部门投诉。</w:t>
            </w:r>
          </w:p>
        </w:tc>
      </w:tr>
      <w:tr w14:paraId="4E87F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909" w:type="dxa"/>
            <w:vMerge w:val="continue"/>
            <w:noWrap w:val="0"/>
            <w:vAlign w:val="center"/>
          </w:tcPr>
          <w:p w14:paraId="195A5599">
            <w:pPr>
              <w:spacing w:line="440" w:lineRule="exact"/>
              <w:jc w:val="center"/>
              <w:rPr>
                <w:rFonts w:hint="eastAsia" w:ascii="宋体" w:hAnsi="宋体" w:eastAsia="宋体" w:cs="宋体"/>
                <w:color w:val="auto"/>
                <w:sz w:val="24"/>
                <w:szCs w:val="24"/>
              </w:rPr>
            </w:pPr>
          </w:p>
        </w:tc>
        <w:tc>
          <w:tcPr>
            <w:tcW w:w="1716" w:type="dxa"/>
            <w:noWrap w:val="0"/>
            <w:vAlign w:val="center"/>
          </w:tcPr>
          <w:p w14:paraId="0E5E2836">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质疑方式及电话</w:t>
            </w:r>
          </w:p>
        </w:tc>
        <w:tc>
          <w:tcPr>
            <w:tcW w:w="6753" w:type="dxa"/>
            <w:noWrap w:val="0"/>
            <w:vAlign w:val="center"/>
          </w:tcPr>
          <w:p w14:paraId="2CE3EAD5">
            <w:pPr>
              <w:keepNext w:val="0"/>
              <w:keepLines w:val="0"/>
              <w:pageBreakBefore w:val="0"/>
              <w:suppressLineNumbers w:val="0"/>
              <w:kinsoku/>
              <w:overflowPunct/>
              <w:autoSpaceDE/>
              <w:autoSpaceDN/>
              <w:bidi w:val="0"/>
              <w:adjustRightInd/>
              <w:spacing w:before="0" w:beforeAutospacing="0" w:after="0" w:afterAutospacing="0" w:line="360" w:lineRule="auto"/>
              <w:ind w:left="0" w:right="0" w:firstLine="480" w:firstLineChars="200"/>
              <w:rPr>
                <w:rFonts w:hint="eastAsia" w:ascii="宋体" w:hAnsi="宋体" w:eastAsia="宋体" w:cs="宋体"/>
                <w:bCs/>
                <w:color w:val="auto"/>
                <w:sz w:val="24"/>
                <w:szCs w:val="24"/>
              </w:rPr>
            </w:pPr>
            <w:r>
              <w:rPr>
                <w:rFonts w:hint="eastAsia" w:ascii="宋体" w:hAnsi="宋体" w:eastAsia="宋体" w:cs="宋体"/>
                <w:color w:val="auto"/>
                <w:sz w:val="24"/>
                <w:szCs w:val="24"/>
                <w:highlight w:val="none"/>
              </w:rPr>
              <w:t>质疑：参加磋商的供应商认为磋商文件、磋商过程和成交结果使自己的合法权益受到损害的，有权依法向采购人或采购代理机构提出质疑。所有质疑以书面形式递交，同时发邮件至</w:t>
            </w:r>
            <w:r>
              <w:rPr>
                <w:rFonts w:hint="eastAsia" w:ascii="宋体" w:hAnsi="宋体" w:cs="宋体"/>
                <w:color w:val="auto"/>
                <w:sz w:val="24"/>
                <w:szCs w:val="24"/>
                <w:highlight w:val="none"/>
                <w:lang w:val="en-US" w:eastAsia="zh-CN"/>
              </w:rPr>
              <w:t>sdtszcfgs@163.com</w:t>
            </w:r>
            <w:r>
              <w:rPr>
                <w:rFonts w:hint="eastAsia" w:ascii="宋体" w:hAnsi="宋体" w:eastAsia="宋体" w:cs="宋体"/>
                <w:color w:val="auto"/>
                <w:sz w:val="24"/>
                <w:szCs w:val="24"/>
                <w:highlight w:val="none"/>
              </w:rPr>
              <w:t>。</w:t>
            </w:r>
          </w:p>
        </w:tc>
      </w:tr>
    </w:tbl>
    <w:p w14:paraId="12551842">
      <w:pPr>
        <w:numPr>
          <w:ilvl w:val="0"/>
          <w:numId w:val="0"/>
        </w:numPr>
        <w:jc w:val="both"/>
        <w:rPr>
          <w:rFonts w:hint="eastAsia" w:ascii="宋体" w:hAnsi="宋体" w:eastAsia="宋体" w:cs="宋体"/>
          <w:b w:val="0"/>
          <w:bCs/>
          <w:color w:val="auto"/>
          <w:kern w:val="0"/>
          <w:sz w:val="24"/>
          <w:szCs w:val="24"/>
          <w:highlight w:val="none"/>
        </w:rPr>
      </w:pPr>
    </w:p>
    <w:p w14:paraId="57EC802E">
      <w:pPr>
        <w:numPr>
          <w:ilvl w:val="0"/>
          <w:numId w:val="0"/>
        </w:numPr>
        <w:jc w:val="center"/>
        <w:rPr>
          <w:rFonts w:hint="eastAsia" w:ascii="宋体" w:hAnsi="宋体" w:eastAsia="宋体" w:cs="宋体"/>
          <w:b/>
          <w:color w:val="auto"/>
          <w:kern w:val="0"/>
          <w:sz w:val="24"/>
          <w:szCs w:val="24"/>
          <w:highlight w:val="none"/>
        </w:rPr>
      </w:pPr>
    </w:p>
    <w:p w14:paraId="707E8265">
      <w:pPr>
        <w:numPr>
          <w:ilvl w:val="0"/>
          <w:numId w:val="0"/>
        </w:numPr>
        <w:jc w:val="center"/>
        <w:rPr>
          <w:color w:val="auto"/>
        </w:rPr>
      </w:pPr>
      <w:r>
        <w:rPr>
          <w:rFonts w:hint="eastAsia" w:ascii="宋体" w:hAnsi="宋体" w:eastAsia="宋体" w:cs="宋体"/>
          <w:b/>
          <w:color w:val="auto"/>
          <w:kern w:val="0"/>
          <w:sz w:val="24"/>
          <w:szCs w:val="24"/>
          <w:highlight w:val="none"/>
        </w:rPr>
        <w:t>二、磋商响应方须知</w:t>
      </w:r>
    </w:p>
    <w:p w14:paraId="54881F77">
      <w:pPr>
        <w:tabs>
          <w:tab w:val="left" w:pos="315"/>
        </w:tabs>
        <w:spacing w:line="360" w:lineRule="auto"/>
        <w:ind w:firstLine="482" w:firstLineChars="200"/>
        <w:rPr>
          <w:rFonts w:ascii="宋体" w:hAnsi="宋体"/>
          <w:b/>
          <w:color w:val="auto"/>
          <w:sz w:val="24"/>
        </w:rPr>
      </w:pPr>
      <w:r>
        <w:rPr>
          <w:rFonts w:ascii="宋体" w:hAnsi="宋体"/>
          <w:b/>
          <w:color w:val="auto"/>
          <w:sz w:val="24"/>
        </w:rPr>
        <w:t>一、适用范围</w:t>
      </w:r>
      <w:r>
        <w:rPr>
          <w:rFonts w:hint="eastAsia" w:ascii="宋体" w:hAnsi="宋体"/>
          <w:b/>
          <w:color w:val="auto"/>
          <w:sz w:val="24"/>
        </w:rPr>
        <w:t>：</w:t>
      </w:r>
    </w:p>
    <w:p w14:paraId="66057B82">
      <w:pPr>
        <w:widowControl/>
        <w:shd w:val="clear" w:color="auto" w:fill="FFFFFF"/>
        <w:spacing w:line="360" w:lineRule="auto"/>
        <w:ind w:firstLine="480"/>
        <w:jc w:val="left"/>
        <w:rPr>
          <w:rFonts w:ascii="宋体" w:hAnsi="宋体"/>
          <w:color w:val="auto"/>
          <w:sz w:val="24"/>
        </w:rPr>
      </w:pPr>
      <w:r>
        <w:rPr>
          <w:rFonts w:hint="eastAsia" w:ascii="宋体" w:hAnsi="宋体"/>
          <w:color w:val="auto"/>
          <w:sz w:val="24"/>
        </w:rPr>
        <w:t>本磋商文件仅适用于</w:t>
      </w:r>
      <w:r>
        <w:rPr>
          <w:rFonts w:hint="eastAsia" w:ascii="宋体" w:hAnsi="宋体"/>
          <w:color w:val="auto"/>
          <w:sz w:val="24"/>
          <w:lang w:eastAsia="zh-CN"/>
        </w:rPr>
        <w:t>邹城市钢山街道办事处钢山花园小区李官村三期热力工程</w:t>
      </w:r>
      <w:r>
        <w:rPr>
          <w:rFonts w:hint="eastAsia" w:ascii="宋体" w:hAnsi="宋体"/>
          <w:color w:val="auto"/>
          <w:sz w:val="24"/>
        </w:rPr>
        <w:t>。</w:t>
      </w:r>
    </w:p>
    <w:p w14:paraId="7AF710A3">
      <w:pPr>
        <w:tabs>
          <w:tab w:val="left" w:pos="315"/>
        </w:tabs>
        <w:spacing w:line="360" w:lineRule="auto"/>
        <w:ind w:firstLine="482" w:firstLineChars="200"/>
        <w:rPr>
          <w:rFonts w:ascii="宋体" w:hAnsi="宋体"/>
          <w:b/>
          <w:color w:val="auto"/>
          <w:sz w:val="24"/>
        </w:rPr>
      </w:pPr>
      <w:r>
        <w:rPr>
          <w:rFonts w:ascii="宋体" w:hAnsi="宋体"/>
          <w:b/>
          <w:color w:val="auto"/>
          <w:sz w:val="24"/>
        </w:rPr>
        <w:t>二、定义</w:t>
      </w:r>
      <w:r>
        <w:rPr>
          <w:rFonts w:hint="eastAsia" w:ascii="宋体" w:hAnsi="宋体"/>
          <w:b/>
          <w:color w:val="auto"/>
          <w:sz w:val="24"/>
        </w:rPr>
        <w:t>：</w:t>
      </w:r>
    </w:p>
    <w:p w14:paraId="03769EB8">
      <w:pPr>
        <w:widowControl/>
        <w:shd w:val="clear" w:color="auto" w:fill="FFFFFF"/>
        <w:spacing w:line="360" w:lineRule="auto"/>
        <w:ind w:firstLine="480"/>
        <w:jc w:val="left"/>
        <w:rPr>
          <w:rFonts w:ascii="宋体" w:hAnsi="宋体" w:cs="Arial Unicode MS"/>
          <w:color w:val="auto"/>
          <w:sz w:val="24"/>
        </w:rPr>
      </w:pPr>
      <w:r>
        <w:rPr>
          <w:rFonts w:hint="eastAsia" w:ascii="宋体" w:hAnsi="宋体" w:cs="Arial Unicode MS"/>
          <w:color w:val="auto"/>
          <w:sz w:val="24"/>
        </w:rPr>
        <w:t>1、“采 购 人”系指：</w:t>
      </w:r>
      <w:r>
        <w:rPr>
          <w:rFonts w:hint="eastAsia" w:ascii="宋体" w:hAnsi="宋体" w:cs="Arial Unicode MS"/>
          <w:color w:val="auto"/>
          <w:sz w:val="24"/>
          <w:lang w:eastAsia="zh-CN"/>
        </w:rPr>
        <w:t>邹城市钢山街道李官庄村村民委员会</w:t>
      </w:r>
      <w:r>
        <w:rPr>
          <w:rFonts w:hint="eastAsia" w:ascii="宋体" w:hAnsi="宋体" w:cs="Arial Unicode MS"/>
          <w:color w:val="auto"/>
          <w:sz w:val="24"/>
        </w:rPr>
        <w:t>；</w:t>
      </w:r>
    </w:p>
    <w:p w14:paraId="5119EB93">
      <w:pPr>
        <w:widowControl/>
        <w:shd w:val="clear" w:color="auto" w:fill="FFFFFF"/>
        <w:spacing w:line="360" w:lineRule="auto"/>
        <w:ind w:firstLine="480"/>
        <w:jc w:val="left"/>
        <w:rPr>
          <w:rFonts w:ascii="宋体" w:hAnsi="宋体" w:cs="Arial Unicode MS"/>
          <w:color w:val="auto"/>
          <w:sz w:val="24"/>
        </w:rPr>
      </w:pPr>
      <w:r>
        <w:rPr>
          <w:rFonts w:hint="eastAsia" w:ascii="宋体" w:hAnsi="宋体" w:cs="Arial Unicode MS"/>
          <w:color w:val="auto"/>
          <w:sz w:val="24"/>
        </w:rPr>
        <w:t>2、“代理机构”系指：</w:t>
      </w:r>
      <w:r>
        <w:rPr>
          <w:rFonts w:hint="eastAsia" w:ascii="宋体" w:hAnsi="宋体" w:cs="Arial Unicode MS"/>
          <w:color w:val="auto"/>
          <w:sz w:val="24"/>
          <w:lang w:eastAsia="zh-CN"/>
        </w:rPr>
        <w:t>山东泰山工程项目管理有限公司</w:t>
      </w:r>
      <w:r>
        <w:rPr>
          <w:rFonts w:hint="eastAsia" w:ascii="宋体" w:hAnsi="宋体" w:cs="Arial Unicode MS"/>
          <w:color w:val="auto"/>
          <w:sz w:val="24"/>
        </w:rPr>
        <w:t>；</w:t>
      </w:r>
    </w:p>
    <w:p w14:paraId="65C3D672">
      <w:pPr>
        <w:widowControl/>
        <w:shd w:val="clear" w:color="auto" w:fill="FFFFFF"/>
        <w:spacing w:line="360" w:lineRule="auto"/>
        <w:ind w:firstLine="480"/>
        <w:jc w:val="left"/>
        <w:rPr>
          <w:rFonts w:ascii="宋体" w:hAnsi="宋体" w:cs="Arial Unicode MS"/>
          <w:color w:val="auto"/>
          <w:sz w:val="24"/>
        </w:rPr>
      </w:pPr>
      <w:r>
        <w:rPr>
          <w:rFonts w:hint="eastAsia" w:ascii="宋体" w:hAnsi="宋体" w:cs="Arial Unicode MS"/>
          <w:color w:val="auto"/>
          <w:sz w:val="24"/>
        </w:rPr>
        <w:t>3、“响应供应商”系指参与</w:t>
      </w:r>
      <w:r>
        <w:rPr>
          <w:rFonts w:hint="eastAsia" w:ascii="宋体" w:hAnsi="宋体" w:cs="Courier New"/>
          <w:color w:val="auto"/>
          <w:sz w:val="24"/>
        </w:rPr>
        <w:t>磋商</w:t>
      </w:r>
      <w:r>
        <w:rPr>
          <w:rFonts w:hint="eastAsia" w:ascii="宋体" w:hAnsi="宋体" w:cs="Arial Unicode MS"/>
          <w:color w:val="auto"/>
          <w:sz w:val="24"/>
        </w:rPr>
        <w:t>并向采购人提交</w:t>
      </w:r>
      <w:r>
        <w:rPr>
          <w:rFonts w:hint="eastAsia" w:ascii="宋体" w:hAnsi="宋体" w:cs="Courier New"/>
          <w:color w:val="auto"/>
          <w:sz w:val="24"/>
        </w:rPr>
        <w:t>磋商</w:t>
      </w:r>
      <w:r>
        <w:rPr>
          <w:rFonts w:hint="eastAsia" w:ascii="宋体" w:hAnsi="宋体" w:cs="Arial Unicode MS"/>
          <w:color w:val="auto"/>
          <w:sz w:val="24"/>
        </w:rPr>
        <w:t>响应文件的单位；</w:t>
      </w:r>
    </w:p>
    <w:p w14:paraId="43A35B35">
      <w:pPr>
        <w:widowControl/>
        <w:shd w:val="clear" w:color="auto" w:fill="FFFFFF"/>
        <w:spacing w:line="360" w:lineRule="auto"/>
        <w:ind w:firstLine="480"/>
        <w:jc w:val="left"/>
        <w:rPr>
          <w:rFonts w:ascii="宋体" w:hAnsi="宋体" w:cs="Arial Unicode MS"/>
          <w:color w:val="auto"/>
          <w:sz w:val="24"/>
        </w:rPr>
      </w:pPr>
      <w:r>
        <w:rPr>
          <w:rFonts w:hint="eastAsia" w:ascii="宋体" w:hAnsi="宋体" w:cs="Arial Unicode MS"/>
          <w:color w:val="auto"/>
          <w:sz w:val="24"/>
        </w:rPr>
        <w:t>4、“成交供应商”系指经法定程序确定并授予合同的响应供应商。</w:t>
      </w:r>
    </w:p>
    <w:p w14:paraId="44ABF3C1">
      <w:pPr>
        <w:tabs>
          <w:tab w:val="left" w:pos="315"/>
        </w:tabs>
        <w:spacing w:line="360" w:lineRule="auto"/>
        <w:ind w:firstLine="482" w:firstLineChars="200"/>
        <w:rPr>
          <w:rFonts w:ascii="宋体" w:hAnsi="宋体"/>
          <w:b/>
          <w:color w:val="auto"/>
          <w:sz w:val="24"/>
        </w:rPr>
      </w:pPr>
      <w:r>
        <w:rPr>
          <w:rFonts w:ascii="宋体" w:hAnsi="宋体"/>
          <w:b/>
          <w:color w:val="auto"/>
          <w:sz w:val="24"/>
        </w:rPr>
        <w:t>三、</w:t>
      </w:r>
      <w:r>
        <w:rPr>
          <w:rFonts w:hint="eastAsia" w:ascii="宋体" w:hAnsi="宋体"/>
          <w:b/>
          <w:color w:val="auto"/>
          <w:sz w:val="24"/>
        </w:rPr>
        <w:t>供应商</w:t>
      </w:r>
      <w:r>
        <w:rPr>
          <w:rFonts w:ascii="宋体" w:hAnsi="宋体"/>
          <w:b/>
          <w:color w:val="auto"/>
          <w:sz w:val="24"/>
        </w:rPr>
        <w:t>应具备的条件</w:t>
      </w:r>
      <w:r>
        <w:rPr>
          <w:rFonts w:hint="eastAsia" w:ascii="宋体" w:hAnsi="宋体"/>
          <w:b/>
          <w:color w:val="auto"/>
          <w:sz w:val="24"/>
        </w:rPr>
        <w:t>：</w:t>
      </w:r>
    </w:p>
    <w:p w14:paraId="339B1796">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1、具备《政府采购法》第二十二条规定的条件。</w:t>
      </w:r>
    </w:p>
    <w:p w14:paraId="5F6051D3">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（一）具有独立承担民事责任的能力；</w:t>
      </w:r>
    </w:p>
    <w:p w14:paraId="556F16DF">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（二）具有良好的商业信誉和健全的财务会计制度；</w:t>
      </w:r>
    </w:p>
    <w:p w14:paraId="0494FB86">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（三）具有履行合同所必需的货物和专业技术能力；</w:t>
      </w:r>
    </w:p>
    <w:p w14:paraId="079FFC99">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（四）有依法缴纳税收和社会保障资金的良好记录；</w:t>
      </w:r>
    </w:p>
    <w:p w14:paraId="13F72988">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（五）参加政府采购活动前三年内，在经营活动中没有重大违法记录；</w:t>
      </w:r>
    </w:p>
    <w:p w14:paraId="25E54901">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（六）法律、行政法规规定的其他条件。</w:t>
      </w:r>
    </w:p>
    <w:p w14:paraId="6404C0B7">
      <w:pPr>
        <w:pStyle w:val="3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val="0"/>
        <w:wordWrap/>
        <w:overflowPunct/>
        <w:topLinePunct w:val="0"/>
        <w:autoSpaceDE w:val="0"/>
        <w:autoSpaceDN w:val="0"/>
        <w:bidi w:val="0"/>
        <w:adjustRightInd w:val="0"/>
        <w:snapToGrid w:val="0"/>
        <w:spacing w:before="0" w:beforeAutospacing="0" w:after="0" w:afterAutospacing="0" w:line="360" w:lineRule="auto"/>
        <w:ind w:left="0" w:right="0" w:firstLine="480"/>
        <w:jc w:val="left"/>
        <w:textAlignment w:val="baseline"/>
        <w:rPr>
          <w:rFonts w:hint="eastAsia" w:ascii="微软雅黑" w:hAnsi="微软雅黑" w:eastAsia="微软雅黑" w:cs="微软雅黑"/>
          <w:i w:val="0"/>
          <w:iCs w:val="0"/>
          <w:caps w:val="0"/>
          <w:color w:val="auto"/>
          <w:spacing w:val="0"/>
          <w:sz w:val="24"/>
          <w:szCs w:val="24"/>
        </w:rPr>
      </w:pPr>
      <w:r>
        <w:rPr>
          <w:rFonts w:hint="eastAsia" w:ascii="宋体" w:hAnsi="宋体" w:cs="宋体"/>
          <w:bCs/>
          <w:color w:val="auto"/>
          <w:kern w:val="0"/>
          <w:sz w:val="24"/>
        </w:rPr>
        <w:t>2、</w:t>
      </w:r>
      <w:r>
        <w:rPr>
          <w:rFonts w:ascii="宋体" w:hAnsi="宋体" w:eastAsia="宋体" w:cs="宋体"/>
          <w:color w:val="auto"/>
          <w:spacing w:val="12"/>
          <w:sz w:val="24"/>
          <w:szCs w:val="24"/>
        </w:rPr>
        <w:t>本</w:t>
      </w:r>
      <w:r>
        <w:rPr>
          <w:rFonts w:ascii="宋体" w:hAnsi="宋体" w:eastAsia="宋体" w:cs="宋体"/>
          <w:color w:val="auto"/>
          <w:spacing w:val="11"/>
          <w:sz w:val="24"/>
          <w:szCs w:val="24"/>
        </w:rPr>
        <w:t>次采购要求：</w:t>
      </w:r>
      <w:r>
        <w:rPr>
          <w:rFonts w:hint="eastAsia" w:ascii="宋体" w:hAnsi="宋体" w:eastAsia="宋体" w:cs="宋体"/>
          <w:i w:val="0"/>
          <w:iCs w:val="0"/>
          <w:caps w:val="0"/>
          <w:color w:val="auto"/>
          <w:spacing w:val="0"/>
          <w:sz w:val="24"/>
          <w:szCs w:val="24"/>
          <w:shd w:val="clear" w:fill="FFFFFF"/>
        </w:rPr>
        <w:t>供应商须具备</w:t>
      </w:r>
      <w:r>
        <w:rPr>
          <w:rFonts w:hint="eastAsia" w:ascii="宋体" w:hAnsi="宋体" w:cs="宋体"/>
          <w:b/>
          <w:bCs/>
          <w:i w:val="0"/>
          <w:iCs w:val="0"/>
          <w:caps w:val="0"/>
          <w:color w:val="auto"/>
          <w:spacing w:val="0"/>
          <w:sz w:val="24"/>
          <w:szCs w:val="24"/>
          <w:u w:val="single"/>
          <w:shd w:val="clear" w:fill="FFFFFF"/>
          <w:lang w:eastAsia="zh-CN"/>
        </w:rPr>
        <w:t>建筑工程施工总承包三级（含）以上资质；或市政公用工程施工总承包三级（含）以上资质；或机电工程施工总承包三级（含）以上资质；或建筑机电安装工程专业承包三级（含）以上资质</w:t>
      </w:r>
      <w:r>
        <w:rPr>
          <w:rFonts w:hint="eastAsia" w:ascii="宋体" w:hAnsi="宋体" w:eastAsia="宋体" w:cs="宋体"/>
          <w:i w:val="0"/>
          <w:iCs w:val="0"/>
          <w:caps w:val="0"/>
          <w:color w:val="auto"/>
          <w:spacing w:val="0"/>
          <w:sz w:val="24"/>
          <w:szCs w:val="24"/>
          <w:shd w:val="clear" w:fill="FFFFFF"/>
        </w:rPr>
        <w:t>，并在人员、设备、资金等方面具有相应的施工能力，</w:t>
      </w:r>
      <w:r>
        <w:rPr>
          <w:rFonts w:hint="eastAsia" w:ascii="宋体" w:hAnsi="宋体" w:eastAsia="宋体" w:cs="宋体"/>
          <w:i w:val="0"/>
          <w:iCs w:val="0"/>
          <w:caps w:val="0"/>
          <w:color w:val="auto"/>
          <w:spacing w:val="0"/>
          <w:sz w:val="24"/>
          <w:szCs w:val="24"/>
          <w:shd w:val="clear" w:color="auto" w:fill="FFFFFF"/>
        </w:rPr>
        <w:t>无拖欠农民工工资的不良行为</w:t>
      </w:r>
      <w:r>
        <w:rPr>
          <w:rFonts w:hint="eastAsia" w:ascii="宋体" w:hAnsi="宋体" w:eastAsia="宋体" w:cs="宋体"/>
          <w:i w:val="0"/>
          <w:iCs w:val="0"/>
          <w:caps w:val="0"/>
          <w:color w:val="auto"/>
          <w:spacing w:val="0"/>
          <w:sz w:val="24"/>
          <w:szCs w:val="24"/>
          <w:shd w:val="clear" w:color="auto" w:fill="FFFFFF"/>
          <w:lang w:eastAsia="zh-CN"/>
        </w:rPr>
        <w:t>。</w:t>
      </w:r>
      <w:r>
        <w:rPr>
          <w:rFonts w:hint="eastAsia" w:ascii="宋体" w:hAnsi="宋体" w:eastAsia="宋体" w:cs="宋体"/>
          <w:i w:val="0"/>
          <w:iCs w:val="0"/>
          <w:caps w:val="0"/>
          <w:color w:val="auto"/>
          <w:spacing w:val="0"/>
          <w:sz w:val="24"/>
          <w:szCs w:val="24"/>
          <w:shd w:val="clear" w:fill="FFFFFF"/>
        </w:rPr>
        <w:t>其中，供应商拟派项目经理须</w:t>
      </w:r>
      <w:r>
        <w:rPr>
          <w:rFonts w:hint="eastAsia" w:ascii="宋体" w:hAnsi="宋体" w:cs="宋体"/>
          <w:b/>
          <w:bCs/>
          <w:i w:val="0"/>
          <w:iCs w:val="0"/>
          <w:caps w:val="0"/>
          <w:color w:val="auto"/>
          <w:spacing w:val="0"/>
          <w:sz w:val="24"/>
          <w:szCs w:val="24"/>
          <w:u w:val="single"/>
          <w:shd w:val="clear" w:fill="FFFFFF"/>
          <w:lang w:eastAsia="zh-CN"/>
        </w:rPr>
        <w:t>具备本单位注册的建筑专业贰级（含）以上注册建造师执业资格；或市政专业贰级（含）以上注册建造师执业资格；或机电专业贰级（含）以上注册建造师执业资格，具备有效的安全生产考核证书B证</w:t>
      </w:r>
      <w:r>
        <w:rPr>
          <w:rFonts w:hint="eastAsia" w:ascii="宋体" w:hAnsi="宋体" w:eastAsia="宋体" w:cs="宋体"/>
          <w:i w:val="0"/>
          <w:iCs w:val="0"/>
          <w:caps w:val="0"/>
          <w:color w:val="auto"/>
          <w:spacing w:val="0"/>
          <w:sz w:val="24"/>
          <w:szCs w:val="24"/>
          <w:shd w:val="clear" w:fill="FFFFFF"/>
        </w:rPr>
        <w:t>，且未担任其他在施建设工程项目的项目经理</w:t>
      </w:r>
      <w:r>
        <w:rPr>
          <w:rFonts w:hint="eastAsia" w:ascii="宋体" w:hAnsi="宋体" w:eastAsia="宋体" w:cs="宋体"/>
          <w:i w:val="0"/>
          <w:iCs w:val="0"/>
          <w:caps w:val="0"/>
          <w:color w:val="auto"/>
          <w:spacing w:val="0"/>
          <w:sz w:val="24"/>
          <w:szCs w:val="24"/>
          <w:shd w:val="clear" w:color="auto" w:fill="FFFFFF"/>
        </w:rPr>
        <w:t>。</w:t>
      </w:r>
    </w:p>
    <w:p w14:paraId="73BFEBFB">
      <w:pPr>
        <w:pStyle w:val="3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0" w:right="0" w:firstLine="480"/>
        <w:jc w:val="left"/>
        <w:textAlignment w:val="baseline"/>
        <w:rPr>
          <w:rFonts w:ascii="微软雅黑" w:hAnsi="微软雅黑" w:eastAsia="微软雅黑" w:cs="微软雅黑"/>
          <w:i w:val="0"/>
          <w:iCs w:val="0"/>
          <w:caps w:val="0"/>
          <w:color w:val="auto"/>
          <w:spacing w:val="0"/>
          <w:sz w:val="24"/>
          <w:szCs w:val="24"/>
        </w:rPr>
      </w:pPr>
      <w:r>
        <w:rPr>
          <w:rFonts w:hint="eastAsia" w:ascii="宋体" w:hAnsi="宋体" w:eastAsia="宋体" w:cs="宋体"/>
          <w:i w:val="0"/>
          <w:iCs w:val="0"/>
          <w:caps w:val="0"/>
          <w:color w:val="auto"/>
          <w:spacing w:val="0"/>
          <w:sz w:val="24"/>
          <w:szCs w:val="24"/>
          <w:shd w:val="clear" w:fill="FFFFFF"/>
        </w:rPr>
        <w:t>3、因建设工地扬尘污染暂扣安全生产许可证的施工单位，不得参与本项目的磋商；因拖欠农民工工资，计入山东省（省级）及济宁市诚信黑榜，被限制济宁市内建设工程投标资格的施工单位，不得参与本项目的磋商。</w:t>
      </w:r>
    </w:p>
    <w:p w14:paraId="41964113">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
          <w:bCs w:val="0"/>
          <w:color w:val="auto"/>
          <w:kern w:val="0"/>
          <w:sz w:val="24"/>
        </w:rPr>
      </w:pPr>
      <w:r>
        <w:rPr>
          <w:rFonts w:hint="eastAsia" w:ascii="宋体" w:hAnsi="宋体" w:eastAsia="宋体" w:cs="宋体"/>
          <w:i w:val="0"/>
          <w:iCs w:val="0"/>
          <w:caps w:val="0"/>
          <w:color w:val="auto"/>
          <w:spacing w:val="0"/>
          <w:sz w:val="24"/>
          <w:szCs w:val="24"/>
          <w:shd w:val="clear" w:fill="FFFFFF"/>
        </w:rPr>
        <w:t>4、</w:t>
      </w:r>
      <w:r>
        <w:rPr>
          <w:rFonts w:hint="eastAsia" w:ascii="宋体" w:hAnsi="宋体" w:cs="宋体"/>
          <w:bCs/>
          <w:color w:val="auto"/>
          <w:kern w:val="0"/>
          <w:sz w:val="24"/>
        </w:rPr>
        <w:t>供应商在递交响应文件时需同时提供</w:t>
      </w:r>
      <w:r>
        <w:rPr>
          <w:rFonts w:hint="eastAsia" w:ascii="宋体" w:hAnsi="宋体" w:cs="宋体"/>
          <w:b/>
          <w:bCs w:val="0"/>
          <w:color w:val="auto"/>
          <w:kern w:val="0"/>
          <w:sz w:val="24"/>
        </w:rPr>
        <w:t>本单位营业执照(副本原件或加盖单位公章复印件)、资质证书（原件或加盖单位公章复印件）、安全生产许可证（副本原件或加盖单位公章复印件）、项目经理</w:t>
      </w:r>
      <w:r>
        <w:rPr>
          <w:rFonts w:hint="eastAsia" w:ascii="宋体" w:hAnsi="宋体" w:cs="宋体"/>
          <w:b/>
          <w:bCs w:val="0"/>
          <w:color w:val="auto"/>
          <w:kern w:val="0"/>
          <w:sz w:val="24"/>
          <w:lang w:eastAsia="zh-CN"/>
        </w:rPr>
        <w:t>的</w:t>
      </w:r>
      <w:r>
        <w:rPr>
          <w:rFonts w:hint="eastAsia" w:ascii="宋体" w:hAnsi="宋体" w:cs="宋体"/>
          <w:b/>
          <w:bCs w:val="0"/>
          <w:color w:val="auto"/>
          <w:kern w:val="0"/>
          <w:sz w:val="24"/>
        </w:rPr>
        <w:t>建造师注册证（原件或加盖单位公章复印件）及建造师安全生产考核合格证B证（原件或加盖单位公章复印件）、法定代表人或授权委托人有效身份证原件及法人授权委托书原件以及竞争性磋商文件第三部分磋商组织、步骤与评审方法中要求的相关证件资料等。</w:t>
      </w:r>
    </w:p>
    <w:p w14:paraId="45FA967E">
      <w:pPr>
        <w:pStyle w:val="3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0" w:right="0" w:firstLine="482"/>
        <w:jc w:val="left"/>
        <w:textAlignment w:val="baseline"/>
        <w:rPr>
          <w:rFonts w:hint="eastAsia" w:ascii="微软雅黑" w:hAnsi="微软雅黑" w:eastAsia="微软雅黑" w:cs="微软雅黑"/>
          <w:i w:val="0"/>
          <w:iCs w:val="0"/>
          <w:caps w:val="0"/>
          <w:color w:val="auto"/>
          <w:spacing w:val="0"/>
          <w:sz w:val="24"/>
          <w:szCs w:val="24"/>
        </w:rPr>
      </w:pPr>
      <w:r>
        <w:rPr>
          <w:rFonts w:hint="eastAsia" w:ascii="宋体" w:hAnsi="宋体" w:eastAsia="宋体" w:cs="宋体"/>
          <w:b/>
          <w:bCs/>
          <w:i w:val="0"/>
          <w:iCs w:val="0"/>
          <w:caps w:val="0"/>
          <w:color w:val="auto"/>
          <w:spacing w:val="0"/>
          <w:sz w:val="24"/>
          <w:szCs w:val="24"/>
          <w:shd w:val="clear" w:fill="FFFFFF"/>
        </w:rPr>
        <w:t>注：</w:t>
      </w:r>
      <w:r>
        <w:rPr>
          <w:rFonts w:hint="eastAsia" w:ascii="宋体" w:hAnsi="宋体" w:cs="宋体"/>
          <w:b/>
          <w:bCs/>
          <w:i w:val="0"/>
          <w:iCs w:val="0"/>
          <w:caps w:val="0"/>
          <w:color w:val="auto"/>
          <w:spacing w:val="0"/>
          <w:sz w:val="24"/>
          <w:szCs w:val="24"/>
          <w:shd w:val="clear" w:fill="FFFFFF"/>
          <w:lang w:eastAsia="zh-CN"/>
        </w:rPr>
        <w:t>供应商应按</w:t>
      </w:r>
      <w:r>
        <w:rPr>
          <w:rFonts w:hint="eastAsia" w:ascii="宋体" w:hAnsi="宋体" w:eastAsia="宋体" w:cs="宋体"/>
          <w:b/>
          <w:bCs/>
          <w:i w:val="0"/>
          <w:iCs w:val="0"/>
          <w:caps w:val="0"/>
          <w:color w:val="auto"/>
          <w:spacing w:val="0"/>
          <w:sz w:val="24"/>
          <w:szCs w:val="24"/>
          <w:shd w:val="clear" w:fill="FFFFFF"/>
        </w:rPr>
        <w:t>上述</w:t>
      </w:r>
      <w:r>
        <w:rPr>
          <w:rFonts w:hint="eastAsia" w:ascii="宋体" w:hAnsi="宋体" w:cs="宋体"/>
          <w:b/>
          <w:bCs/>
          <w:i w:val="0"/>
          <w:iCs w:val="0"/>
          <w:caps w:val="0"/>
          <w:color w:val="auto"/>
          <w:spacing w:val="0"/>
          <w:sz w:val="24"/>
          <w:szCs w:val="24"/>
          <w:shd w:val="clear" w:fill="FFFFFF"/>
          <w:lang w:eastAsia="zh-CN"/>
        </w:rPr>
        <w:t>要求提供有关</w:t>
      </w:r>
      <w:r>
        <w:rPr>
          <w:rFonts w:hint="eastAsia" w:ascii="宋体" w:hAnsi="宋体" w:eastAsia="宋体" w:cs="宋体"/>
          <w:b/>
          <w:bCs/>
          <w:i w:val="0"/>
          <w:iCs w:val="0"/>
          <w:caps w:val="0"/>
          <w:color w:val="auto"/>
          <w:spacing w:val="0"/>
          <w:sz w:val="24"/>
          <w:szCs w:val="24"/>
          <w:shd w:val="clear" w:fill="FFFFFF"/>
        </w:rPr>
        <w:t>材料、证件，</w:t>
      </w:r>
      <w:r>
        <w:rPr>
          <w:rFonts w:hint="eastAsia" w:ascii="宋体" w:hAnsi="宋体" w:cs="宋体"/>
          <w:b/>
          <w:bCs/>
          <w:i w:val="0"/>
          <w:iCs w:val="0"/>
          <w:caps w:val="0"/>
          <w:color w:val="auto"/>
          <w:spacing w:val="0"/>
          <w:sz w:val="24"/>
          <w:szCs w:val="24"/>
          <w:shd w:val="clear" w:fill="FFFFFF"/>
          <w:lang w:eastAsia="zh-CN"/>
        </w:rPr>
        <w:t>要求可以提供加盖公章复印件的材料、证件，已</w:t>
      </w:r>
      <w:r>
        <w:rPr>
          <w:rFonts w:hint="eastAsia" w:ascii="宋体" w:hAnsi="宋体" w:eastAsia="宋体" w:cs="宋体"/>
          <w:b/>
          <w:bCs/>
          <w:i w:val="0"/>
          <w:iCs w:val="0"/>
          <w:caps w:val="0"/>
          <w:color w:val="auto"/>
          <w:spacing w:val="0"/>
          <w:sz w:val="24"/>
          <w:szCs w:val="24"/>
          <w:shd w:val="clear" w:fill="FFFFFF"/>
        </w:rPr>
        <w:t>编制在响应文件中</w:t>
      </w:r>
      <w:r>
        <w:rPr>
          <w:rFonts w:hint="eastAsia" w:ascii="宋体" w:hAnsi="宋体" w:cs="宋体"/>
          <w:b/>
          <w:bCs/>
          <w:i w:val="0"/>
          <w:iCs w:val="0"/>
          <w:caps w:val="0"/>
          <w:color w:val="auto"/>
          <w:spacing w:val="0"/>
          <w:sz w:val="24"/>
          <w:szCs w:val="24"/>
          <w:shd w:val="clear" w:fill="FFFFFF"/>
          <w:lang w:eastAsia="zh-CN"/>
        </w:rPr>
        <w:t>的</w:t>
      </w:r>
      <w:r>
        <w:rPr>
          <w:rFonts w:hint="eastAsia" w:ascii="宋体" w:hAnsi="宋体" w:eastAsia="宋体" w:cs="宋体"/>
          <w:b/>
          <w:bCs/>
          <w:i w:val="0"/>
          <w:iCs w:val="0"/>
          <w:caps w:val="0"/>
          <w:color w:val="auto"/>
          <w:spacing w:val="0"/>
          <w:sz w:val="24"/>
          <w:szCs w:val="24"/>
          <w:shd w:val="clear" w:fill="FFFFFF"/>
        </w:rPr>
        <w:t>，</w:t>
      </w:r>
      <w:r>
        <w:rPr>
          <w:rFonts w:hint="eastAsia" w:ascii="宋体" w:hAnsi="宋体" w:cs="宋体"/>
          <w:b/>
          <w:bCs/>
          <w:i w:val="0"/>
          <w:iCs w:val="0"/>
          <w:caps w:val="0"/>
          <w:color w:val="auto"/>
          <w:spacing w:val="0"/>
          <w:sz w:val="24"/>
          <w:szCs w:val="24"/>
          <w:shd w:val="clear" w:fill="FFFFFF"/>
          <w:lang w:eastAsia="zh-CN"/>
        </w:rPr>
        <w:t>无需再单独提供；</w:t>
      </w:r>
      <w:r>
        <w:rPr>
          <w:rFonts w:hint="eastAsia" w:ascii="宋体" w:hAnsi="宋体" w:eastAsia="宋体" w:cs="宋体"/>
          <w:b/>
          <w:bCs/>
          <w:i w:val="0"/>
          <w:iCs w:val="0"/>
          <w:caps w:val="0"/>
          <w:color w:val="auto"/>
          <w:spacing w:val="0"/>
          <w:sz w:val="24"/>
          <w:szCs w:val="24"/>
          <w:shd w:val="clear" w:fill="FFFFFF"/>
        </w:rPr>
        <w:t>若供应商未将</w:t>
      </w:r>
      <w:r>
        <w:rPr>
          <w:rFonts w:hint="eastAsia" w:ascii="宋体" w:hAnsi="宋体" w:cs="宋体"/>
          <w:b/>
          <w:bCs/>
          <w:i w:val="0"/>
          <w:iCs w:val="0"/>
          <w:caps w:val="0"/>
          <w:color w:val="auto"/>
          <w:spacing w:val="0"/>
          <w:sz w:val="24"/>
          <w:szCs w:val="24"/>
          <w:shd w:val="clear" w:fill="FFFFFF"/>
          <w:lang w:eastAsia="zh-CN"/>
        </w:rPr>
        <w:t>相关材料、证件的</w:t>
      </w:r>
      <w:r>
        <w:rPr>
          <w:rFonts w:hint="eastAsia" w:ascii="宋体" w:hAnsi="宋体" w:eastAsia="宋体" w:cs="宋体"/>
          <w:b/>
          <w:bCs/>
          <w:i w:val="0"/>
          <w:iCs w:val="0"/>
          <w:caps w:val="0"/>
          <w:color w:val="auto"/>
          <w:spacing w:val="0"/>
          <w:sz w:val="24"/>
          <w:szCs w:val="24"/>
          <w:shd w:val="clear" w:fill="FFFFFF"/>
        </w:rPr>
        <w:t>复印件</w:t>
      </w:r>
      <w:r>
        <w:rPr>
          <w:rFonts w:hint="eastAsia" w:ascii="宋体" w:hAnsi="宋体" w:cs="宋体"/>
          <w:b/>
          <w:bCs/>
          <w:i w:val="0"/>
          <w:iCs w:val="0"/>
          <w:caps w:val="0"/>
          <w:color w:val="auto"/>
          <w:spacing w:val="0"/>
          <w:sz w:val="24"/>
          <w:szCs w:val="24"/>
          <w:shd w:val="clear" w:fill="FFFFFF"/>
          <w:lang w:eastAsia="zh-CN"/>
        </w:rPr>
        <w:t>（加盖）</w:t>
      </w:r>
      <w:r>
        <w:rPr>
          <w:rFonts w:hint="eastAsia" w:ascii="宋体" w:hAnsi="宋体" w:eastAsia="宋体" w:cs="宋体"/>
          <w:b/>
          <w:bCs/>
          <w:i w:val="0"/>
          <w:iCs w:val="0"/>
          <w:caps w:val="0"/>
          <w:color w:val="auto"/>
          <w:spacing w:val="0"/>
          <w:sz w:val="24"/>
          <w:szCs w:val="24"/>
          <w:shd w:val="clear" w:fill="FFFFFF"/>
        </w:rPr>
        <w:t>编制在响应文件中，则涉及资格等无效磋商响应文件情形的，将</w:t>
      </w:r>
      <w:r>
        <w:rPr>
          <w:rFonts w:hint="eastAsia" w:ascii="宋体" w:hAnsi="宋体" w:eastAsia="宋体" w:cs="宋体"/>
          <w:b/>
          <w:bCs/>
          <w:i w:val="0"/>
          <w:iCs w:val="0"/>
          <w:caps w:val="0"/>
          <w:color w:val="auto"/>
          <w:spacing w:val="0"/>
          <w:sz w:val="24"/>
          <w:szCs w:val="24"/>
          <w:shd w:val="clear" w:fill="FFFFFF"/>
          <w:lang w:eastAsia="zh-CN"/>
        </w:rPr>
        <w:t>按照无效响应处理</w:t>
      </w:r>
      <w:r>
        <w:rPr>
          <w:rFonts w:hint="eastAsia" w:ascii="宋体" w:hAnsi="宋体" w:eastAsia="宋体" w:cs="宋体"/>
          <w:b/>
          <w:bCs/>
          <w:i w:val="0"/>
          <w:iCs w:val="0"/>
          <w:caps w:val="0"/>
          <w:color w:val="auto"/>
          <w:spacing w:val="0"/>
          <w:sz w:val="24"/>
          <w:szCs w:val="24"/>
          <w:shd w:val="clear" w:fill="FFFFFF"/>
        </w:rPr>
        <w:t>，且不因</w:t>
      </w:r>
      <w:r>
        <w:rPr>
          <w:rFonts w:hint="eastAsia" w:ascii="宋体" w:hAnsi="宋体" w:eastAsia="宋体" w:cs="宋体"/>
          <w:b/>
          <w:bCs/>
          <w:i w:val="0"/>
          <w:iCs w:val="0"/>
          <w:caps w:val="0"/>
          <w:color w:val="auto"/>
          <w:spacing w:val="0"/>
          <w:sz w:val="24"/>
          <w:szCs w:val="24"/>
          <w:shd w:val="clear" w:fill="FFFFFF"/>
          <w:lang w:eastAsia="zh-CN"/>
        </w:rPr>
        <w:t>单独提供了有关材料、证件</w:t>
      </w:r>
      <w:r>
        <w:rPr>
          <w:rFonts w:hint="eastAsia" w:ascii="宋体" w:hAnsi="宋体" w:eastAsia="宋体" w:cs="宋体"/>
          <w:b/>
          <w:bCs/>
          <w:i w:val="0"/>
          <w:iCs w:val="0"/>
          <w:caps w:val="0"/>
          <w:color w:val="auto"/>
          <w:spacing w:val="0"/>
          <w:sz w:val="24"/>
          <w:szCs w:val="24"/>
          <w:shd w:val="clear" w:fill="FFFFFF"/>
        </w:rPr>
        <w:t>而改变。供应商在磋商时未按上述要求提供证明材料的，按无效响应文件处理或按评审办法规定不予认可。</w:t>
      </w:r>
    </w:p>
    <w:p w14:paraId="32842654">
      <w:pPr>
        <w:widowControl/>
        <w:adjustRightInd w:val="0"/>
        <w:snapToGrid w:val="0"/>
        <w:spacing w:line="360" w:lineRule="auto"/>
        <w:ind w:firstLine="480" w:firstLineChars="200"/>
        <w:jc w:val="left"/>
        <w:rPr>
          <w:rFonts w:ascii="宋体" w:hAnsi="宋体" w:cs="宋体"/>
          <w:color w:val="auto"/>
          <w:kern w:val="0"/>
          <w:sz w:val="24"/>
        </w:rPr>
      </w:pPr>
      <w:r>
        <w:rPr>
          <w:rFonts w:hint="eastAsia" w:ascii="宋体" w:hAnsi="宋体" w:eastAsia="宋体" w:cs="宋体"/>
          <w:i w:val="0"/>
          <w:iCs w:val="0"/>
          <w:caps w:val="0"/>
          <w:color w:val="auto"/>
          <w:spacing w:val="0"/>
          <w:sz w:val="24"/>
          <w:szCs w:val="24"/>
          <w:shd w:val="clear" w:fill="FFFFFF"/>
        </w:rPr>
        <w:t>5、本次竞争性磋商不接受联合体</w:t>
      </w:r>
      <w:r>
        <w:rPr>
          <w:rFonts w:hint="eastAsia" w:ascii="宋体" w:hAnsi="宋体" w:cs="宋体"/>
          <w:color w:val="auto"/>
          <w:kern w:val="0"/>
          <w:sz w:val="24"/>
        </w:rPr>
        <w:t>。</w:t>
      </w:r>
    </w:p>
    <w:p w14:paraId="32E0E9E1">
      <w:pPr>
        <w:spacing w:line="360" w:lineRule="auto"/>
        <w:ind w:firstLine="482" w:firstLineChars="200"/>
        <w:rPr>
          <w:rFonts w:ascii="宋体" w:hAnsi="宋体" w:cs="Arial Unicode MS"/>
          <w:b/>
          <w:color w:val="auto"/>
          <w:sz w:val="24"/>
        </w:rPr>
      </w:pPr>
      <w:r>
        <w:rPr>
          <w:rFonts w:ascii="宋体" w:hAnsi="宋体" w:cs="Arial Unicode MS"/>
          <w:b/>
          <w:color w:val="auto"/>
          <w:sz w:val="24"/>
        </w:rPr>
        <w:t>四、</w:t>
      </w:r>
      <w:r>
        <w:rPr>
          <w:rFonts w:hint="eastAsia" w:ascii="宋体" w:hAnsi="宋体" w:cs="Arial Unicode MS"/>
          <w:b/>
          <w:color w:val="auto"/>
          <w:sz w:val="24"/>
        </w:rPr>
        <w:t>竞争性磋商文件：</w:t>
      </w:r>
    </w:p>
    <w:p w14:paraId="6B2F3B4A">
      <w:pPr>
        <w:widowControl/>
        <w:shd w:val="clear" w:color="auto" w:fill="FFFFFF"/>
        <w:spacing w:line="360" w:lineRule="auto"/>
        <w:ind w:firstLine="480"/>
        <w:jc w:val="left"/>
        <w:rPr>
          <w:rFonts w:ascii="宋体" w:hAnsi="宋体"/>
          <w:color w:val="auto"/>
          <w:sz w:val="24"/>
        </w:rPr>
      </w:pPr>
      <w:r>
        <w:rPr>
          <w:rFonts w:hint="eastAsia" w:ascii="宋体" w:hAnsi="宋体"/>
          <w:color w:val="auto"/>
          <w:sz w:val="24"/>
        </w:rPr>
        <w:t>本竞争性</w:t>
      </w:r>
      <w:r>
        <w:rPr>
          <w:rFonts w:hint="eastAsia" w:ascii="宋体" w:hAnsi="宋体" w:cs="黑体"/>
          <w:color w:val="auto"/>
          <w:kern w:val="0"/>
          <w:sz w:val="24"/>
        </w:rPr>
        <w:t>磋商</w:t>
      </w:r>
      <w:r>
        <w:rPr>
          <w:rFonts w:hint="eastAsia" w:ascii="宋体" w:hAnsi="宋体"/>
          <w:color w:val="auto"/>
          <w:sz w:val="24"/>
        </w:rPr>
        <w:t>文件由以下内容组成：</w:t>
      </w:r>
    </w:p>
    <w:p w14:paraId="60DB0FE7">
      <w:pPr>
        <w:widowControl/>
        <w:shd w:val="clear" w:color="auto" w:fill="FFFFFF"/>
        <w:spacing w:line="360" w:lineRule="auto"/>
        <w:ind w:firstLine="480"/>
        <w:jc w:val="left"/>
        <w:rPr>
          <w:rFonts w:ascii="宋体" w:hAnsi="宋体"/>
          <w:color w:val="auto"/>
          <w:sz w:val="24"/>
        </w:rPr>
      </w:pPr>
      <w:r>
        <w:rPr>
          <w:rFonts w:hint="eastAsia" w:ascii="宋体" w:hAnsi="宋体"/>
          <w:color w:val="auto"/>
          <w:sz w:val="24"/>
        </w:rPr>
        <w:t>1、</w:t>
      </w:r>
      <w:r>
        <w:rPr>
          <w:rFonts w:hint="eastAsia" w:ascii="宋体" w:hAnsi="宋体" w:cs="黑体"/>
          <w:color w:val="auto"/>
          <w:kern w:val="0"/>
          <w:sz w:val="24"/>
        </w:rPr>
        <w:t>竞争性</w:t>
      </w:r>
      <w:r>
        <w:rPr>
          <w:rFonts w:hint="eastAsia" w:ascii="宋体" w:hAnsi="宋体"/>
          <w:color w:val="auto"/>
          <w:sz w:val="24"/>
        </w:rPr>
        <w:t>磋商公告；</w:t>
      </w:r>
    </w:p>
    <w:p w14:paraId="3C3CD1A7">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2、磋商响应方须知；</w:t>
      </w:r>
    </w:p>
    <w:p w14:paraId="4EA64F80">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3、磋商组织、步骤与评审方法；</w:t>
      </w:r>
    </w:p>
    <w:p w14:paraId="2AED793B">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4、采购内容及要求；</w:t>
      </w:r>
    </w:p>
    <w:p w14:paraId="004189DA">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5、合同授予；</w:t>
      </w:r>
    </w:p>
    <w:p w14:paraId="451DE041">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6、响应文件格式。</w:t>
      </w:r>
    </w:p>
    <w:p w14:paraId="5ADA3E0E">
      <w:pPr>
        <w:spacing w:line="360" w:lineRule="auto"/>
        <w:ind w:firstLine="482" w:firstLineChars="200"/>
        <w:rPr>
          <w:rFonts w:ascii="宋体" w:hAnsi="宋体" w:cs="Arial Unicode MS"/>
          <w:b/>
          <w:color w:val="auto"/>
          <w:sz w:val="24"/>
        </w:rPr>
      </w:pPr>
      <w:r>
        <w:rPr>
          <w:rFonts w:hint="eastAsia" w:ascii="宋体" w:hAnsi="宋体" w:cs="Arial Unicode MS"/>
          <w:b/>
          <w:color w:val="auto"/>
          <w:sz w:val="24"/>
        </w:rPr>
        <w:t>五、磋商</w:t>
      </w:r>
      <w:r>
        <w:rPr>
          <w:rFonts w:ascii="宋体" w:hAnsi="宋体" w:cs="Arial Unicode MS"/>
          <w:b/>
          <w:color w:val="auto"/>
          <w:sz w:val="24"/>
        </w:rPr>
        <w:t>文件的质疑、澄清或修改</w:t>
      </w:r>
      <w:r>
        <w:rPr>
          <w:rFonts w:hint="eastAsia" w:ascii="宋体" w:hAnsi="宋体" w:cs="Arial Unicode MS"/>
          <w:b/>
          <w:color w:val="auto"/>
          <w:sz w:val="24"/>
        </w:rPr>
        <w:t>：</w:t>
      </w:r>
    </w:p>
    <w:p w14:paraId="7F990320">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rPr>
        <w:t>1、各潜在供应商对磋商文件内容如有疑问，必须于磋商开始前五个日历日将疑问以书面形式送至采购人或电子邮件形式发至</w:t>
      </w:r>
      <w:r>
        <w:rPr>
          <w:rFonts w:hint="eastAsia" w:ascii="宋体" w:hAnsi="宋体" w:cs="宋体"/>
          <w:color w:val="auto"/>
          <w:sz w:val="24"/>
          <w:lang w:eastAsia="zh-CN"/>
        </w:rPr>
        <w:t>sdtszcfgs@163.com</w:t>
      </w:r>
      <w:r>
        <w:rPr>
          <w:rFonts w:hint="eastAsia" w:ascii="宋体" w:hAnsi="宋体" w:cs="宋体"/>
          <w:color w:val="auto"/>
          <w:sz w:val="24"/>
        </w:rPr>
        <w:t>；</w:t>
      </w:r>
    </w:p>
    <w:p w14:paraId="269E2082">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rPr>
        <w:t>2、提交响应文件截止之日前，采购人、采购代理机构可以对已发出的磋商文件进行必要的澄清或者修改，澄清或者修改的内容作为磋商文件的组成部分。澄清或者修改的内容可能影响响应文件编制的，采购人、采购代理机构应当在提交响应文件截止时间至少5 日前，在邹城市外宣网（http://www.mencius.gov.cn/）予以公告；不足5日的，采购人、采购代理机构应当顺延提交响应文件截止时间。</w:t>
      </w:r>
    </w:p>
    <w:p w14:paraId="7A05DFA1">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rPr>
        <w:t>3、磋商文件的澄清或者修改一经在邹城市外宣网（http://www.mencius.gov.cn/）发布，视作已发放给所有供应商（发布时间即为送达供应商的时间），各供应商应随时关注磋商项目信息并及时下载相关资料，否则所造成的一切后果由供应商自负。</w:t>
      </w:r>
    </w:p>
    <w:p w14:paraId="0A68B5FE">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rPr>
        <w:t>4、磋商文件的澄清或修改均以最后发布的内容为准。当磋商文件的澄清、修改、补充等在同一内容的表述不一致时，以最后发布的内容为准。</w:t>
      </w:r>
    </w:p>
    <w:p w14:paraId="6144BDA3">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ascii="宋体" w:hAnsi="宋体" w:cs="Arial Unicode MS"/>
          <w:b/>
          <w:color w:val="auto"/>
          <w:sz w:val="24"/>
        </w:rPr>
      </w:pPr>
      <w:r>
        <w:rPr>
          <w:rFonts w:hint="eastAsia" w:ascii="宋体" w:hAnsi="宋体" w:cs="Arial Unicode MS"/>
          <w:b/>
          <w:color w:val="auto"/>
          <w:sz w:val="24"/>
        </w:rPr>
        <w:t>六</w:t>
      </w:r>
      <w:r>
        <w:rPr>
          <w:rFonts w:ascii="宋体" w:hAnsi="宋体" w:cs="Arial Unicode MS"/>
          <w:b/>
          <w:color w:val="auto"/>
          <w:sz w:val="24"/>
        </w:rPr>
        <w:t>、</w:t>
      </w:r>
      <w:r>
        <w:rPr>
          <w:rFonts w:hint="eastAsia" w:ascii="宋体" w:hAnsi="宋体" w:cs="Arial Unicode MS"/>
          <w:b/>
          <w:color w:val="auto"/>
          <w:sz w:val="24"/>
        </w:rPr>
        <w:t>磋商响应</w:t>
      </w:r>
      <w:r>
        <w:rPr>
          <w:rFonts w:ascii="宋体" w:hAnsi="宋体" w:cs="Arial Unicode MS"/>
          <w:b/>
          <w:color w:val="auto"/>
          <w:sz w:val="24"/>
        </w:rPr>
        <w:t>文件的编写及递交</w:t>
      </w:r>
      <w:r>
        <w:rPr>
          <w:rFonts w:hint="eastAsia" w:ascii="宋体" w:hAnsi="宋体" w:cs="Arial Unicode MS"/>
          <w:b/>
          <w:color w:val="auto"/>
          <w:sz w:val="24"/>
        </w:rPr>
        <w:t>：</w:t>
      </w:r>
    </w:p>
    <w:p w14:paraId="2D9A9909">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olor w:val="auto"/>
          <w:sz w:val="24"/>
        </w:rPr>
      </w:pPr>
      <w:r>
        <w:rPr>
          <w:rFonts w:hint="eastAsia" w:ascii="宋体" w:hAnsi="宋体"/>
          <w:color w:val="auto"/>
          <w:sz w:val="24"/>
        </w:rPr>
        <w:t>供应商应按</w:t>
      </w:r>
      <w:r>
        <w:rPr>
          <w:rFonts w:hint="eastAsia" w:ascii="宋体" w:hAnsi="宋体" w:cs="Courier New"/>
          <w:color w:val="auto"/>
          <w:sz w:val="24"/>
        </w:rPr>
        <w:t>磋商</w:t>
      </w:r>
      <w:r>
        <w:rPr>
          <w:rFonts w:hint="eastAsia" w:ascii="宋体" w:hAnsi="宋体"/>
          <w:color w:val="auto"/>
          <w:sz w:val="24"/>
        </w:rPr>
        <w:t>文件的要求准备</w:t>
      </w:r>
      <w:r>
        <w:rPr>
          <w:rFonts w:hint="eastAsia" w:ascii="宋体" w:hAnsi="宋体" w:cs="Courier New"/>
          <w:color w:val="auto"/>
          <w:sz w:val="24"/>
        </w:rPr>
        <w:t>磋商</w:t>
      </w:r>
      <w:r>
        <w:rPr>
          <w:rFonts w:hint="eastAsia" w:ascii="宋体" w:hAnsi="宋体"/>
          <w:color w:val="auto"/>
          <w:sz w:val="24"/>
        </w:rPr>
        <w:t>响应文件，并保证所提供全部资料的真实性、准确性及完整性，并对</w:t>
      </w:r>
      <w:r>
        <w:rPr>
          <w:rFonts w:hint="eastAsia" w:ascii="宋体" w:hAnsi="宋体" w:cs="Courier New"/>
          <w:color w:val="auto"/>
          <w:sz w:val="24"/>
        </w:rPr>
        <w:t>磋商</w:t>
      </w:r>
      <w:r>
        <w:rPr>
          <w:rFonts w:hint="eastAsia" w:ascii="宋体" w:hAnsi="宋体"/>
          <w:color w:val="auto"/>
          <w:sz w:val="24"/>
        </w:rPr>
        <w:t>文件做出实质性响应。</w:t>
      </w:r>
    </w:p>
    <w:p w14:paraId="089174E3">
      <w:pPr>
        <w:keepNext w:val="0"/>
        <w:keepLines w:val="0"/>
        <w:pageBreakBefore w:val="0"/>
        <w:widowControl/>
        <w:numPr>
          <w:ilvl w:val="0"/>
          <w:numId w:val="2"/>
        </w:numPr>
        <w:shd w:val="clear" w:color="auto" w:fill="FFFFFF"/>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cs="黑体"/>
          <w:b/>
          <w:bCs/>
          <w:color w:val="auto"/>
          <w:kern w:val="0"/>
          <w:sz w:val="24"/>
        </w:rPr>
      </w:pPr>
      <w:r>
        <w:rPr>
          <w:rFonts w:hint="eastAsia" w:ascii="宋体" w:hAnsi="宋体" w:cs="黑体"/>
          <w:b/>
          <w:bCs/>
          <w:color w:val="auto"/>
          <w:kern w:val="0"/>
          <w:sz w:val="24"/>
        </w:rPr>
        <w:t>磋商响应文件的组成：</w:t>
      </w:r>
    </w:p>
    <w:p w14:paraId="61EFC340">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rPr>
        <w:t>1、磋商响应函</w:t>
      </w:r>
    </w:p>
    <w:p w14:paraId="3D36BE53">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 xml:space="preserve"> 2、法定代表人身份证明或授权委托人身份证明及法定代表人授权委托书</w:t>
      </w:r>
    </w:p>
    <w:p w14:paraId="4D13D9C7">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 xml:space="preserve"> 3、初次报价表</w:t>
      </w:r>
    </w:p>
    <w:p w14:paraId="394A19A5">
      <w:pPr>
        <w:widowControl/>
        <w:shd w:val="clear" w:color="auto" w:fill="FFFFFF"/>
        <w:spacing w:line="360" w:lineRule="auto"/>
        <w:ind w:firstLine="480"/>
        <w:jc w:val="left"/>
        <w:rPr>
          <w:rFonts w:hint="eastAsia" w:ascii="宋体" w:hAnsi="宋体" w:eastAsia="宋体" w:cs="黑体"/>
          <w:color w:val="auto"/>
          <w:kern w:val="0"/>
          <w:sz w:val="24"/>
          <w:lang w:eastAsia="zh-CN"/>
        </w:rPr>
      </w:pPr>
      <w:r>
        <w:rPr>
          <w:rFonts w:hint="eastAsia" w:ascii="宋体" w:hAnsi="宋体" w:cs="黑体"/>
          <w:color w:val="auto"/>
          <w:kern w:val="0"/>
          <w:sz w:val="24"/>
        </w:rPr>
        <w:t xml:space="preserve"> 4、初次报价</w:t>
      </w:r>
      <w:r>
        <w:rPr>
          <w:rFonts w:hint="eastAsia" w:ascii="宋体" w:hAnsi="宋体" w:cs="黑体"/>
          <w:color w:val="auto"/>
          <w:kern w:val="0"/>
          <w:sz w:val="24"/>
          <w:lang w:eastAsia="zh-CN"/>
        </w:rPr>
        <w:t>明细</w:t>
      </w:r>
    </w:p>
    <w:p w14:paraId="4D077399">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rPr>
        <w:t>5、技术部分</w:t>
      </w:r>
    </w:p>
    <w:p w14:paraId="3172B6EE">
      <w:pPr>
        <w:widowControl/>
        <w:shd w:val="clear" w:color="auto" w:fill="FFFFFF"/>
        <w:spacing w:line="360" w:lineRule="auto"/>
        <w:ind w:firstLine="600" w:firstLineChars="250"/>
        <w:jc w:val="left"/>
        <w:rPr>
          <w:rFonts w:hint="eastAsia" w:ascii="宋体" w:hAnsi="宋体" w:eastAsia="宋体" w:cs="黑体"/>
          <w:color w:val="auto"/>
          <w:kern w:val="0"/>
          <w:sz w:val="24"/>
          <w:lang w:eastAsia="zh-CN"/>
        </w:rPr>
      </w:pPr>
      <w:r>
        <w:rPr>
          <w:rFonts w:hint="eastAsia" w:ascii="宋体" w:hAnsi="宋体" w:cs="黑体"/>
          <w:color w:val="auto"/>
          <w:kern w:val="0"/>
          <w:sz w:val="24"/>
          <w:lang w:val="en-US" w:eastAsia="zh-CN"/>
        </w:rPr>
        <w:t>6</w:t>
      </w:r>
      <w:r>
        <w:rPr>
          <w:rFonts w:hint="eastAsia" w:ascii="宋体" w:hAnsi="宋体" w:cs="黑体"/>
          <w:color w:val="auto"/>
          <w:kern w:val="0"/>
          <w:sz w:val="24"/>
        </w:rPr>
        <w:t>、</w:t>
      </w:r>
      <w:r>
        <w:rPr>
          <w:rFonts w:hint="eastAsia" w:ascii="宋体" w:hAnsi="宋体" w:cs="黑体"/>
          <w:color w:val="auto"/>
          <w:kern w:val="0"/>
          <w:sz w:val="24"/>
          <w:lang w:eastAsia="zh-CN"/>
        </w:rPr>
        <w:t>项目管理机构</w:t>
      </w:r>
    </w:p>
    <w:p w14:paraId="3DB28E0C">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lang w:val="en-US" w:eastAsia="zh-CN"/>
        </w:rPr>
        <w:t>7、</w:t>
      </w:r>
      <w:r>
        <w:rPr>
          <w:rFonts w:hint="eastAsia" w:ascii="宋体" w:hAnsi="宋体" w:cs="黑体"/>
          <w:color w:val="auto"/>
          <w:kern w:val="0"/>
          <w:sz w:val="24"/>
        </w:rPr>
        <w:t>资格审查资料</w:t>
      </w:r>
    </w:p>
    <w:p w14:paraId="5D88886A">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lang w:val="en-US" w:eastAsia="zh-CN"/>
        </w:rPr>
        <w:t>8</w:t>
      </w:r>
      <w:r>
        <w:rPr>
          <w:rFonts w:hint="eastAsia" w:ascii="宋体" w:hAnsi="宋体" w:cs="黑体"/>
          <w:color w:val="auto"/>
          <w:kern w:val="0"/>
          <w:sz w:val="24"/>
        </w:rPr>
        <w:t>、建设工程扬尘治理工作承诺书</w:t>
      </w:r>
    </w:p>
    <w:p w14:paraId="673165A2">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lang w:val="en-US" w:eastAsia="zh-CN"/>
        </w:rPr>
        <w:t>9</w:t>
      </w:r>
      <w:r>
        <w:rPr>
          <w:rFonts w:hint="eastAsia" w:ascii="宋体" w:hAnsi="宋体" w:cs="黑体"/>
          <w:color w:val="auto"/>
          <w:kern w:val="0"/>
          <w:sz w:val="24"/>
        </w:rPr>
        <w:t>、其他资料</w:t>
      </w:r>
    </w:p>
    <w:p w14:paraId="25CF7FC6">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2" w:firstLineChars="200"/>
        <w:jc w:val="left"/>
        <w:textAlignment w:val="auto"/>
        <w:rPr>
          <w:rFonts w:ascii="宋体" w:hAnsi="宋体" w:cs="黑体"/>
          <w:b/>
          <w:color w:val="auto"/>
          <w:kern w:val="0"/>
          <w:sz w:val="24"/>
        </w:rPr>
      </w:pPr>
      <w:r>
        <w:rPr>
          <w:rFonts w:hint="eastAsia" w:ascii="宋体" w:hAnsi="宋体" w:cs="黑体"/>
          <w:b/>
          <w:color w:val="auto"/>
          <w:kern w:val="0"/>
          <w:sz w:val="24"/>
        </w:rPr>
        <w:t>（二）磋商响应文件的装订、密封和标记：</w:t>
      </w:r>
    </w:p>
    <w:p w14:paraId="5C074496">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s="黑体"/>
          <w:b w:val="0"/>
          <w:bCs/>
          <w:color w:val="auto"/>
          <w:kern w:val="0"/>
          <w:sz w:val="24"/>
        </w:rPr>
      </w:pPr>
      <w:r>
        <w:rPr>
          <w:rFonts w:hint="eastAsia" w:ascii="宋体" w:hAnsi="宋体" w:cs="黑体"/>
          <w:b w:val="0"/>
          <w:bCs/>
          <w:color w:val="auto"/>
          <w:kern w:val="0"/>
          <w:sz w:val="24"/>
        </w:rPr>
        <w:t>1、磋商响应文件需加盖磋商响应方公章并装订成册；</w:t>
      </w:r>
    </w:p>
    <w:p w14:paraId="6DFB77A1">
      <w:pPr>
        <w:widowControl/>
        <w:shd w:val="clear" w:color="auto" w:fill="FFFFFF"/>
        <w:spacing w:line="360" w:lineRule="auto"/>
        <w:ind w:firstLine="480"/>
        <w:jc w:val="left"/>
        <w:rPr>
          <w:rFonts w:ascii="宋体" w:hAnsi="宋体" w:cs="黑体"/>
          <w:b w:val="0"/>
          <w:bCs/>
          <w:color w:val="auto"/>
          <w:kern w:val="0"/>
          <w:sz w:val="24"/>
        </w:rPr>
      </w:pPr>
      <w:r>
        <w:rPr>
          <w:rFonts w:hint="eastAsia" w:ascii="宋体" w:hAnsi="宋体" w:cs="黑体"/>
          <w:b w:val="0"/>
          <w:bCs/>
          <w:color w:val="auto"/>
          <w:kern w:val="0"/>
          <w:sz w:val="24"/>
        </w:rPr>
        <w:t>2、供应商应准备磋商响应文件</w:t>
      </w:r>
      <w:r>
        <w:rPr>
          <w:rFonts w:hint="eastAsia" w:ascii="宋体" w:hAnsi="宋体" w:cs="黑体"/>
          <w:b w:val="0"/>
          <w:bCs/>
          <w:color w:val="auto"/>
          <w:kern w:val="0"/>
          <w:sz w:val="24"/>
          <w:lang w:eastAsia="zh-CN"/>
        </w:rPr>
        <w:t>四</w:t>
      </w:r>
      <w:r>
        <w:rPr>
          <w:rFonts w:hint="eastAsia" w:ascii="宋体" w:hAnsi="宋体" w:cs="黑体"/>
          <w:b w:val="0"/>
          <w:bCs/>
          <w:color w:val="auto"/>
          <w:kern w:val="0"/>
          <w:sz w:val="24"/>
        </w:rPr>
        <w:t>份，一份正本和</w:t>
      </w:r>
      <w:r>
        <w:rPr>
          <w:rFonts w:hint="eastAsia" w:ascii="宋体" w:hAnsi="宋体" w:cs="黑体"/>
          <w:b w:val="0"/>
          <w:bCs/>
          <w:color w:val="auto"/>
          <w:kern w:val="0"/>
          <w:sz w:val="24"/>
          <w:lang w:eastAsia="zh-CN"/>
        </w:rPr>
        <w:t>三</w:t>
      </w:r>
      <w:r>
        <w:rPr>
          <w:rFonts w:hint="eastAsia" w:ascii="宋体" w:hAnsi="宋体" w:cs="黑体"/>
          <w:b w:val="0"/>
          <w:bCs/>
          <w:color w:val="auto"/>
          <w:kern w:val="0"/>
          <w:sz w:val="24"/>
        </w:rPr>
        <w:t>份副本。在每一份磋商响应文件上要明确注明“正本”或“副本”字样，一旦正本和副本有差异，以正本为准；</w:t>
      </w:r>
    </w:p>
    <w:p w14:paraId="75D51B2F">
      <w:pPr>
        <w:widowControl/>
        <w:shd w:val="clear" w:color="auto" w:fill="FFFFFF"/>
        <w:spacing w:line="360" w:lineRule="auto"/>
        <w:ind w:firstLine="480"/>
        <w:jc w:val="left"/>
        <w:rPr>
          <w:rFonts w:ascii="宋体" w:hAnsi="宋体" w:cs="黑体"/>
          <w:b w:val="0"/>
          <w:bCs/>
          <w:color w:val="auto"/>
          <w:kern w:val="0"/>
          <w:sz w:val="24"/>
        </w:rPr>
      </w:pPr>
      <w:r>
        <w:rPr>
          <w:rFonts w:hint="eastAsia" w:ascii="宋体" w:hAnsi="宋体" w:cs="黑体"/>
          <w:b w:val="0"/>
          <w:bCs/>
          <w:color w:val="auto"/>
          <w:kern w:val="0"/>
          <w:sz w:val="24"/>
        </w:rPr>
        <w:t>3、响应供应商应将磋商响应文件密封，并在封口处加盖磋商响应方公章或由法定代表人（或委托代理人）签字（或签章），未按本条要求密封的磋商响应文件将有权被拒绝接收。</w:t>
      </w:r>
    </w:p>
    <w:p w14:paraId="284C91EE">
      <w:pPr>
        <w:widowControl/>
        <w:shd w:val="clear" w:color="auto" w:fill="FFFFFF"/>
        <w:spacing w:line="360" w:lineRule="auto"/>
        <w:ind w:firstLine="480"/>
        <w:jc w:val="left"/>
        <w:rPr>
          <w:rFonts w:ascii="宋体" w:hAnsi="宋体" w:cs="黑体"/>
          <w:b/>
          <w:color w:val="auto"/>
          <w:kern w:val="0"/>
          <w:sz w:val="24"/>
        </w:rPr>
      </w:pPr>
      <w:r>
        <w:rPr>
          <w:rFonts w:hint="eastAsia" w:ascii="宋体" w:hAnsi="宋体" w:cs="黑体"/>
          <w:b/>
          <w:color w:val="auto"/>
          <w:kern w:val="0"/>
          <w:sz w:val="24"/>
        </w:rPr>
        <w:t>（三）磋商响应文件的递交：</w:t>
      </w:r>
    </w:p>
    <w:p w14:paraId="4D23542E">
      <w:pPr>
        <w:widowControl/>
        <w:shd w:val="clear" w:color="auto" w:fill="FFFFFF"/>
        <w:spacing w:line="440" w:lineRule="exact"/>
        <w:ind w:firstLine="480"/>
        <w:jc w:val="left"/>
        <w:rPr>
          <w:rFonts w:ascii="宋体" w:hAnsi="宋体" w:cs="宋体"/>
          <w:b/>
          <w:color w:val="auto"/>
          <w:kern w:val="0"/>
          <w:sz w:val="24"/>
        </w:rPr>
      </w:pPr>
      <w:r>
        <w:rPr>
          <w:rFonts w:hint="eastAsia" w:ascii="宋体" w:hAnsi="宋体" w:cs="宋体"/>
          <w:b/>
          <w:color w:val="auto"/>
          <w:kern w:val="0"/>
          <w:sz w:val="24"/>
        </w:rPr>
        <w:t>1.磋商响应文件上传时间:</w:t>
      </w:r>
      <w:r>
        <w:rPr>
          <w:rFonts w:hint="eastAsia" w:ascii="宋体" w:hAnsi="宋体" w:cs="宋体"/>
          <w:b/>
          <w:color w:val="auto"/>
          <w:kern w:val="0"/>
          <w:sz w:val="24"/>
          <w:lang w:eastAsia="zh-CN"/>
        </w:rPr>
        <w:t>2025年6月20日09时00分</w:t>
      </w:r>
      <w:r>
        <w:rPr>
          <w:rFonts w:hint="eastAsia" w:ascii="宋体" w:hAnsi="宋体" w:cs="宋体"/>
          <w:b/>
          <w:color w:val="auto"/>
          <w:kern w:val="0"/>
          <w:sz w:val="24"/>
          <w:highlight w:val="none"/>
        </w:rPr>
        <w:t>前递交至</w:t>
      </w:r>
      <w:r>
        <w:rPr>
          <w:rFonts w:hint="eastAsia" w:ascii="宋体" w:hAnsi="宋体" w:cs="宋体"/>
          <w:b/>
          <w:color w:val="auto"/>
          <w:kern w:val="0"/>
          <w:sz w:val="24"/>
          <w:lang w:eastAsia="zh-CN"/>
        </w:rPr>
        <w:t>邹城市钢山街道公共资源交易中心开标室（燕京社区服务中心4楼）</w:t>
      </w:r>
      <w:r>
        <w:rPr>
          <w:rFonts w:hint="eastAsia" w:ascii="宋体" w:hAnsi="宋体" w:cs="宋体"/>
          <w:b/>
          <w:color w:val="auto"/>
          <w:kern w:val="0"/>
          <w:sz w:val="24"/>
        </w:rPr>
        <w:t>。</w:t>
      </w:r>
    </w:p>
    <w:p w14:paraId="598B2D7F">
      <w:pPr>
        <w:spacing w:line="360" w:lineRule="auto"/>
        <w:ind w:firstLine="480"/>
        <w:jc w:val="left"/>
        <w:rPr>
          <w:rFonts w:ascii="宋体" w:hAnsi="宋体" w:cs="黑体"/>
          <w:color w:val="auto"/>
          <w:kern w:val="0"/>
          <w:sz w:val="24"/>
        </w:rPr>
      </w:pPr>
      <w:r>
        <w:rPr>
          <w:rFonts w:hint="eastAsia" w:ascii="宋体" w:hAnsi="宋体" w:cs="黑体"/>
          <w:color w:val="auto"/>
          <w:kern w:val="0"/>
          <w:sz w:val="24"/>
        </w:rPr>
        <w:t>2、递交磋商响应文件时，供应商如出现以下情况，磋商响应文件将有权被拒绝。</w:t>
      </w:r>
    </w:p>
    <w:p w14:paraId="312000E6">
      <w:pPr>
        <w:spacing w:line="360" w:lineRule="auto"/>
        <w:ind w:firstLine="480"/>
        <w:jc w:val="left"/>
        <w:rPr>
          <w:rFonts w:ascii="宋体" w:hAnsi="宋体" w:cs="黑体"/>
          <w:color w:val="auto"/>
          <w:kern w:val="0"/>
          <w:sz w:val="24"/>
        </w:rPr>
      </w:pPr>
      <w:r>
        <w:rPr>
          <w:rFonts w:hint="eastAsia" w:ascii="宋体" w:hAnsi="宋体" w:cs="黑体"/>
          <w:color w:val="auto"/>
          <w:kern w:val="0"/>
          <w:sz w:val="24"/>
        </w:rPr>
        <w:t>（1）逾期送达或未送达指定地点的磋商响应文件。</w:t>
      </w:r>
    </w:p>
    <w:p w14:paraId="31290F7E">
      <w:pPr>
        <w:spacing w:line="360" w:lineRule="auto"/>
        <w:ind w:firstLine="480"/>
        <w:jc w:val="left"/>
        <w:rPr>
          <w:rFonts w:ascii="宋体" w:hAnsi="宋体" w:cs="黑体"/>
          <w:color w:val="auto"/>
          <w:kern w:val="0"/>
          <w:sz w:val="24"/>
        </w:rPr>
      </w:pPr>
      <w:r>
        <w:rPr>
          <w:rFonts w:hint="eastAsia" w:ascii="宋体" w:hAnsi="宋体" w:cs="黑体"/>
          <w:color w:val="auto"/>
          <w:kern w:val="0"/>
          <w:sz w:val="24"/>
        </w:rPr>
        <w:t>（2）供应商以传真、电子邮件方式递交磋商响应文件。</w:t>
      </w:r>
    </w:p>
    <w:p w14:paraId="3A489CF2">
      <w:pPr>
        <w:spacing w:line="360" w:lineRule="auto"/>
        <w:ind w:firstLine="480"/>
        <w:jc w:val="left"/>
        <w:rPr>
          <w:rFonts w:ascii="宋体" w:hAnsi="宋体" w:cs="黑体"/>
          <w:color w:val="auto"/>
          <w:kern w:val="0"/>
          <w:sz w:val="24"/>
        </w:rPr>
      </w:pPr>
      <w:r>
        <w:rPr>
          <w:rFonts w:hint="eastAsia" w:ascii="宋体" w:hAnsi="宋体" w:cs="黑体"/>
          <w:color w:val="auto"/>
          <w:kern w:val="0"/>
          <w:sz w:val="24"/>
        </w:rPr>
        <w:t>3、对供应商的磋商响应文件、材料不予退还。</w:t>
      </w:r>
    </w:p>
    <w:p w14:paraId="78393DDA">
      <w:pPr>
        <w:widowControl/>
        <w:shd w:val="clear" w:color="auto" w:fill="FFFFFF"/>
        <w:spacing w:line="360" w:lineRule="auto"/>
        <w:ind w:firstLine="482"/>
        <w:jc w:val="left"/>
        <w:rPr>
          <w:rFonts w:ascii="宋体" w:hAnsi="宋体" w:cs="黑体"/>
          <w:b/>
          <w:color w:val="auto"/>
          <w:kern w:val="0"/>
          <w:sz w:val="24"/>
        </w:rPr>
      </w:pPr>
      <w:r>
        <w:rPr>
          <w:rFonts w:hint="eastAsia" w:ascii="宋体" w:hAnsi="宋体" w:cs="黑体"/>
          <w:b/>
          <w:color w:val="auto"/>
          <w:kern w:val="0"/>
          <w:sz w:val="24"/>
        </w:rPr>
        <w:t>（四）报价要求：</w:t>
      </w:r>
    </w:p>
    <w:p w14:paraId="6F7AC297">
      <w:pPr>
        <w:widowControl/>
        <w:shd w:val="clear" w:color="auto" w:fill="FFFFFF"/>
        <w:spacing w:line="360" w:lineRule="auto"/>
        <w:ind w:firstLine="480"/>
        <w:jc w:val="left"/>
        <w:rPr>
          <w:rFonts w:hint="eastAsia" w:ascii="宋体" w:hAnsi="宋体" w:cs="黑体"/>
          <w:b/>
          <w:bCs/>
          <w:color w:val="auto"/>
          <w:kern w:val="0"/>
          <w:sz w:val="24"/>
        </w:rPr>
      </w:pPr>
      <w:r>
        <w:rPr>
          <w:rFonts w:hint="eastAsia" w:ascii="宋体" w:hAnsi="宋体" w:cs="黑体"/>
          <w:b/>
          <w:bCs/>
          <w:color w:val="auto"/>
          <w:kern w:val="0"/>
          <w:sz w:val="24"/>
        </w:rPr>
        <w:t>1、本项目</w:t>
      </w:r>
      <w:r>
        <w:rPr>
          <w:rFonts w:hint="eastAsia" w:ascii="宋体" w:hAnsi="宋体" w:cs="黑体"/>
          <w:b/>
          <w:bCs/>
          <w:color w:val="auto"/>
          <w:kern w:val="0"/>
          <w:sz w:val="24"/>
          <w:lang w:eastAsia="zh-CN"/>
        </w:rPr>
        <w:t>施工部分，</w:t>
      </w:r>
      <w:r>
        <w:rPr>
          <w:rFonts w:hint="eastAsia" w:ascii="宋体" w:hAnsi="宋体" w:cs="黑体"/>
          <w:b/>
          <w:bCs/>
          <w:color w:val="auto"/>
          <w:kern w:val="0"/>
          <w:sz w:val="24"/>
        </w:rPr>
        <w:t>采用固定含税全费用综合单价合同形式。</w:t>
      </w:r>
    </w:p>
    <w:p w14:paraId="1A7D824D">
      <w:pPr>
        <w:widowControl/>
        <w:shd w:val="clear" w:color="auto" w:fill="FFFFFF"/>
        <w:spacing w:line="360" w:lineRule="auto"/>
        <w:ind w:firstLine="480"/>
        <w:jc w:val="left"/>
        <w:rPr>
          <w:rFonts w:ascii="宋体" w:hAnsi="宋体" w:cs="黑体"/>
          <w:b/>
          <w:bCs/>
          <w:color w:val="auto"/>
          <w:kern w:val="0"/>
          <w:sz w:val="24"/>
        </w:rPr>
      </w:pPr>
      <w:r>
        <w:rPr>
          <w:rFonts w:hint="eastAsia" w:ascii="宋体" w:hAnsi="宋体" w:cs="黑体"/>
          <w:b/>
          <w:bCs/>
          <w:color w:val="auto"/>
          <w:kern w:val="0"/>
          <w:sz w:val="24"/>
        </w:rPr>
        <w:t>各</w:t>
      </w:r>
      <w:r>
        <w:rPr>
          <w:rFonts w:hint="eastAsia" w:ascii="宋体" w:hAnsi="宋体" w:cs="黑体"/>
          <w:b/>
          <w:bCs/>
          <w:color w:val="auto"/>
          <w:kern w:val="0"/>
          <w:sz w:val="24"/>
          <w:lang w:eastAsia="zh-CN"/>
        </w:rPr>
        <w:t>供应商</w:t>
      </w:r>
      <w:r>
        <w:rPr>
          <w:rFonts w:hint="eastAsia" w:ascii="宋体" w:hAnsi="宋体" w:cs="黑体"/>
          <w:b/>
          <w:bCs/>
          <w:color w:val="auto"/>
          <w:kern w:val="0"/>
          <w:sz w:val="24"/>
        </w:rPr>
        <w:t>应根据</w:t>
      </w:r>
      <w:r>
        <w:rPr>
          <w:rFonts w:hint="eastAsia" w:ascii="宋体" w:hAnsi="宋体" w:cs="黑体"/>
          <w:b/>
          <w:bCs/>
          <w:color w:val="auto"/>
          <w:kern w:val="0"/>
          <w:sz w:val="24"/>
          <w:lang w:eastAsia="zh-CN"/>
        </w:rPr>
        <w:t>采购文件</w:t>
      </w:r>
      <w:r>
        <w:rPr>
          <w:rFonts w:hint="eastAsia" w:ascii="宋体" w:hAnsi="宋体" w:cs="黑体"/>
          <w:b/>
          <w:bCs/>
          <w:color w:val="auto"/>
          <w:kern w:val="0"/>
          <w:sz w:val="24"/>
        </w:rPr>
        <w:t>给定的工程量清单逐项填报单价和合价，并以此汇总计算总价，供应商的报价包括施工设备、劳务、材料（含辅材）、安装、运输、维护、保险（含劳动保险等）、管理费、</w:t>
      </w:r>
      <w:r>
        <w:rPr>
          <w:rFonts w:hint="eastAsia" w:ascii="宋体" w:hAnsi="宋体" w:cs="黑体"/>
          <w:b/>
          <w:bCs/>
          <w:color w:val="auto"/>
          <w:kern w:val="0"/>
          <w:sz w:val="24"/>
          <w:lang w:eastAsia="zh-CN"/>
        </w:rPr>
        <w:t>利润及税金、</w:t>
      </w:r>
      <w:r>
        <w:rPr>
          <w:rFonts w:hint="eastAsia" w:ascii="宋体" w:hAnsi="宋体" w:cs="黑体"/>
          <w:b/>
          <w:bCs/>
          <w:color w:val="auto"/>
          <w:kern w:val="0"/>
          <w:sz w:val="24"/>
        </w:rPr>
        <w:t>安全文明施工费、规费、调试费、措施费、扬尘治理、安全、工期、质量、垃圾清理及外运、分批次进出场产生的费用（不因现场情况机械进出多少次，只计算一次机械进出场费用）、二次搬运费、材料的保管费、检验费、验收费、总包配合费用、社群关系协调费、意外伤害、伤亡事故、政策性文件规定、不明地质变化及合同实施期内包含的所有风险、责任等各项应有费用，并考虑所有风险及包含律师费、诉讼费、保全费、公告费、鉴定费、交通食宿费、预期的市场价格的涨跌引起的费用、政策性文件规定以及施工期间政策调整而发生的风险、在限定的工期内完成施工项目及整项工程并达到合同约定的质量标准所需要的费用、隐含的为完成该项目而必须发生的费用、在合同实施期间不因市场变化因素而变动。除固定含税全费用综合单价外，承包人无权再向发包人主张任何价款及费用。</w:t>
      </w:r>
    </w:p>
    <w:p w14:paraId="202CA05F">
      <w:pPr>
        <w:widowControl/>
        <w:shd w:val="clear" w:color="auto" w:fill="FFFFFF"/>
        <w:spacing w:line="360" w:lineRule="auto"/>
        <w:ind w:firstLine="480"/>
        <w:jc w:val="left"/>
        <w:rPr>
          <w:rFonts w:hint="eastAsia" w:ascii="宋体" w:hAnsi="宋体" w:eastAsia="宋体"/>
          <w:color w:val="auto"/>
          <w:sz w:val="24"/>
          <w:lang w:val="en-US" w:eastAsia="zh-CN"/>
        </w:rPr>
      </w:pPr>
      <w:r>
        <w:rPr>
          <w:rFonts w:hint="eastAsia" w:ascii="宋体" w:hAnsi="宋体" w:eastAsia="宋体" w:cs="黑体"/>
          <w:b/>
          <w:bCs/>
          <w:color w:val="auto"/>
          <w:kern w:val="0"/>
          <w:sz w:val="24"/>
          <w:lang w:val="en-US" w:eastAsia="zh-CN"/>
        </w:rPr>
        <w:t>2、本项目热力机组设备的报价</w:t>
      </w:r>
      <w:r>
        <w:rPr>
          <w:rFonts w:hint="eastAsia" w:ascii="宋体" w:hAnsi="宋体" w:eastAsia="宋体" w:cs="黑体"/>
          <w:b/>
          <w:bCs/>
          <w:color w:val="auto"/>
          <w:kern w:val="0"/>
          <w:sz w:val="24"/>
          <w:lang w:eastAsia="zh-CN"/>
        </w:rPr>
        <w:t>包</w:t>
      </w:r>
      <w:r>
        <w:rPr>
          <w:rFonts w:hint="eastAsia" w:ascii="宋体" w:hAnsi="宋体" w:cs="黑体"/>
          <w:b/>
          <w:bCs/>
          <w:color w:val="auto"/>
          <w:kern w:val="0"/>
          <w:sz w:val="24"/>
        </w:rPr>
        <w:t>括</w:t>
      </w:r>
      <w:r>
        <w:rPr>
          <w:rFonts w:hint="eastAsia" w:ascii="宋体" w:hAnsi="宋体" w:cs="黑体"/>
          <w:b/>
          <w:bCs/>
          <w:color w:val="auto"/>
          <w:kern w:val="0"/>
          <w:sz w:val="24"/>
          <w:lang w:eastAsia="zh-CN"/>
        </w:rPr>
        <w:t>但不限于：货物费</w:t>
      </w:r>
      <w:r>
        <w:rPr>
          <w:rFonts w:hint="eastAsia" w:ascii="宋体" w:hAnsi="宋体" w:cs="黑体"/>
          <w:b/>
          <w:bCs/>
          <w:color w:val="auto"/>
          <w:kern w:val="0"/>
          <w:sz w:val="24"/>
        </w:rPr>
        <w:t>，装卸</w:t>
      </w:r>
      <w:r>
        <w:rPr>
          <w:rFonts w:hint="eastAsia" w:ascii="宋体" w:hAnsi="宋体" w:cs="黑体"/>
          <w:b/>
          <w:bCs/>
          <w:color w:val="auto"/>
          <w:kern w:val="0"/>
          <w:sz w:val="24"/>
          <w:lang w:eastAsia="zh-CN"/>
        </w:rPr>
        <w:t>费，</w:t>
      </w:r>
      <w:r>
        <w:rPr>
          <w:rFonts w:hint="eastAsia" w:ascii="宋体" w:hAnsi="宋体" w:cs="黑体"/>
          <w:b/>
          <w:bCs/>
          <w:color w:val="auto"/>
          <w:kern w:val="0"/>
          <w:sz w:val="24"/>
        </w:rPr>
        <w:t>运输</w:t>
      </w:r>
      <w:r>
        <w:rPr>
          <w:rFonts w:hint="eastAsia" w:ascii="宋体" w:hAnsi="宋体" w:cs="黑体"/>
          <w:b/>
          <w:bCs/>
          <w:color w:val="auto"/>
          <w:kern w:val="0"/>
          <w:sz w:val="24"/>
          <w:lang w:eastAsia="zh-CN"/>
        </w:rPr>
        <w:t>费，</w:t>
      </w:r>
      <w:r>
        <w:rPr>
          <w:rFonts w:hint="eastAsia" w:ascii="宋体" w:hAnsi="宋体" w:cs="黑体"/>
          <w:b/>
          <w:bCs/>
          <w:color w:val="auto"/>
          <w:kern w:val="0"/>
          <w:sz w:val="24"/>
        </w:rPr>
        <w:t>现场保管费</w:t>
      </w:r>
      <w:r>
        <w:rPr>
          <w:rFonts w:hint="eastAsia" w:ascii="宋体" w:hAnsi="宋体" w:cs="黑体"/>
          <w:b/>
          <w:bCs/>
          <w:color w:val="auto"/>
          <w:kern w:val="0"/>
          <w:sz w:val="24"/>
          <w:lang w:eastAsia="zh-CN"/>
        </w:rPr>
        <w:t>，现场</w:t>
      </w:r>
      <w:r>
        <w:rPr>
          <w:rFonts w:hint="eastAsia" w:ascii="宋体" w:hAnsi="宋体" w:cs="黑体"/>
          <w:b/>
          <w:bCs/>
          <w:color w:val="auto"/>
          <w:kern w:val="0"/>
          <w:sz w:val="24"/>
        </w:rPr>
        <w:t>协调</w:t>
      </w:r>
      <w:r>
        <w:rPr>
          <w:rFonts w:hint="eastAsia" w:ascii="宋体" w:hAnsi="宋体" w:cs="黑体"/>
          <w:b/>
          <w:bCs/>
          <w:color w:val="auto"/>
          <w:kern w:val="0"/>
          <w:sz w:val="24"/>
          <w:lang w:eastAsia="zh-CN"/>
        </w:rPr>
        <w:t>费，配合施工费，</w:t>
      </w:r>
      <w:r>
        <w:rPr>
          <w:rFonts w:hint="eastAsia" w:ascii="宋体" w:hAnsi="宋体" w:cs="黑体"/>
          <w:b/>
          <w:bCs/>
          <w:color w:val="auto"/>
          <w:kern w:val="0"/>
          <w:sz w:val="24"/>
        </w:rPr>
        <w:t>配合验收</w:t>
      </w:r>
      <w:r>
        <w:rPr>
          <w:rFonts w:hint="eastAsia" w:ascii="宋体" w:hAnsi="宋体" w:cs="黑体"/>
          <w:b/>
          <w:bCs/>
          <w:color w:val="auto"/>
          <w:kern w:val="0"/>
          <w:sz w:val="24"/>
          <w:lang w:eastAsia="zh-CN"/>
        </w:rPr>
        <w:t>费，</w:t>
      </w:r>
      <w:r>
        <w:rPr>
          <w:rFonts w:hint="eastAsia" w:ascii="宋体" w:hAnsi="宋体" w:cs="黑体"/>
          <w:b/>
          <w:bCs/>
          <w:color w:val="auto"/>
          <w:kern w:val="0"/>
          <w:sz w:val="24"/>
        </w:rPr>
        <w:t>资料编制费</w:t>
      </w:r>
      <w:r>
        <w:rPr>
          <w:rFonts w:hint="eastAsia" w:ascii="宋体" w:hAnsi="宋体" w:cs="黑体"/>
          <w:b/>
          <w:bCs/>
          <w:color w:val="auto"/>
          <w:kern w:val="0"/>
          <w:sz w:val="24"/>
          <w:lang w:eastAsia="zh-CN"/>
        </w:rPr>
        <w:t>，</w:t>
      </w:r>
      <w:r>
        <w:rPr>
          <w:rFonts w:hint="eastAsia" w:ascii="宋体" w:hAnsi="宋体" w:cs="黑体"/>
          <w:b/>
          <w:bCs/>
          <w:color w:val="auto"/>
          <w:kern w:val="0"/>
          <w:sz w:val="24"/>
        </w:rPr>
        <w:t>检验试验费</w:t>
      </w:r>
      <w:r>
        <w:rPr>
          <w:rFonts w:hint="eastAsia" w:ascii="宋体" w:hAnsi="宋体" w:cs="黑体"/>
          <w:b/>
          <w:bCs/>
          <w:color w:val="auto"/>
          <w:kern w:val="0"/>
          <w:sz w:val="24"/>
          <w:lang w:eastAsia="zh-CN"/>
        </w:rPr>
        <w:t>，</w:t>
      </w:r>
      <w:r>
        <w:rPr>
          <w:rFonts w:hint="eastAsia" w:ascii="宋体" w:hAnsi="宋体" w:cs="黑体"/>
          <w:b/>
          <w:bCs/>
          <w:color w:val="auto"/>
          <w:kern w:val="0"/>
          <w:sz w:val="24"/>
        </w:rPr>
        <w:t>材料二次搬运</w:t>
      </w:r>
      <w:r>
        <w:rPr>
          <w:rFonts w:hint="eastAsia" w:ascii="宋体" w:hAnsi="宋体" w:cs="黑体"/>
          <w:b/>
          <w:bCs/>
          <w:color w:val="auto"/>
          <w:kern w:val="0"/>
          <w:sz w:val="24"/>
          <w:lang w:eastAsia="zh-CN"/>
        </w:rPr>
        <w:t>费，</w:t>
      </w:r>
      <w:r>
        <w:rPr>
          <w:rFonts w:hint="eastAsia" w:ascii="宋体" w:hAnsi="宋体" w:cs="黑体"/>
          <w:b/>
          <w:bCs/>
          <w:color w:val="auto"/>
          <w:kern w:val="0"/>
          <w:sz w:val="24"/>
        </w:rPr>
        <w:t>成品保护</w:t>
      </w:r>
      <w:r>
        <w:rPr>
          <w:rFonts w:hint="eastAsia" w:ascii="宋体" w:hAnsi="宋体" w:cs="黑体"/>
          <w:b/>
          <w:bCs/>
          <w:color w:val="auto"/>
          <w:kern w:val="0"/>
          <w:sz w:val="24"/>
          <w:lang w:eastAsia="zh-CN"/>
        </w:rPr>
        <w:t>费，</w:t>
      </w:r>
      <w:r>
        <w:rPr>
          <w:rFonts w:hint="eastAsia" w:ascii="宋体" w:hAnsi="宋体" w:cs="黑体"/>
          <w:b/>
          <w:bCs/>
          <w:color w:val="auto"/>
          <w:kern w:val="0"/>
          <w:sz w:val="24"/>
        </w:rPr>
        <w:t>管理费</w:t>
      </w:r>
      <w:r>
        <w:rPr>
          <w:rFonts w:hint="eastAsia" w:ascii="宋体" w:hAnsi="宋体" w:cs="黑体"/>
          <w:b/>
          <w:bCs/>
          <w:color w:val="auto"/>
          <w:kern w:val="0"/>
          <w:sz w:val="24"/>
          <w:lang w:eastAsia="zh-CN"/>
        </w:rPr>
        <w:t>，</w:t>
      </w:r>
      <w:r>
        <w:rPr>
          <w:rFonts w:hint="eastAsia" w:ascii="宋体" w:hAnsi="宋体" w:cs="黑体"/>
          <w:b/>
          <w:bCs/>
          <w:color w:val="auto"/>
          <w:kern w:val="0"/>
          <w:sz w:val="24"/>
        </w:rPr>
        <w:t>利润</w:t>
      </w:r>
      <w:r>
        <w:rPr>
          <w:rFonts w:hint="eastAsia" w:ascii="宋体" w:hAnsi="宋体" w:cs="黑体"/>
          <w:b/>
          <w:bCs/>
          <w:color w:val="auto"/>
          <w:kern w:val="0"/>
          <w:sz w:val="24"/>
          <w:lang w:eastAsia="zh-CN"/>
        </w:rPr>
        <w:t>，</w:t>
      </w:r>
      <w:r>
        <w:rPr>
          <w:rFonts w:hint="eastAsia" w:ascii="宋体" w:hAnsi="宋体" w:cs="黑体"/>
          <w:b/>
          <w:bCs/>
          <w:color w:val="auto"/>
          <w:kern w:val="0"/>
          <w:sz w:val="24"/>
        </w:rPr>
        <w:t>安全风险费</w:t>
      </w:r>
      <w:r>
        <w:rPr>
          <w:rFonts w:hint="eastAsia" w:ascii="宋体" w:hAnsi="宋体" w:cs="黑体"/>
          <w:b/>
          <w:bCs/>
          <w:color w:val="auto"/>
          <w:kern w:val="0"/>
          <w:sz w:val="24"/>
          <w:lang w:eastAsia="zh-CN"/>
        </w:rPr>
        <w:t>，保险费，各类</w:t>
      </w:r>
      <w:r>
        <w:rPr>
          <w:rFonts w:hint="eastAsia" w:ascii="宋体" w:hAnsi="宋体" w:cs="黑体"/>
          <w:b/>
          <w:bCs/>
          <w:color w:val="auto"/>
          <w:kern w:val="0"/>
          <w:sz w:val="24"/>
        </w:rPr>
        <w:t>税</w:t>
      </w:r>
      <w:r>
        <w:rPr>
          <w:rFonts w:hint="eastAsia" w:ascii="宋体" w:hAnsi="宋体" w:cs="黑体"/>
          <w:b/>
          <w:bCs/>
          <w:color w:val="auto"/>
          <w:kern w:val="0"/>
          <w:sz w:val="24"/>
          <w:lang w:eastAsia="zh-CN"/>
        </w:rPr>
        <w:t>费，及</w:t>
      </w:r>
      <w:r>
        <w:rPr>
          <w:rFonts w:hint="eastAsia" w:ascii="宋体" w:hAnsi="宋体" w:cs="黑体"/>
          <w:b/>
          <w:bCs/>
          <w:color w:val="auto"/>
          <w:kern w:val="0"/>
          <w:sz w:val="24"/>
        </w:rPr>
        <w:t>一切风险、责任和义务等的费用，如上述描述不到位，但乙方为完成本项目应支付的费用也包含在合同内，甲方无须再向乙方支付其他任何价款及费用，乙方也不得再向甲方提出任何价款及费用的请求。此价款不因市场和政策性变动而变动</w:t>
      </w:r>
    </w:p>
    <w:p w14:paraId="057DC238">
      <w:pPr>
        <w:widowControl/>
        <w:shd w:val="clear" w:color="auto" w:fill="FFFFFF"/>
        <w:spacing w:line="360" w:lineRule="auto"/>
        <w:ind w:firstLine="480"/>
        <w:jc w:val="left"/>
        <w:rPr>
          <w:rFonts w:ascii="宋体" w:hAnsi="宋体"/>
          <w:color w:val="auto"/>
          <w:sz w:val="24"/>
        </w:rPr>
      </w:pPr>
      <w:r>
        <w:rPr>
          <w:rFonts w:hint="eastAsia" w:ascii="宋体" w:hAnsi="宋体"/>
          <w:color w:val="auto"/>
          <w:sz w:val="24"/>
          <w:lang w:val="en-US" w:eastAsia="zh-CN"/>
        </w:rPr>
        <w:t>3</w:t>
      </w:r>
      <w:r>
        <w:rPr>
          <w:rFonts w:hint="eastAsia" w:ascii="宋体" w:hAnsi="宋体"/>
          <w:color w:val="auto"/>
          <w:sz w:val="24"/>
        </w:rPr>
        <w:t>、报价时考虑可调以外的材料价格上涨等一切风险因素。</w:t>
      </w:r>
    </w:p>
    <w:p w14:paraId="2E306E1D">
      <w:pPr>
        <w:widowControl/>
        <w:shd w:val="clear" w:color="auto" w:fill="FFFFFF"/>
        <w:spacing w:line="360" w:lineRule="auto"/>
        <w:ind w:firstLine="480"/>
        <w:jc w:val="left"/>
        <w:rPr>
          <w:rFonts w:ascii="宋体" w:hAnsi="宋体"/>
          <w:color w:val="auto"/>
          <w:sz w:val="24"/>
        </w:rPr>
      </w:pPr>
      <w:r>
        <w:rPr>
          <w:rFonts w:hint="eastAsia" w:ascii="宋体" w:hAnsi="宋体"/>
          <w:color w:val="auto"/>
          <w:sz w:val="24"/>
          <w:lang w:val="en-US" w:eastAsia="zh-CN"/>
        </w:rPr>
        <w:t>4</w:t>
      </w:r>
      <w:r>
        <w:rPr>
          <w:rFonts w:hint="eastAsia" w:ascii="宋体" w:hAnsi="宋体"/>
          <w:color w:val="auto"/>
          <w:sz w:val="24"/>
        </w:rPr>
        <w:t>、</w:t>
      </w:r>
      <w:r>
        <w:rPr>
          <w:rFonts w:hint="eastAsia" w:ascii="宋体" w:hAnsi="宋体" w:cs="Arial"/>
          <w:color w:val="auto"/>
          <w:kern w:val="0"/>
          <w:sz w:val="24"/>
        </w:rPr>
        <w:t>施工期间与周边地方关系的协调由成交单位自行处理，产生的任何费用自行承担</w:t>
      </w:r>
      <w:r>
        <w:rPr>
          <w:rFonts w:hint="eastAsia" w:ascii="宋体" w:hAnsi="宋体"/>
          <w:color w:val="auto"/>
          <w:sz w:val="24"/>
        </w:rPr>
        <w:t>。</w:t>
      </w:r>
    </w:p>
    <w:p w14:paraId="1B1752BB">
      <w:pPr>
        <w:spacing w:line="560" w:lineRule="exact"/>
        <w:ind w:firstLine="482" w:firstLineChars="200"/>
        <w:rPr>
          <w:rFonts w:hint="eastAsia" w:ascii="宋体" w:hAnsi="宋体" w:cs="黑体"/>
          <w:b/>
          <w:bCs/>
          <w:color w:val="auto"/>
          <w:kern w:val="0"/>
          <w:sz w:val="24"/>
          <w:lang w:eastAsia="zh-CN"/>
        </w:rPr>
      </w:pPr>
      <w:r>
        <w:rPr>
          <w:rFonts w:hint="eastAsia" w:ascii="宋体" w:hAnsi="宋体" w:cs="宋体"/>
          <w:b/>
          <w:color w:val="auto"/>
          <w:sz w:val="24"/>
          <w:szCs w:val="24"/>
          <w:lang w:val="en-US" w:eastAsia="zh-CN"/>
        </w:rPr>
        <w:t>5</w:t>
      </w:r>
      <w:r>
        <w:rPr>
          <w:rFonts w:hint="eastAsia" w:ascii="宋体" w:hAnsi="宋体" w:eastAsia="宋体" w:cs="宋体"/>
          <w:b/>
          <w:color w:val="auto"/>
          <w:sz w:val="24"/>
          <w:szCs w:val="24"/>
        </w:rPr>
        <w:t>、本次</w:t>
      </w:r>
      <w:r>
        <w:rPr>
          <w:rFonts w:hint="eastAsia" w:ascii="宋体" w:hAnsi="宋体" w:cs="宋体"/>
          <w:b/>
          <w:color w:val="auto"/>
          <w:sz w:val="24"/>
          <w:szCs w:val="24"/>
          <w:lang w:eastAsia="zh-CN"/>
        </w:rPr>
        <w:t>磋商</w:t>
      </w:r>
      <w:r>
        <w:rPr>
          <w:rFonts w:hint="eastAsia" w:ascii="宋体" w:hAnsi="宋体" w:eastAsia="宋体" w:cs="宋体"/>
          <w:b/>
          <w:color w:val="auto"/>
          <w:sz w:val="24"/>
          <w:szCs w:val="24"/>
        </w:rPr>
        <w:t>采用初次报价及最终报价，共二次的报价方式；初次报价按</w:t>
      </w:r>
      <w:r>
        <w:rPr>
          <w:rFonts w:hint="eastAsia" w:ascii="宋体" w:hAnsi="宋体" w:cs="宋体"/>
          <w:b/>
          <w:color w:val="auto"/>
          <w:sz w:val="24"/>
          <w:szCs w:val="24"/>
          <w:lang w:eastAsia="zh-CN"/>
        </w:rPr>
        <w:t>磋商</w:t>
      </w:r>
      <w:r>
        <w:rPr>
          <w:rFonts w:hint="eastAsia" w:ascii="宋体" w:hAnsi="宋体" w:eastAsia="宋体" w:cs="宋体"/>
          <w:b/>
          <w:color w:val="auto"/>
          <w:sz w:val="24"/>
          <w:szCs w:val="24"/>
        </w:rPr>
        <w:t>文件</w:t>
      </w:r>
      <w:r>
        <w:rPr>
          <w:rFonts w:hint="eastAsia" w:ascii="宋体" w:hAnsi="宋体" w:cs="宋体"/>
          <w:b/>
          <w:color w:val="auto"/>
          <w:sz w:val="24"/>
          <w:szCs w:val="24"/>
          <w:lang w:eastAsia="zh-CN"/>
        </w:rPr>
        <w:t>给定的工程量清单</w:t>
      </w:r>
      <w:r>
        <w:rPr>
          <w:rFonts w:hint="eastAsia" w:ascii="宋体" w:hAnsi="宋体" w:eastAsia="宋体" w:cs="宋体"/>
          <w:b/>
          <w:color w:val="auto"/>
          <w:sz w:val="24"/>
          <w:szCs w:val="24"/>
        </w:rPr>
        <w:t>格式</w:t>
      </w:r>
      <w:r>
        <w:rPr>
          <w:rFonts w:hint="eastAsia" w:ascii="宋体" w:hAnsi="宋体" w:cs="黑体"/>
          <w:b/>
          <w:bCs/>
          <w:color w:val="auto"/>
          <w:kern w:val="0"/>
          <w:sz w:val="24"/>
        </w:rPr>
        <w:t>逐项填报固定含税全费用综合单价和合价，并以此汇总计算</w:t>
      </w:r>
      <w:r>
        <w:rPr>
          <w:rFonts w:hint="eastAsia" w:ascii="宋体" w:hAnsi="宋体" w:cs="黑体"/>
          <w:b/>
          <w:bCs/>
          <w:color w:val="auto"/>
          <w:kern w:val="0"/>
          <w:sz w:val="24"/>
          <w:lang w:eastAsia="zh-CN"/>
        </w:rPr>
        <w:t>初次报价</w:t>
      </w:r>
      <w:r>
        <w:rPr>
          <w:rFonts w:hint="eastAsia" w:ascii="宋体" w:hAnsi="宋体" w:cs="黑体"/>
          <w:b/>
          <w:bCs/>
          <w:color w:val="auto"/>
          <w:kern w:val="0"/>
          <w:sz w:val="24"/>
        </w:rPr>
        <w:t>总价</w:t>
      </w:r>
      <w:r>
        <w:rPr>
          <w:rFonts w:hint="eastAsia" w:ascii="宋体" w:hAnsi="宋体" w:cs="黑体"/>
          <w:b/>
          <w:bCs/>
          <w:color w:val="auto"/>
          <w:kern w:val="0"/>
          <w:sz w:val="24"/>
          <w:lang w:eastAsia="zh-CN"/>
        </w:rPr>
        <w:t>。</w:t>
      </w:r>
    </w:p>
    <w:p w14:paraId="1E70E42C">
      <w:pPr>
        <w:spacing w:line="56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最终报价为竞争性</w:t>
      </w:r>
      <w:r>
        <w:rPr>
          <w:rFonts w:hint="eastAsia" w:ascii="宋体" w:hAnsi="宋体" w:cs="宋体"/>
          <w:b/>
          <w:color w:val="auto"/>
          <w:sz w:val="24"/>
          <w:szCs w:val="24"/>
          <w:lang w:eastAsia="zh-CN"/>
        </w:rPr>
        <w:t>磋商</w:t>
      </w:r>
      <w:r>
        <w:rPr>
          <w:rFonts w:hint="eastAsia" w:ascii="宋体" w:hAnsi="宋体" w:eastAsia="宋体" w:cs="宋体"/>
          <w:b/>
          <w:color w:val="auto"/>
          <w:sz w:val="24"/>
          <w:szCs w:val="24"/>
        </w:rPr>
        <w:t>后，由法定代表人或其委托代理人在最终</w:t>
      </w:r>
      <w:r>
        <w:rPr>
          <w:rFonts w:hint="eastAsia" w:ascii="宋体" w:hAnsi="宋体" w:cs="宋体"/>
          <w:b/>
          <w:color w:val="auto"/>
          <w:sz w:val="24"/>
          <w:szCs w:val="24"/>
          <w:lang w:eastAsia="zh-CN"/>
        </w:rPr>
        <w:t>磋商</w:t>
      </w:r>
      <w:r>
        <w:rPr>
          <w:rFonts w:hint="eastAsia" w:ascii="宋体" w:hAnsi="宋体" w:eastAsia="宋体" w:cs="宋体"/>
          <w:b/>
          <w:color w:val="auto"/>
          <w:sz w:val="24"/>
          <w:szCs w:val="24"/>
        </w:rPr>
        <w:t>后递交，最终报价只报总价，分项明细报价按最终报价与初次报价的比率，同比例下调。供应商两次报价均不得超出采购预算（控制价）且最终报价不得超出初次报价，如若超出按无效响应处理。</w:t>
      </w:r>
    </w:p>
    <w:p w14:paraId="6446F7AD">
      <w:pPr>
        <w:spacing w:line="560" w:lineRule="exact"/>
        <w:ind w:firstLine="480" w:firstLineChars="200"/>
        <w:rPr>
          <w:rFonts w:hint="eastAsia" w:ascii="宋体" w:hAnsi="宋体" w:eastAsia="宋体" w:cs="宋体"/>
          <w:color w:val="auto"/>
          <w:sz w:val="24"/>
          <w:szCs w:val="24"/>
        </w:rPr>
      </w:pPr>
      <w:r>
        <w:rPr>
          <w:rFonts w:hint="eastAsia" w:ascii="宋体" w:hAnsi="宋体" w:cs="宋体"/>
          <w:color w:val="auto"/>
          <w:sz w:val="24"/>
          <w:szCs w:val="24"/>
          <w:lang w:val="en-US" w:eastAsia="zh-CN"/>
        </w:rPr>
        <w:t>6</w:t>
      </w:r>
      <w:r>
        <w:rPr>
          <w:rFonts w:hint="eastAsia" w:ascii="宋体" w:hAnsi="宋体" w:eastAsia="宋体" w:cs="宋体"/>
          <w:color w:val="auto"/>
          <w:sz w:val="24"/>
          <w:szCs w:val="24"/>
        </w:rPr>
        <w:t>、报价币种为人民币，如果报价表大写金额与小写金额不一致，以大写的金额为准。</w:t>
      </w:r>
    </w:p>
    <w:p w14:paraId="56BCCD55">
      <w:pPr>
        <w:keepNext w:val="0"/>
        <w:keepLines w:val="0"/>
        <w:pageBreakBefore w:val="0"/>
        <w:suppressLineNumbers w:val="0"/>
        <w:kinsoku/>
        <w:overflowPunct/>
        <w:autoSpaceDE/>
        <w:autoSpaceDN/>
        <w:bidi w:val="0"/>
        <w:adjustRightInd/>
        <w:spacing w:before="0" w:beforeAutospacing="0" w:after="0" w:afterAutospacing="0" w:line="360" w:lineRule="auto"/>
        <w:ind w:left="0" w:right="0" w:firstLine="482" w:firstLineChars="200"/>
        <w:rPr>
          <w:rFonts w:hint="eastAsia" w:ascii="宋体" w:hAnsi="宋体" w:eastAsia="宋体" w:cs="宋体"/>
          <w:b/>
          <w:bCs/>
          <w:color w:val="auto"/>
          <w:kern w:val="0"/>
          <w:sz w:val="24"/>
          <w:szCs w:val="24"/>
          <w:highlight w:val="none"/>
        </w:rPr>
      </w:pPr>
      <w:r>
        <w:rPr>
          <w:rFonts w:hint="eastAsia" w:ascii="宋体" w:hAnsi="宋体"/>
          <w:b/>
          <w:color w:val="auto"/>
          <w:sz w:val="24"/>
          <w:lang w:val="en-US" w:eastAsia="zh-CN"/>
        </w:rPr>
        <w:t>7</w:t>
      </w:r>
      <w:r>
        <w:rPr>
          <w:rFonts w:hint="eastAsia" w:ascii="宋体" w:hAnsi="宋体"/>
          <w:b/>
          <w:color w:val="auto"/>
          <w:sz w:val="24"/>
        </w:rPr>
        <w:t>、</w:t>
      </w:r>
      <w:r>
        <w:rPr>
          <w:rFonts w:hint="eastAsia" w:ascii="宋体" w:hAnsi="宋体" w:eastAsia="宋体" w:cs="宋体"/>
          <w:b/>
          <w:bCs/>
          <w:color w:val="auto"/>
          <w:kern w:val="0"/>
          <w:sz w:val="24"/>
          <w:szCs w:val="24"/>
          <w:highlight w:val="none"/>
        </w:rPr>
        <w:t>本工程采购预算（控制价）</w:t>
      </w:r>
      <w:r>
        <w:rPr>
          <w:rFonts w:hint="eastAsia" w:ascii="宋体" w:hAnsi="宋体" w:eastAsia="宋体" w:cs="宋体"/>
          <w:b/>
          <w:bCs/>
          <w:color w:val="auto"/>
          <w:kern w:val="0"/>
          <w:sz w:val="24"/>
          <w:szCs w:val="24"/>
          <w:highlight w:val="none"/>
          <w:lang w:val="en-US" w:eastAsia="zh-CN"/>
        </w:rPr>
        <w:t>：</w:t>
      </w:r>
      <w:r>
        <w:rPr>
          <w:rFonts w:hint="eastAsia" w:ascii="宋体" w:hAnsi="宋体" w:cs="宋体"/>
          <w:b/>
          <w:bCs/>
          <w:color w:val="auto"/>
          <w:kern w:val="0"/>
          <w:sz w:val="24"/>
          <w:szCs w:val="24"/>
          <w:highlight w:val="none"/>
          <w:lang w:val="en-US" w:eastAsia="zh-CN"/>
        </w:rPr>
        <w:t>2099700.63</w:t>
      </w:r>
      <w:r>
        <w:rPr>
          <w:rFonts w:hint="eastAsia" w:ascii="宋体" w:hAnsi="宋体" w:eastAsia="宋体" w:cs="宋体"/>
          <w:b/>
          <w:bCs/>
          <w:color w:val="auto"/>
          <w:kern w:val="0"/>
          <w:sz w:val="24"/>
          <w:szCs w:val="24"/>
          <w:highlight w:val="none"/>
          <w:lang w:val="en-US" w:eastAsia="zh-CN"/>
        </w:rPr>
        <w:t>元（</w:t>
      </w:r>
      <w:r>
        <w:rPr>
          <w:rFonts w:hint="eastAsia" w:ascii="宋体" w:hAnsi="宋体" w:eastAsia="宋体" w:cs="宋体"/>
          <w:b/>
          <w:bCs/>
          <w:color w:val="auto"/>
          <w:kern w:val="0"/>
          <w:sz w:val="24"/>
          <w:szCs w:val="24"/>
          <w:highlight w:val="none"/>
          <w:lang w:eastAsia="zh-CN"/>
        </w:rPr>
        <w:t>其中：施工采购预算为：1326700.63元，热力机组设备采购预算为773000.00元</w:t>
      </w:r>
      <w:r>
        <w:rPr>
          <w:rFonts w:hint="eastAsia" w:ascii="宋体" w:hAnsi="宋体" w:eastAsia="宋体" w:cs="宋体"/>
          <w:b/>
          <w:bCs/>
          <w:color w:val="auto"/>
          <w:kern w:val="0"/>
          <w:sz w:val="24"/>
          <w:szCs w:val="24"/>
          <w:highlight w:val="none"/>
          <w:lang w:val="en-US" w:eastAsia="zh-CN"/>
        </w:rPr>
        <w:t>）</w:t>
      </w:r>
    </w:p>
    <w:p w14:paraId="2A665999">
      <w:pPr>
        <w:widowControl/>
        <w:shd w:val="clear" w:color="auto" w:fill="FFFFFF"/>
        <w:spacing w:line="360" w:lineRule="auto"/>
        <w:ind w:firstLine="480"/>
        <w:jc w:val="left"/>
        <w:rPr>
          <w:rFonts w:hint="default" w:ascii="宋体" w:hAnsi="宋体" w:eastAsia="宋体" w:cs="黑体"/>
          <w:b/>
          <w:color w:val="auto"/>
          <w:kern w:val="0"/>
          <w:sz w:val="24"/>
          <w:u w:val="single"/>
          <w:lang w:val="en-US" w:eastAsia="zh-CN"/>
        </w:rPr>
      </w:pPr>
      <w:r>
        <w:rPr>
          <w:rFonts w:hint="eastAsia" w:ascii="宋体" w:hAnsi="宋体" w:eastAsia="宋体" w:cs="宋体"/>
          <w:bCs/>
          <w:color w:val="auto"/>
          <w:kern w:val="0"/>
          <w:sz w:val="24"/>
          <w:szCs w:val="24"/>
          <w:highlight w:val="none"/>
        </w:rPr>
        <w:t>采购预算价是采购人对采购项目期望的最高限价，供应商</w:t>
      </w:r>
      <w:r>
        <w:rPr>
          <w:rFonts w:hint="eastAsia" w:ascii="宋体" w:hAnsi="宋体" w:cs="宋体"/>
          <w:bCs/>
          <w:color w:val="auto"/>
          <w:kern w:val="0"/>
          <w:sz w:val="24"/>
          <w:szCs w:val="24"/>
          <w:highlight w:val="none"/>
          <w:lang w:eastAsia="zh-CN"/>
        </w:rPr>
        <w:t>初次</w:t>
      </w:r>
      <w:r>
        <w:rPr>
          <w:rFonts w:hint="eastAsia" w:ascii="宋体" w:hAnsi="宋体" w:eastAsia="宋体" w:cs="宋体"/>
          <w:bCs/>
          <w:color w:val="auto"/>
          <w:kern w:val="0"/>
          <w:sz w:val="24"/>
          <w:szCs w:val="24"/>
          <w:highlight w:val="none"/>
        </w:rPr>
        <w:t>报价</w:t>
      </w:r>
      <w:r>
        <w:rPr>
          <w:rFonts w:hint="eastAsia" w:ascii="宋体" w:hAnsi="宋体" w:cs="宋体"/>
          <w:bCs/>
          <w:color w:val="auto"/>
          <w:kern w:val="0"/>
          <w:sz w:val="24"/>
          <w:szCs w:val="24"/>
          <w:highlight w:val="none"/>
          <w:lang w:eastAsia="zh-CN"/>
        </w:rPr>
        <w:t>的总价、施工部分的合价、热力机组部分的合价及最终报价的总价、施工部分的合价、热力机组部分的合价</w:t>
      </w:r>
      <w:r>
        <w:rPr>
          <w:rFonts w:hint="eastAsia" w:ascii="宋体" w:hAnsi="宋体" w:eastAsia="宋体" w:cs="宋体"/>
          <w:bCs/>
          <w:color w:val="auto"/>
          <w:kern w:val="0"/>
          <w:sz w:val="24"/>
          <w:szCs w:val="24"/>
          <w:highlight w:val="none"/>
        </w:rPr>
        <w:t>均不得超出采购预算（控制价）且最终报价不得超出初次报价，如若超出按无效响应</w:t>
      </w:r>
      <w:r>
        <w:rPr>
          <w:rFonts w:hint="eastAsia" w:ascii="宋体" w:hAnsi="宋体" w:cs="宋体"/>
          <w:bCs/>
          <w:color w:val="auto"/>
          <w:kern w:val="0"/>
          <w:sz w:val="24"/>
          <w:szCs w:val="24"/>
          <w:highlight w:val="none"/>
          <w:lang w:eastAsia="zh-CN"/>
        </w:rPr>
        <w:t>文件</w:t>
      </w:r>
      <w:r>
        <w:rPr>
          <w:rFonts w:hint="eastAsia" w:ascii="宋体" w:hAnsi="宋体" w:eastAsia="宋体" w:cs="宋体"/>
          <w:bCs/>
          <w:color w:val="auto"/>
          <w:kern w:val="0"/>
          <w:sz w:val="24"/>
          <w:szCs w:val="24"/>
          <w:highlight w:val="none"/>
        </w:rPr>
        <w:t>处理</w:t>
      </w:r>
    </w:p>
    <w:p w14:paraId="3749A7CD">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olor w:val="auto"/>
          <w:sz w:val="24"/>
        </w:rPr>
      </w:pPr>
      <w:r>
        <w:rPr>
          <w:rFonts w:hint="eastAsia" w:ascii="宋体" w:hAnsi="宋体" w:cs="黑体"/>
          <w:color w:val="auto"/>
          <w:kern w:val="0"/>
          <w:sz w:val="24"/>
          <w:lang w:val="en-US" w:eastAsia="zh-CN"/>
        </w:rPr>
        <w:t>8</w:t>
      </w:r>
      <w:r>
        <w:rPr>
          <w:rFonts w:hint="eastAsia" w:ascii="宋体" w:hAnsi="宋体" w:cs="黑体"/>
          <w:color w:val="auto"/>
          <w:kern w:val="0"/>
          <w:sz w:val="24"/>
        </w:rPr>
        <w:t>、</w:t>
      </w:r>
      <w:r>
        <w:rPr>
          <w:rFonts w:hint="eastAsia" w:ascii="宋体" w:hAnsi="宋体"/>
          <w:color w:val="auto"/>
          <w:sz w:val="24"/>
        </w:rPr>
        <w:t>采购人不组织踏勘现场，供应商踏勘现场发生的费用自理，供应商自行负责在踏勘现场中所发生的人员伤亡和财产损失。</w:t>
      </w:r>
    </w:p>
    <w:p w14:paraId="0D13D434">
      <w:pPr>
        <w:keepNext w:val="0"/>
        <w:keepLines w:val="0"/>
        <w:pageBreakBefore w:val="0"/>
        <w:tabs>
          <w:tab w:val="left" w:pos="315"/>
        </w:tabs>
        <w:kinsoku/>
        <w:wordWrap/>
        <w:overflowPunct/>
        <w:topLinePunct w:val="0"/>
        <w:autoSpaceDE/>
        <w:autoSpaceDN/>
        <w:bidi w:val="0"/>
        <w:adjustRightInd/>
        <w:snapToGrid/>
        <w:spacing w:line="360" w:lineRule="auto"/>
        <w:ind w:firstLine="482" w:firstLineChars="200"/>
        <w:textAlignment w:val="auto"/>
        <w:rPr>
          <w:rFonts w:ascii="宋体" w:hAnsi="宋体"/>
          <w:b/>
          <w:bCs/>
          <w:color w:val="auto"/>
          <w:sz w:val="24"/>
        </w:rPr>
      </w:pPr>
      <w:r>
        <w:rPr>
          <w:rFonts w:hint="eastAsia" w:ascii="宋体" w:hAnsi="宋体"/>
          <w:b/>
          <w:bCs/>
          <w:color w:val="auto"/>
          <w:sz w:val="24"/>
        </w:rPr>
        <w:t>七</w:t>
      </w:r>
      <w:r>
        <w:rPr>
          <w:rFonts w:ascii="宋体" w:hAnsi="宋体"/>
          <w:b/>
          <w:bCs/>
          <w:color w:val="auto"/>
          <w:sz w:val="24"/>
        </w:rPr>
        <w:t>、</w:t>
      </w:r>
      <w:r>
        <w:rPr>
          <w:rFonts w:hint="eastAsia" w:ascii="宋体" w:hAnsi="宋体"/>
          <w:b/>
          <w:bCs/>
          <w:color w:val="auto"/>
          <w:sz w:val="24"/>
        </w:rPr>
        <w:t>磋商</w:t>
      </w:r>
      <w:r>
        <w:rPr>
          <w:rFonts w:ascii="宋体" w:hAnsi="宋体"/>
          <w:b/>
          <w:bCs/>
          <w:color w:val="auto"/>
          <w:sz w:val="24"/>
        </w:rPr>
        <w:t>有效期</w:t>
      </w:r>
      <w:r>
        <w:rPr>
          <w:rFonts w:hint="eastAsia" w:ascii="宋体" w:hAnsi="宋体"/>
          <w:b/>
          <w:bCs/>
          <w:color w:val="auto"/>
          <w:sz w:val="24"/>
        </w:rPr>
        <w:t>：</w:t>
      </w:r>
    </w:p>
    <w:p w14:paraId="7F91EDD1">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olor w:val="auto"/>
          <w:sz w:val="24"/>
        </w:rPr>
      </w:pPr>
      <w:r>
        <w:rPr>
          <w:rFonts w:hint="eastAsia" w:ascii="宋体" w:hAnsi="宋体"/>
          <w:color w:val="auto"/>
          <w:sz w:val="24"/>
        </w:rPr>
        <w:t>自递交</w:t>
      </w:r>
      <w:r>
        <w:rPr>
          <w:rFonts w:hint="eastAsia" w:ascii="宋体" w:hAnsi="宋体" w:cs="Courier New"/>
          <w:color w:val="auto"/>
          <w:sz w:val="24"/>
        </w:rPr>
        <w:t>磋商</w:t>
      </w:r>
      <w:r>
        <w:rPr>
          <w:rFonts w:hint="eastAsia" w:ascii="宋体" w:hAnsi="宋体"/>
          <w:color w:val="auto"/>
          <w:sz w:val="24"/>
        </w:rPr>
        <w:t>响应文件</w:t>
      </w:r>
      <w:r>
        <w:rPr>
          <w:rFonts w:ascii="宋体" w:hAnsi="宋体"/>
          <w:color w:val="auto"/>
          <w:sz w:val="24"/>
        </w:rPr>
        <w:t>截止之日</w:t>
      </w:r>
      <w:r>
        <w:rPr>
          <w:rFonts w:hint="eastAsia" w:ascii="宋体" w:hAnsi="宋体"/>
          <w:color w:val="auto"/>
          <w:sz w:val="24"/>
        </w:rPr>
        <w:t>起60个日历日。</w:t>
      </w:r>
    </w:p>
    <w:p w14:paraId="42CBD656">
      <w:pPr>
        <w:keepNext w:val="0"/>
        <w:keepLines w:val="0"/>
        <w:pageBreakBefore w:val="0"/>
        <w:tabs>
          <w:tab w:val="left" w:pos="315"/>
        </w:tabs>
        <w:kinsoku/>
        <w:wordWrap/>
        <w:overflowPunct/>
        <w:topLinePunct w:val="0"/>
        <w:autoSpaceDE/>
        <w:autoSpaceDN/>
        <w:bidi w:val="0"/>
        <w:adjustRightInd/>
        <w:snapToGrid/>
        <w:spacing w:line="360" w:lineRule="auto"/>
        <w:ind w:firstLine="482" w:firstLineChars="200"/>
        <w:textAlignment w:val="auto"/>
        <w:rPr>
          <w:rFonts w:ascii="宋体" w:hAnsi="宋体"/>
          <w:b/>
          <w:color w:val="auto"/>
          <w:sz w:val="24"/>
        </w:rPr>
      </w:pPr>
      <w:r>
        <w:rPr>
          <w:rFonts w:hint="eastAsia" w:ascii="宋体" w:hAnsi="宋体"/>
          <w:b/>
          <w:color w:val="auto"/>
          <w:sz w:val="24"/>
        </w:rPr>
        <w:t>八</w:t>
      </w:r>
      <w:r>
        <w:rPr>
          <w:rFonts w:ascii="宋体" w:hAnsi="宋体"/>
          <w:b/>
          <w:color w:val="auto"/>
          <w:sz w:val="24"/>
        </w:rPr>
        <w:t>、</w:t>
      </w:r>
      <w:r>
        <w:rPr>
          <w:rFonts w:hint="eastAsia" w:ascii="宋体" w:hAnsi="宋体"/>
          <w:b/>
          <w:color w:val="auto"/>
          <w:sz w:val="24"/>
        </w:rPr>
        <w:t>磋商</w:t>
      </w:r>
      <w:r>
        <w:rPr>
          <w:rFonts w:ascii="宋体" w:hAnsi="宋体"/>
          <w:b/>
          <w:color w:val="auto"/>
          <w:sz w:val="24"/>
        </w:rPr>
        <w:t>费用</w:t>
      </w:r>
      <w:r>
        <w:rPr>
          <w:rFonts w:hint="eastAsia" w:ascii="宋体" w:hAnsi="宋体"/>
          <w:b/>
          <w:color w:val="auto"/>
          <w:sz w:val="24"/>
        </w:rPr>
        <w:t>：</w:t>
      </w:r>
    </w:p>
    <w:p w14:paraId="63C3F8A4">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olor w:val="auto"/>
          <w:sz w:val="24"/>
        </w:rPr>
      </w:pPr>
      <w:r>
        <w:rPr>
          <w:rFonts w:hint="eastAsia" w:ascii="宋体" w:hAnsi="宋体"/>
          <w:color w:val="auto"/>
          <w:sz w:val="24"/>
        </w:rPr>
        <w:t>1、无论</w:t>
      </w:r>
      <w:r>
        <w:rPr>
          <w:rFonts w:hint="eastAsia" w:ascii="宋体" w:hAnsi="宋体" w:cs="黑体"/>
          <w:color w:val="auto"/>
          <w:kern w:val="0"/>
          <w:sz w:val="24"/>
        </w:rPr>
        <w:t>报价</w:t>
      </w:r>
      <w:r>
        <w:rPr>
          <w:rFonts w:hint="eastAsia" w:ascii="宋体" w:hAnsi="宋体"/>
          <w:color w:val="auto"/>
          <w:sz w:val="24"/>
        </w:rPr>
        <w:t>过程中的方法和结果如何，各</w:t>
      </w:r>
      <w:r>
        <w:rPr>
          <w:rFonts w:hint="eastAsia" w:ascii="宋体" w:hAnsi="宋体" w:cs="Courier New"/>
          <w:color w:val="auto"/>
          <w:sz w:val="24"/>
        </w:rPr>
        <w:t>磋商</w:t>
      </w:r>
      <w:r>
        <w:rPr>
          <w:rFonts w:hint="eastAsia" w:ascii="宋体" w:hAnsi="宋体"/>
          <w:color w:val="auto"/>
          <w:sz w:val="24"/>
        </w:rPr>
        <w:t>响应方自行承担所有参与</w:t>
      </w:r>
      <w:r>
        <w:rPr>
          <w:rFonts w:hint="eastAsia" w:ascii="宋体" w:hAnsi="宋体" w:cs="Courier New"/>
          <w:color w:val="auto"/>
          <w:sz w:val="24"/>
        </w:rPr>
        <w:t>磋商</w:t>
      </w:r>
      <w:r>
        <w:rPr>
          <w:rFonts w:hint="eastAsia" w:ascii="宋体" w:hAnsi="宋体"/>
          <w:color w:val="auto"/>
          <w:sz w:val="24"/>
        </w:rPr>
        <w:t>的有关费用。</w:t>
      </w:r>
    </w:p>
    <w:p w14:paraId="285749CE">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olor w:val="auto"/>
          <w:sz w:val="24"/>
          <w:highlight w:val="none"/>
          <w:u w:val="single"/>
          <w:lang w:eastAsia="zh-CN"/>
        </w:rPr>
      </w:pPr>
      <w:r>
        <w:rPr>
          <w:rFonts w:hint="eastAsia" w:ascii="宋体" w:hAnsi="宋体"/>
          <w:color w:val="auto"/>
          <w:sz w:val="24"/>
        </w:rPr>
        <w:t>2、</w:t>
      </w:r>
      <w:r>
        <w:rPr>
          <w:rFonts w:hint="eastAsia" w:ascii="宋体" w:hAnsi="宋体" w:eastAsia="宋体" w:cs="宋体"/>
          <w:color w:val="auto"/>
          <w:sz w:val="24"/>
          <w:szCs w:val="24"/>
          <w:highlight w:val="none"/>
        </w:rPr>
        <w:t>本次采购代理费由成交供应商支付，</w:t>
      </w:r>
      <w:r>
        <w:rPr>
          <w:rFonts w:hint="eastAsia" w:ascii="宋体" w:hAnsi="宋体" w:cs="宋体"/>
          <w:color w:val="auto"/>
          <w:sz w:val="24"/>
          <w:szCs w:val="24"/>
          <w:highlight w:val="none"/>
          <w:lang w:eastAsia="zh-CN"/>
        </w:rPr>
        <w:t>采购代理费为采购预算的</w:t>
      </w:r>
      <w:r>
        <w:rPr>
          <w:rFonts w:hint="eastAsia" w:ascii="宋体" w:hAnsi="宋体" w:cs="宋体"/>
          <w:color w:val="auto"/>
          <w:sz w:val="24"/>
          <w:szCs w:val="24"/>
          <w:highlight w:val="none"/>
          <w:lang w:val="en-US" w:eastAsia="zh-CN"/>
        </w:rPr>
        <w:t>0.7%</w:t>
      </w:r>
      <w:r>
        <w:rPr>
          <w:rFonts w:hint="eastAsia" w:ascii="宋体" w:hAnsi="宋体" w:cs="宋体"/>
          <w:b/>
          <w:bCs/>
          <w:color w:val="auto"/>
          <w:sz w:val="24"/>
          <w:szCs w:val="24"/>
          <w:highlight w:val="none"/>
          <w:lang w:val="en-US" w:eastAsia="zh-CN"/>
        </w:rPr>
        <w:t>。</w:t>
      </w:r>
      <w:r>
        <w:rPr>
          <w:rFonts w:hint="eastAsia" w:ascii="宋体" w:hAnsi="宋体" w:eastAsia="宋体" w:cs="宋体"/>
          <w:color w:val="auto"/>
          <w:sz w:val="24"/>
          <w:szCs w:val="24"/>
          <w:highlight w:val="none"/>
        </w:rPr>
        <w:t>成交通知书发出前，成交人从其账户一次性汇入代理机构指定账户</w:t>
      </w:r>
      <w:r>
        <w:rPr>
          <w:rFonts w:hint="eastAsia" w:ascii="宋体" w:hAnsi="宋体"/>
          <w:color w:val="auto"/>
          <w:sz w:val="24"/>
          <w:highlight w:val="none"/>
        </w:rPr>
        <w:t>；</w:t>
      </w:r>
    </w:p>
    <w:p w14:paraId="302246DB">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b/>
          <w:bCs/>
          <w:color w:val="auto"/>
          <w:sz w:val="24"/>
          <w:lang w:eastAsia="zh-CN"/>
        </w:rPr>
      </w:pPr>
      <w:r>
        <w:rPr>
          <w:rFonts w:hint="eastAsia" w:ascii="宋体" w:hAnsi="宋体" w:cs="宋体"/>
          <w:color w:val="auto"/>
          <w:sz w:val="24"/>
          <w:szCs w:val="24"/>
          <w:highlight w:val="none"/>
          <w:lang w:val="en-US" w:eastAsia="zh-CN"/>
        </w:rPr>
        <w:t>3、本项目另代收评审费4200.00元，</w:t>
      </w:r>
      <w:r>
        <w:rPr>
          <w:rFonts w:hint="eastAsia" w:ascii="宋体" w:hAnsi="宋体" w:eastAsia="宋体" w:cs="宋体"/>
          <w:color w:val="auto"/>
          <w:sz w:val="24"/>
          <w:szCs w:val="24"/>
          <w:highlight w:val="none"/>
        </w:rPr>
        <w:t>成交通知书发出前，成交人从其账户一次性汇入代理机构指定账户</w:t>
      </w:r>
      <w:r>
        <w:rPr>
          <w:rFonts w:hint="eastAsia" w:ascii="宋体" w:hAnsi="宋体" w:cs="宋体"/>
          <w:color w:val="auto"/>
          <w:sz w:val="24"/>
          <w:szCs w:val="24"/>
          <w:highlight w:val="none"/>
          <w:lang w:eastAsia="zh-CN"/>
        </w:rPr>
        <w:t>。</w:t>
      </w:r>
    </w:p>
    <w:p w14:paraId="225C604A">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2" w:firstLineChars="200"/>
        <w:jc w:val="left"/>
        <w:textAlignment w:val="auto"/>
        <w:rPr>
          <w:rFonts w:ascii="宋体" w:hAnsi="宋体"/>
          <w:b/>
          <w:bCs/>
          <w:color w:val="auto"/>
          <w:sz w:val="24"/>
        </w:rPr>
      </w:pPr>
      <w:r>
        <w:rPr>
          <w:rFonts w:hint="eastAsia" w:ascii="宋体" w:hAnsi="宋体"/>
          <w:b/>
          <w:bCs/>
          <w:color w:val="auto"/>
          <w:sz w:val="24"/>
        </w:rPr>
        <w:t>由成交供应商在领取成交通知书前一次性缴纳至本项目代理机构。</w:t>
      </w:r>
    </w:p>
    <w:p w14:paraId="67B2D64A">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2" w:firstLineChars="200"/>
        <w:jc w:val="left"/>
        <w:textAlignment w:val="auto"/>
        <w:rPr>
          <w:rFonts w:ascii="宋体" w:hAnsi="宋体" w:cs="黑体"/>
          <w:b/>
          <w:color w:val="auto"/>
          <w:kern w:val="0"/>
          <w:sz w:val="24"/>
          <w:highlight w:val="none"/>
        </w:rPr>
      </w:pPr>
      <w:r>
        <w:rPr>
          <w:rFonts w:hint="eastAsia" w:ascii="宋体" w:hAnsi="宋体" w:cs="黑体"/>
          <w:b/>
          <w:color w:val="auto"/>
          <w:kern w:val="0"/>
          <w:sz w:val="24"/>
          <w:highlight w:val="none"/>
          <w:lang w:val="en-US" w:eastAsia="zh-CN"/>
        </w:rPr>
        <w:t>4</w:t>
      </w:r>
      <w:r>
        <w:rPr>
          <w:rFonts w:hint="eastAsia" w:ascii="宋体" w:hAnsi="宋体" w:cs="黑体"/>
          <w:b/>
          <w:color w:val="auto"/>
          <w:kern w:val="0"/>
          <w:sz w:val="24"/>
          <w:highlight w:val="none"/>
        </w:rPr>
        <w:t>、</w:t>
      </w:r>
      <w:r>
        <w:rPr>
          <w:rFonts w:hint="eastAsia" w:ascii="宋体" w:hAnsi="宋体" w:cs="黑体"/>
          <w:b/>
          <w:bCs/>
          <w:color w:val="auto"/>
          <w:kern w:val="0"/>
          <w:sz w:val="24"/>
          <w:highlight w:val="none"/>
        </w:rPr>
        <w:t>履约保证金：</w:t>
      </w:r>
      <w:r>
        <w:rPr>
          <w:rFonts w:hint="eastAsia" w:ascii="宋体" w:hAnsi="宋体" w:cs="黑体"/>
          <w:b/>
          <w:color w:val="auto"/>
          <w:kern w:val="0"/>
          <w:sz w:val="24"/>
          <w:highlight w:val="none"/>
        </w:rPr>
        <w:t>本项目不收取履约保证金。</w:t>
      </w:r>
    </w:p>
    <w:p w14:paraId="4EC71E43">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2" w:firstLineChars="200"/>
        <w:jc w:val="left"/>
        <w:textAlignment w:val="auto"/>
        <w:rPr>
          <w:rFonts w:ascii="宋体" w:hAnsi="宋体"/>
          <w:b/>
          <w:color w:val="auto"/>
          <w:sz w:val="24"/>
        </w:rPr>
      </w:pPr>
      <w:r>
        <w:rPr>
          <w:rFonts w:hint="eastAsia" w:ascii="宋体" w:hAnsi="宋体"/>
          <w:b/>
          <w:color w:val="auto"/>
          <w:sz w:val="24"/>
        </w:rPr>
        <w:t>九</w:t>
      </w:r>
      <w:r>
        <w:rPr>
          <w:rFonts w:ascii="宋体" w:hAnsi="宋体"/>
          <w:b/>
          <w:color w:val="auto"/>
          <w:sz w:val="24"/>
        </w:rPr>
        <w:t>、</w:t>
      </w:r>
      <w:r>
        <w:rPr>
          <w:rFonts w:hint="eastAsia" w:ascii="宋体" w:hAnsi="宋体"/>
          <w:b/>
          <w:color w:val="auto"/>
          <w:sz w:val="24"/>
        </w:rPr>
        <w:t>工程款支付：</w:t>
      </w:r>
    </w:p>
    <w:p w14:paraId="04E81193">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b/>
          <w:bCs/>
          <w:color w:val="auto"/>
          <w:sz w:val="24"/>
          <w:szCs w:val="24"/>
          <w:u w:val="single"/>
        </w:rPr>
      </w:pPr>
      <w:r>
        <w:rPr>
          <w:rFonts w:hint="eastAsia" w:ascii="宋体" w:hAnsi="宋体"/>
          <w:b/>
          <w:bCs/>
          <w:color w:val="auto"/>
          <w:sz w:val="24"/>
          <w:szCs w:val="24"/>
          <w:u w:val="single"/>
        </w:rPr>
        <w:t>（1）每月25日前经甲方及监理方共同验收合格后，施工单位上报每月实际完成付款清单（付款清单=合格工程量乘以固定含税全费用综合单价），首先由甲方项目部及监理方签字确认后，转交公司成本部，成本部收到签字确认的付款清单后组织审计公司进行审计，三方达成一致后，支付每月实际完成合格工程造价的50%（同比例扣除发包人供应材料、设备价款）。</w:t>
      </w:r>
    </w:p>
    <w:p w14:paraId="3083F247">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b/>
          <w:bCs/>
          <w:color w:val="auto"/>
          <w:sz w:val="24"/>
          <w:szCs w:val="24"/>
          <w:u w:val="single"/>
        </w:rPr>
      </w:pPr>
      <w:r>
        <w:rPr>
          <w:rFonts w:hint="eastAsia" w:ascii="宋体" w:hAnsi="宋体"/>
          <w:b/>
          <w:bCs/>
          <w:color w:val="auto"/>
          <w:sz w:val="24"/>
          <w:szCs w:val="24"/>
          <w:u w:val="single"/>
        </w:rPr>
        <w:t>（2）整体工程施工全部完成，并经甲方及监理方验收合格后，累计支付实际完成总额工程造价的60%（同比例扣除发包人供应材料、设备价款）。</w:t>
      </w:r>
    </w:p>
    <w:p w14:paraId="487ED921">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b/>
          <w:bCs/>
          <w:color w:val="auto"/>
          <w:sz w:val="24"/>
          <w:szCs w:val="24"/>
          <w:u w:val="single"/>
        </w:rPr>
      </w:pPr>
      <w:r>
        <w:rPr>
          <w:rFonts w:hint="eastAsia" w:ascii="宋体" w:hAnsi="宋体"/>
          <w:b/>
          <w:bCs/>
          <w:color w:val="auto"/>
          <w:sz w:val="24"/>
          <w:szCs w:val="24"/>
          <w:u w:val="single"/>
        </w:rPr>
        <w:t>（3）整体工程竣工验收合格移交工程竣工资料并工程备案完毕、经具有工程造价咨询资质的机构审计完成，竣工结算办理完毕手续后累计支付到结算值的97%（全额扣除发包人供应材料、设备价款）。</w:t>
      </w:r>
    </w:p>
    <w:p w14:paraId="34364320">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b/>
          <w:bCs/>
          <w:color w:val="auto"/>
          <w:sz w:val="24"/>
          <w:szCs w:val="24"/>
          <w:u w:val="single"/>
        </w:rPr>
      </w:pPr>
      <w:r>
        <w:rPr>
          <w:rFonts w:hint="eastAsia" w:ascii="宋体" w:hAnsi="宋体"/>
          <w:b/>
          <w:bCs/>
          <w:color w:val="auto"/>
          <w:sz w:val="24"/>
          <w:szCs w:val="24"/>
          <w:u w:val="single"/>
        </w:rPr>
        <w:t>（4）留结算价的3%作为保修金，在工程整体竣工验收合格之日起满2年后，如工程无质量问题、乙方无违约行为（在保修金支付前乙方须提前20天书面申请甲方对工程进行验收，待甲方组织验收无质量问题并加盖甲方公章书面确认后）后，经乙方书面申请30日内，无息返还保修金。否则，甲方有权延期或拒绝付款，并无须承担违约责任。</w:t>
      </w:r>
    </w:p>
    <w:p w14:paraId="31ADBD1C">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ascii="宋体" w:hAnsi="宋体"/>
          <w:b/>
          <w:bCs/>
          <w:color w:val="auto"/>
          <w:sz w:val="24"/>
          <w:szCs w:val="24"/>
          <w:u w:val="single"/>
        </w:rPr>
      </w:pPr>
      <w:r>
        <w:rPr>
          <w:rFonts w:hint="eastAsia" w:ascii="宋体" w:hAnsi="宋体"/>
          <w:b/>
          <w:bCs/>
          <w:color w:val="auto"/>
          <w:sz w:val="24"/>
          <w:szCs w:val="24"/>
          <w:u w:val="single"/>
        </w:rPr>
        <w:t>（5）工程结算总价=确认的固定含税全费用综合单价×实测工程量+设计变更、洽商、签证＋依据本合同的增加项目-依据本合同的减少项目-违约金和（或）损失赔偿额；结算资料需双方签字盖章方为有效，不符合条件的工程结算资料依据均属无效，双方不作为办理结算的依据。</w:t>
      </w:r>
    </w:p>
    <w:p w14:paraId="2C0061FD">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2" w:firstLineChars="200"/>
        <w:jc w:val="left"/>
        <w:textAlignment w:val="auto"/>
        <w:rPr>
          <w:rFonts w:ascii="宋体" w:hAnsi="宋体" w:cs="黑体"/>
          <w:b/>
          <w:color w:val="auto"/>
          <w:kern w:val="0"/>
          <w:sz w:val="24"/>
        </w:rPr>
      </w:pPr>
      <w:r>
        <w:rPr>
          <w:rFonts w:hint="eastAsia" w:ascii="宋体" w:hAnsi="宋体"/>
          <w:b/>
          <w:color w:val="auto"/>
          <w:sz w:val="24"/>
        </w:rPr>
        <w:t>十、磋商</w:t>
      </w:r>
      <w:r>
        <w:rPr>
          <w:rFonts w:ascii="宋体" w:hAnsi="宋体"/>
          <w:b/>
          <w:color w:val="auto"/>
          <w:sz w:val="24"/>
        </w:rPr>
        <w:t>保证金</w:t>
      </w:r>
      <w:r>
        <w:rPr>
          <w:rFonts w:hint="eastAsia" w:ascii="宋体" w:hAnsi="宋体"/>
          <w:b/>
          <w:color w:val="auto"/>
          <w:sz w:val="24"/>
        </w:rPr>
        <w:t>：</w:t>
      </w:r>
      <w:r>
        <w:rPr>
          <w:rFonts w:hint="eastAsia" w:ascii="宋体" w:hAnsi="宋体" w:cs="黑体"/>
          <w:b/>
          <w:color w:val="auto"/>
          <w:kern w:val="0"/>
          <w:sz w:val="24"/>
        </w:rPr>
        <w:t>根据《山东省财政厅关于取消政府采购投标保证金等有关事项的通知》（鲁财采[2019]40号）文规定，本项目不收取磋商保证金。</w:t>
      </w:r>
    </w:p>
    <w:p w14:paraId="3B70DF91">
      <w:pPr>
        <w:keepNext w:val="0"/>
        <w:keepLines w:val="0"/>
        <w:pageBreakBefore w:val="0"/>
        <w:tabs>
          <w:tab w:val="left" w:pos="315"/>
        </w:tabs>
        <w:kinsoku/>
        <w:wordWrap/>
        <w:overflowPunct/>
        <w:topLinePunct w:val="0"/>
        <w:autoSpaceDE/>
        <w:autoSpaceDN/>
        <w:bidi w:val="0"/>
        <w:adjustRightInd/>
        <w:snapToGrid/>
        <w:spacing w:line="360" w:lineRule="auto"/>
        <w:ind w:firstLine="482" w:firstLineChars="200"/>
        <w:textAlignment w:val="auto"/>
        <w:rPr>
          <w:rFonts w:ascii="宋体" w:hAnsi="宋体"/>
          <w:b/>
          <w:color w:val="auto"/>
          <w:sz w:val="24"/>
        </w:rPr>
      </w:pPr>
      <w:r>
        <w:rPr>
          <w:rFonts w:hint="eastAsia" w:ascii="宋体" w:hAnsi="宋体"/>
          <w:b/>
          <w:color w:val="auto"/>
          <w:sz w:val="24"/>
        </w:rPr>
        <w:t>十一</w:t>
      </w:r>
      <w:r>
        <w:rPr>
          <w:rFonts w:ascii="宋体" w:hAnsi="宋体"/>
          <w:b/>
          <w:color w:val="auto"/>
          <w:sz w:val="24"/>
        </w:rPr>
        <w:t>、无效</w:t>
      </w:r>
      <w:r>
        <w:rPr>
          <w:rFonts w:hint="eastAsia" w:ascii="宋体" w:hAnsi="宋体"/>
          <w:b/>
          <w:color w:val="auto"/>
          <w:sz w:val="24"/>
        </w:rPr>
        <w:t>磋商</w:t>
      </w:r>
      <w:r>
        <w:rPr>
          <w:rFonts w:ascii="宋体" w:hAnsi="宋体"/>
          <w:b/>
          <w:color w:val="auto"/>
          <w:sz w:val="24"/>
        </w:rPr>
        <w:t>响应文件</w:t>
      </w:r>
      <w:r>
        <w:rPr>
          <w:rFonts w:hint="eastAsia" w:ascii="宋体" w:hAnsi="宋体"/>
          <w:b/>
          <w:color w:val="auto"/>
          <w:sz w:val="24"/>
        </w:rPr>
        <w:t>：</w:t>
      </w:r>
    </w:p>
    <w:p w14:paraId="1B4C6947">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olor w:val="auto"/>
          <w:sz w:val="24"/>
        </w:rPr>
      </w:pPr>
      <w:r>
        <w:rPr>
          <w:rFonts w:hint="eastAsia" w:ascii="宋体" w:hAnsi="宋体"/>
          <w:color w:val="auto"/>
          <w:sz w:val="24"/>
        </w:rPr>
        <w:t>凡具有下列情形之一的，作无效</w:t>
      </w:r>
      <w:r>
        <w:rPr>
          <w:rFonts w:hint="eastAsia" w:ascii="宋体" w:hAnsi="宋体" w:cs="Courier New"/>
          <w:color w:val="auto"/>
          <w:sz w:val="24"/>
        </w:rPr>
        <w:t>磋商</w:t>
      </w:r>
      <w:r>
        <w:rPr>
          <w:rFonts w:hint="eastAsia" w:ascii="宋体" w:hAnsi="宋体"/>
          <w:color w:val="auto"/>
          <w:sz w:val="24"/>
        </w:rPr>
        <w:t>响应文件：</w:t>
      </w:r>
    </w:p>
    <w:p w14:paraId="21BCAEBA">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rPr>
        <w:t>1、资格证明文件不全或无效的,或者不符合采购文件标明的资格要求的；</w:t>
      </w:r>
    </w:p>
    <w:p w14:paraId="431F614E">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lang w:val="en-US" w:eastAsia="zh-CN"/>
        </w:rPr>
        <w:t>2</w:t>
      </w:r>
      <w:r>
        <w:rPr>
          <w:rFonts w:hint="eastAsia" w:ascii="宋体" w:hAnsi="宋体" w:cs="宋体"/>
          <w:color w:val="auto"/>
          <w:sz w:val="24"/>
        </w:rPr>
        <w:t>、提供的有关资格、资质证明文件不真实,提供虚假报价材料的；</w:t>
      </w:r>
    </w:p>
    <w:p w14:paraId="2C85CB87">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lang w:val="en-US" w:eastAsia="zh-CN"/>
        </w:rPr>
        <w:t>3</w:t>
      </w:r>
      <w:r>
        <w:rPr>
          <w:rFonts w:hint="eastAsia" w:ascii="宋体" w:hAnsi="宋体" w:cs="宋体"/>
          <w:color w:val="auto"/>
          <w:sz w:val="24"/>
        </w:rPr>
        <w:t>、供应商未按磋商文件格式规定盖章、签字的；</w:t>
      </w:r>
    </w:p>
    <w:p w14:paraId="6314F8AE">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lang w:val="en-US" w:eastAsia="zh-CN"/>
        </w:rPr>
        <w:t>4</w:t>
      </w:r>
      <w:r>
        <w:rPr>
          <w:rFonts w:hint="eastAsia" w:ascii="宋体" w:hAnsi="宋体" w:cs="宋体"/>
          <w:color w:val="auto"/>
          <w:sz w:val="24"/>
        </w:rPr>
        <w:t>、工期、质量等不满足磋商文件要求的；</w:t>
      </w:r>
    </w:p>
    <w:p w14:paraId="38028FA3">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lang w:val="en-US" w:eastAsia="zh-CN"/>
        </w:rPr>
        <w:t>5</w:t>
      </w:r>
      <w:r>
        <w:rPr>
          <w:rFonts w:hint="eastAsia" w:ascii="宋体" w:hAnsi="宋体" w:cs="宋体"/>
          <w:color w:val="auto"/>
          <w:sz w:val="24"/>
        </w:rPr>
        <w:t>、磋商响应方的初次报价或最终报价超过采购预算的,或者最终报价超出初次报价的；</w:t>
      </w:r>
    </w:p>
    <w:p w14:paraId="2730A604">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s="宋体"/>
          <w:color w:val="auto"/>
          <w:sz w:val="24"/>
        </w:rPr>
      </w:pPr>
      <w:r>
        <w:rPr>
          <w:rFonts w:hint="eastAsia" w:ascii="宋体" w:hAnsi="宋体" w:cs="宋体"/>
          <w:color w:val="auto"/>
          <w:sz w:val="24"/>
          <w:lang w:val="en-US" w:eastAsia="zh-CN"/>
        </w:rPr>
        <w:t>6</w:t>
      </w:r>
      <w:r>
        <w:rPr>
          <w:rFonts w:hint="eastAsia" w:ascii="宋体" w:hAnsi="宋体" w:cs="宋体"/>
          <w:color w:val="auto"/>
          <w:sz w:val="24"/>
        </w:rPr>
        <w:t>、不响应或者擅自改变采购文件要求或者响应文件有采购人不能接受的附加条件的；</w:t>
      </w:r>
    </w:p>
    <w:p w14:paraId="29F89B14">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s="宋体"/>
          <w:color w:val="auto"/>
          <w:sz w:val="24"/>
        </w:rPr>
      </w:pPr>
      <w:r>
        <w:rPr>
          <w:rFonts w:hint="eastAsia" w:ascii="宋体" w:hAnsi="宋体" w:cs="宋体"/>
          <w:color w:val="auto"/>
          <w:sz w:val="24"/>
          <w:lang w:val="en-US" w:eastAsia="zh-CN"/>
        </w:rPr>
        <w:t>7</w:t>
      </w:r>
      <w:r>
        <w:rPr>
          <w:rFonts w:hint="eastAsia" w:ascii="宋体" w:hAnsi="宋体" w:cs="宋体"/>
          <w:color w:val="auto"/>
          <w:sz w:val="24"/>
        </w:rPr>
        <w:t>、磋商响应方串通报价的；</w:t>
      </w:r>
    </w:p>
    <w:p w14:paraId="6540BE44">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s="宋体"/>
          <w:color w:val="auto"/>
          <w:sz w:val="24"/>
        </w:rPr>
      </w:pPr>
      <w:r>
        <w:rPr>
          <w:rFonts w:hint="eastAsia" w:ascii="宋体" w:hAnsi="宋体" w:cs="宋体"/>
          <w:color w:val="auto"/>
          <w:sz w:val="24"/>
          <w:lang w:val="en-US" w:eastAsia="zh-CN"/>
        </w:rPr>
        <w:t>8</w:t>
      </w:r>
      <w:r>
        <w:rPr>
          <w:rFonts w:hint="eastAsia" w:ascii="宋体" w:hAnsi="宋体" w:cs="宋体"/>
          <w:color w:val="auto"/>
          <w:sz w:val="24"/>
        </w:rPr>
        <w:t>、磋商响应方向采购人、采购代理机构、评审专家提供不正当利益的；</w:t>
      </w:r>
    </w:p>
    <w:p w14:paraId="284C28A5">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s="宋体"/>
          <w:color w:val="auto"/>
          <w:sz w:val="24"/>
        </w:rPr>
      </w:pPr>
      <w:r>
        <w:rPr>
          <w:rFonts w:hint="eastAsia" w:ascii="宋体" w:hAnsi="宋体" w:cs="宋体"/>
          <w:color w:val="auto"/>
          <w:sz w:val="24"/>
          <w:lang w:val="en-US" w:eastAsia="zh-CN"/>
        </w:rPr>
        <w:t>9</w:t>
      </w:r>
      <w:r>
        <w:rPr>
          <w:rFonts w:hint="eastAsia" w:ascii="宋体" w:hAnsi="宋体" w:cs="宋体"/>
          <w:color w:val="auto"/>
          <w:sz w:val="24"/>
        </w:rPr>
        <w:t>、不同磋商响应方的响应文件由同一单位或者个人编制的；</w:t>
      </w:r>
    </w:p>
    <w:p w14:paraId="3349AD23">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0</w:t>
      </w:r>
      <w:r>
        <w:rPr>
          <w:rFonts w:hint="eastAsia" w:ascii="宋体" w:hAnsi="宋体" w:cs="宋体"/>
          <w:color w:val="auto"/>
          <w:sz w:val="24"/>
        </w:rPr>
        <w:t>、不同磋商响应方委托同一单位或者个人办理磋商事宜；</w:t>
      </w:r>
    </w:p>
    <w:p w14:paraId="7F97F306">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1</w:t>
      </w:r>
      <w:r>
        <w:rPr>
          <w:rFonts w:hint="eastAsia" w:ascii="宋体" w:hAnsi="宋体" w:cs="宋体"/>
          <w:color w:val="auto"/>
          <w:sz w:val="24"/>
        </w:rPr>
        <w:t>、不同响应供应商的</w:t>
      </w:r>
      <w:r>
        <w:rPr>
          <w:rFonts w:hint="eastAsia" w:ascii="宋体" w:hAnsi="宋体" w:cs="宋体"/>
          <w:color w:val="auto"/>
          <w:sz w:val="24"/>
          <w:lang w:eastAsia="zh-CN"/>
        </w:rPr>
        <w:t>响应</w:t>
      </w:r>
      <w:r>
        <w:rPr>
          <w:rFonts w:hint="eastAsia" w:ascii="宋体" w:hAnsi="宋体" w:cs="宋体"/>
          <w:color w:val="auto"/>
          <w:sz w:val="24"/>
        </w:rPr>
        <w:t>文件载明的项目管理成员为同一人；</w:t>
      </w:r>
    </w:p>
    <w:p w14:paraId="2A70227E">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2</w:t>
      </w:r>
      <w:r>
        <w:rPr>
          <w:rFonts w:hint="eastAsia" w:ascii="宋体" w:hAnsi="宋体" w:cs="宋体"/>
          <w:color w:val="auto"/>
          <w:sz w:val="24"/>
        </w:rPr>
        <w:t>、法律、法规规定的其他情况。</w:t>
      </w:r>
    </w:p>
    <w:p w14:paraId="7FA67FD5">
      <w:pPr>
        <w:keepNext w:val="0"/>
        <w:keepLines w:val="0"/>
        <w:pageBreakBefore w:val="0"/>
        <w:tabs>
          <w:tab w:val="left" w:pos="315"/>
        </w:tabs>
        <w:kinsoku/>
        <w:wordWrap/>
        <w:overflowPunct/>
        <w:topLinePunct w:val="0"/>
        <w:autoSpaceDE/>
        <w:autoSpaceDN/>
        <w:bidi w:val="0"/>
        <w:adjustRightInd/>
        <w:snapToGrid/>
        <w:spacing w:line="360" w:lineRule="auto"/>
        <w:ind w:firstLine="482" w:firstLineChars="200"/>
        <w:textAlignment w:val="auto"/>
        <w:rPr>
          <w:rFonts w:ascii="宋体" w:hAnsi="宋体"/>
          <w:b/>
          <w:color w:val="auto"/>
          <w:sz w:val="24"/>
        </w:rPr>
      </w:pPr>
      <w:r>
        <w:rPr>
          <w:rFonts w:hint="eastAsia" w:ascii="宋体" w:hAnsi="宋体"/>
          <w:b/>
          <w:color w:val="auto"/>
          <w:sz w:val="24"/>
        </w:rPr>
        <w:t>十二、建设工地扬尘污染防治</w:t>
      </w:r>
    </w:p>
    <w:p w14:paraId="37A1C670">
      <w:pPr>
        <w:keepNext w:val="0"/>
        <w:keepLines w:val="0"/>
        <w:pageBreakBefore w:val="0"/>
        <w:tabs>
          <w:tab w:val="left" w:pos="315"/>
        </w:tabs>
        <w:kinsoku/>
        <w:wordWrap/>
        <w:overflowPunct/>
        <w:topLinePunct w:val="0"/>
        <w:autoSpaceDE/>
        <w:autoSpaceDN/>
        <w:bidi w:val="0"/>
        <w:adjustRightInd/>
        <w:snapToGrid/>
        <w:spacing w:line="360" w:lineRule="auto"/>
        <w:ind w:firstLine="482" w:firstLineChars="200"/>
        <w:textAlignment w:val="auto"/>
        <w:rPr>
          <w:rFonts w:hint="eastAsia" w:ascii="宋体" w:hAnsi="宋体" w:cs="Times New Roman"/>
          <w:b/>
          <w:color w:val="auto"/>
          <w:sz w:val="24"/>
          <w:highlight w:val="none"/>
        </w:rPr>
      </w:pPr>
      <w:r>
        <w:rPr>
          <w:rFonts w:hint="eastAsia" w:ascii="宋体" w:hAnsi="宋体" w:cs="Times New Roman"/>
          <w:b/>
          <w:color w:val="auto"/>
          <w:sz w:val="24"/>
          <w:highlight w:val="none"/>
        </w:rPr>
        <w:t>执行《济宁市建筑工地扬尘治理工作导则》（ 二〇二〇年十一月济宁市住房和城乡建筑局发布）。</w:t>
      </w:r>
    </w:p>
    <w:p w14:paraId="13E96529">
      <w:pPr>
        <w:keepNext w:val="0"/>
        <w:keepLines w:val="0"/>
        <w:pageBreakBefore w:val="0"/>
        <w:tabs>
          <w:tab w:val="left" w:pos="315"/>
        </w:tabs>
        <w:kinsoku/>
        <w:wordWrap/>
        <w:overflowPunct/>
        <w:topLinePunct w:val="0"/>
        <w:autoSpaceDE/>
        <w:autoSpaceDN/>
        <w:bidi w:val="0"/>
        <w:adjustRightInd/>
        <w:snapToGrid/>
        <w:spacing w:line="360" w:lineRule="auto"/>
        <w:ind w:firstLine="482" w:firstLineChars="200"/>
        <w:textAlignment w:val="auto"/>
        <w:rPr>
          <w:rFonts w:ascii="宋体" w:hAnsi="宋体"/>
          <w:b/>
          <w:color w:val="auto"/>
          <w:sz w:val="24"/>
          <w:highlight w:val="none"/>
        </w:rPr>
      </w:pPr>
      <w:r>
        <w:rPr>
          <w:rFonts w:hint="eastAsia" w:ascii="宋体" w:hAnsi="宋体"/>
          <w:b/>
          <w:color w:val="auto"/>
          <w:sz w:val="24"/>
          <w:highlight w:val="none"/>
        </w:rPr>
        <w:t>十三、严禁在施工现场搅拌砂浆、混凝土的通知</w:t>
      </w:r>
    </w:p>
    <w:p w14:paraId="60C50825">
      <w:pPr>
        <w:keepNext w:val="0"/>
        <w:keepLines w:val="0"/>
        <w:pageBreakBefore w:val="0"/>
        <w:tabs>
          <w:tab w:val="left" w:pos="315"/>
        </w:tabs>
        <w:kinsoku/>
        <w:wordWrap/>
        <w:overflowPunct/>
        <w:topLinePunct w:val="0"/>
        <w:autoSpaceDE/>
        <w:autoSpaceDN/>
        <w:bidi w:val="0"/>
        <w:adjustRightInd/>
        <w:snapToGrid/>
        <w:spacing w:line="360" w:lineRule="auto"/>
        <w:ind w:firstLine="482" w:firstLineChars="200"/>
        <w:textAlignment w:val="auto"/>
        <w:rPr>
          <w:rFonts w:ascii="宋体" w:hAnsi="宋体"/>
          <w:b/>
          <w:color w:val="auto"/>
          <w:sz w:val="24"/>
          <w:highlight w:val="none"/>
        </w:rPr>
      </w:pPr>
      <w:r>
        <w:rPr>
          <w:rFonts w:hint="eastAsia" w:ascii="宋体" w:hAnsi="宋体"/>
          <w:b/>
          <w:color w:val="auto"/>
          <w:sz w:val="24"/>
          <w:highlight w:val="none"/>
        </w:rPr>
        <w:t xml:space="preserve">根据济建行发字【2016】7号文规定，自2016年10月1日起，全市范围内新建及主体未验收的建筑工程，禁止施工现场搅拌砂浆，必须使用预拌砂浆。建设工程项目因特殊原因不能使用预拌砂浆，确需现场搅拌砂浆的，应报所在县、市、区建设主管部门的同意。 </w:t>
      </w:r>
    </w:p>
    <w:p w14:paraId="1B124366">
      <w:pPr>
        <w:tabs>
          <w:tab w:val="left" w:pos="315"/>
        </w:tabs>
        <w:spacing w:line="540" w:lineRule="exact"/>
        <w:ind w:firstLine="482" w:firstLineChars="200"/>
        <w:rPr>
          <w:rFonts w:ascii="宋体" w:hAnsi="宋体"/>
          <w:b/>
          <w:color w:val="auto"/>
          <w:sz w:val="24"/>
          <w:highlight w:val="none"/>
        </w:rPr>
      </w:pPr>
      <w:r>
        <w:rPr>
          <w:rFonts w:hint="eastAsia" w:ascii="宋体" w:hAnsi="宋体"/>
          <w:b/>
          <w:color w:val="auto"/>
          <w:sz w:val="24"/>
          <w:highlight w:val="none"/>
        </w:rPr>
        <w:t>根据济建【2007】103号及邹建字【2007】35号规定城市区内禁止现场搅拌混凝土，使用商品混凝土，本项目供应商报价时应按商品混凝土进行报价。</w:t>
      </w:r>
    </w:p>
    <w:p w14:paraId="13EE731D">
      <w:pPr>
        <w:tabs>
          <w:tab w:val="left" w:pos="315"/>
        </w:tabs>
        <w:spacing w:line="540" w:lineRule="exact"/>
        <w:ind w:firstLine="482" w:firstLineChars="200"/>
        <w:rPr>
          <w:rFonts w:ascii="宋体" w:hAnsi="宋体"/>
          <w:b/>
          <w:color w:val="auto"/>
          <w:sz w:val="24"/>
        </w:rPr>
      </w:pPr>
      <w:r>
        <w:rPr>
          <w:rFonts w:hint="eastAsia" w:ascii="宋体" w:hAnsi="宋体"/>
          <w:b/>
          <w:color w:val="auto"/>
          <w:sz w:val="24"/>
        </w:rPr>
        <w:t>十四、质疑和投诉：</w:t>
      </w:r>
    </w:p>
    <w:p w14:paraId="67357BE4">
      <w:pPr>
        <w:widowControl/>
        <w:shd w:val="clear" w:color="auto" w:fill="FFFFFF"/>
        <w:spacing w:line="540" w:lineRule="exact"/>
        <w:ind w:firstLine="482"/>
        <w:jc w:val="left"/>
        <w:rPr>
          <w:rFonts w:ascii="宋体" w:hAnsi="宋体" w:cs="黑体"/>
          <w:color w:val="auto"/>
          <w:kern w:val="0"/>
          <w:sz w:val="24"/>
        </w:rPr>
      </w:pPr>
      <w:r>
        <w:rPr>
          <w:rFonts w:hint="eastAsia" w:ascii="宋体" w:hAnsi="宋体" w:cs="黑体"/>
          <w:color w:val="auto"/>
          <w:kern w:val="0"/>
          <w:sz w:val="24"/>
        </w:rPr>
        <w:t>质疑：参加磋商的供应商认为采购文件、采购过程和成交结果使自己的合法权益受到损害的，有权依法向采购人或采购代理机构提出质疑。</w:t>
      </w:r>
    </w:p>
    <w:p w14:paraId="789E3096">
      <w:pPr>
        <w:spacing w:line="540" w:lineRule="exact"/>
        <w:ind w:firstLine="482"/>
        <w:rPr>
          <w:rFonts w:ascii="宋体" w:hAnsi="宋体" w:cs="黑体"/>
          <w:color w:val="auto"/>
          <w:kern w:val="0"/>
          <w:sz w:val="24"/>
        </w:rPr>
      </w:pPr>
      <w:r>
        <w:rPr>
          <w:rFonts w:hint="eastAsia" w:ascii="宋体" w:hAnsi="宋体" w:cs="黑体"/>
          <w:color w:val="auto"/>
          <w:kern w:val="0"/>
          <w:sz w:val="24"/>
        </w:rPr>
        <w:t>投诉：参加磋商的供应商对采购人的质疑答复不满意，或者采购人未在规定期限内作出答复的，供应商可以在答复期满后可以向相关行政主管部门投诉。</w:t>
      </w:r>
    </w:p>
    <w:p w14:paraId="51268B53">
      <w:pPr>
        <w:spacing w:line="360" w:lineRule="auto"/>
        <w:jc w:val="center"/>
        <w:outlineLvl w:val="0"/>
        <w:rPr>
          <w:rFonts w:ascii="宋体" w:hAnsi="宋体"/>
          <w:b/>
          <w:color w:val="auto"/>
          <w:sz w:val="32"/>
          <w:szCs w:val="32"/>
        </w:rPr>
      </w:pPr>
      <w:r>
        <w:rPr>
          <w:rFonts w:ascii="宋体" w:hAnsi="宋体"/>
          <w:b/>
          <w:color w:val="auto"/>
          <w:sz w:val="32"/>
          <w:szCs w:val="32"/>
        </w:rPr>
        <w:br w:type="page"/>
      </w:r>
      <w:bookmarkStart w:id="10" w:name="_Toc5023"/>
      <w:bookmarkStart w:id="11" w:name="_Toc20347"/>
      <w:bookmarkStart w:id="12" w:name="_Toc11977"/>
      <w:r>
        <w:rPr>
          <w:rStyle w:val="55"/>
          <w:rFonts w:hint="eastAsia" w:ascii="宋体" w:hAnsi="宋体" w:eastAsia="宋体" w:cs="宋体"/>
          <w:color w:val="auto"/>
          <w:sz w:val="24"/>
          <w:szCs w:val="24"/>
          <w:lang w:val="en-US" w:eastAsia="zh-CN"/>
        </w:rPr>
        <w:t>第三部分  磋商组织、步骤与评审方法</w:t>
      </w:r>
      <w:bookmarkEnd w:id="10"/>
      <w:bookmarkEnd w:id="11"/>
      <w:bookmarkEnd w:id="12"/>
    </w:p>
    <w:p w14:paraId="0DF3A551">
      <w:pPr>
        <w:spacing w:line="360" w:lineRule="auto"/>
        <w:rPr>
          <w:rFonts w:ascii="宋体" w:hAnsi="宋体"/>
          <w:b/>
          <w:color w:val="auto"/>
          <w:sz w:val="24"/>
        </w:rPr>
      </w:pPr>
      <w:r>
        <w:rPr>
          <w:rFonts w:hint="eastAsia" w:ascii="宋体" w:hAnsi="宋体"/>
          <w:b/>
          <w:color w:val="auto"/>
          <w:sz w:val="24"/>
        </w:rPr>
        <w:t>一、磋商组织：</w:t>
      </w:r>
    </w:p>
    <w:p w14:paraId="6FD6DE94">
      <w:pPr>
        <w:tabs>
          <w:tab w:val="left" w:pos="0"/>
          <w:tab w:val="left" w:pos="885"/>
          <w:tab w:val="left" w:pos="990"/>
        </w:tabs>
        <w:spacing w:line="360" w:lineRule="auto"/>
        <w:ind w:firstLine="566" w:firstLineChars="236"/>
        <w:rPr>
          <w:rFonts w:ascii="宋体" w:hAnsi="宋体"/>
          <w:color w:val="auto"/>
          <w:sz w:val="24"/>
        </w:rPr>
      </w:pPr>
      <w:r>
        <w:rPr>
          <w:rFonts w:hint="eastAsia" w:ascii="宋体" w:hAnsi="宋体"/>
          <w:color w:val="auto"/>
          <w:sz w:val="24"/>
        </w:rPr>
        <w:t>1、采购人在磋商文件规定的时间和地点组织磋商，磋商响应方须派代表参加；</w:t>
      </w:r>
    </w:p>
    <w:p w14:paraId="3D7EF4AC">
      <w:pPr>
        <w:tabs>
          <w:tab w:val="left" w:pos="0"/>
          <w:tab w:val="left" w:pos="885"/>
          <w:tab w:val="left" w:pos="990"/>
        </w:tabs>
        <w:spacing w:line="360" w:lineRule="auto"/>
        <w:ind w:firstLine="566" w:firstLineChars="236"/>
        <w:rPr>
          <w:rFonts w:ascii="宋体" w:hAnsi="宋体"/>
          <w:color w:val="auto"/>
          <w:sz w:val="24"/>
        </w:rPr>
      </w:pPr>
      <w:r>
        <w:rPr>
          <w:rFonts w:hint="eastAsia" w:ascii="宋体" w:hAnsi="宋体"/>
          <w:color w:val="auto"/>
          <w:sz w:val="24"/>
        </w:rPr>
        <w:t>2、磋商小组由三人（含）以上单数的人员组成，其中专家的人数不少于成员总数的三分之二，磋商小组对磋商响应文件进行审查、质疑、评估和比较。</w:t>
      </w:r>
    </w:p>
    <w:p w14:paraId="1EED71C5">
      <w:pPr>
        <w:spacing w:line="360" w:lineRule="auto"/>
        <w:rPr>
          <w:rFonts w:ascii="宋体" w:hAnsi="宋体"/>
          <w:b/>
          <w:color w:val="auto"/>
          <w:sz w:val="24"/>
        </w:rPr>
      </w:pPr>
      <w:r>
        <w:rPr>
          <w:rFonts w:hint="eastAsia" w:ascii="宋体" w:hAnsi="宋体"/>
          <w:b/>
          <w:color w:val="auto"/>
          <w:sz w:val="24"/>
        </w:rPr>
        <w:t>二、磋商步骤：</w:t>
      </w:r>
    </w:p>
    <w:p w14:paraId="5041CC3F">
      <w:pPr>
        <w:tabs>
          <w:tab w:val="left" w:pos="0"/>
          <w:tab w:val="left" w:pos="885"/>
          <w:tab w:val="left" w:pos="990"/>
        </w:tabs>
        <w:spacing w:line="360" w:lineRule="auto"/>
        <w:ind w:firstLine="566" w:firstLineChars="236"/>
        <w:rPr>
          <w:rFonts w:ascii="宋体" w:hAnsi="宋体"/>
          <w:color w:val="auto"/>
          <w:sz w:val="24"/>
        </w:rPr>
      </w:pPr>
      <w:r>
        <w:rPr>
          <w:rFonts w:hint="eastAsia" w:ascii="宋体" w:hAnsi="宋体"/>
          <w:color w:val="auto"/>
          <w:sz w:val="24"/>
        </w:rPr>
        <w:t>1、检查磋商响应文件密封情况：各磋商响应方对自己递交的磋商响应文件密封情况进行检查；</w:t>
      </w:r>
    </w:p>
    <w:p w14:paraId="2BB657FA">
      <w:pPr>
        <w:tabs>
          <w:tab w:val="left" w:pos="0"/>
          <w:tab w:val="left" w:pos="885"/>
          <w:tab w:val="left" w:pos="990"/>
        </w:tabs>
        <w:spacing w:line="360" w:lineRule="auto"/>
        <w:ind w:firstLine="566" w:firstLineChars="236"/>
        <w:rPr>
          <w:rFonts w:ascii="宋体" w:hAnsi="宋体"/>
          <w:color w:val="auto"/>
          <w:sz w:val="24"/>
        </w:rPr>
      </w:pPr>
      <w:r>
        <w:rPr>
          <w:rFonts w:hint="eastAsia" w:ascii="宋体" w:hAnsi="宋体"/>
          <w:color w:val="auto"/>
          <w:sz w:val="24"/>
        </w:rPr>
        <w:t>2、磋商响应文件初步审核：磋商小组对磋商响应文件进行符合性审核；</w:t>
      </w:r>
    </w:p>
    <w:p w14:paraId="09B98170">
      <w:pPr>
        <w:tabs>
          <w:tab w:val="left" w:pos="0"/>
          <w:tab w:val="left" w:pos="885"/>
          <w:tab w:val="left" w:pos="990"/>
        </w:tabs>
        <w:spacing w:line="360" w:lineRule="auto"/>
        <w:ind w:firstLine="566" w:firstLineChars="236"/>
        <w:rPr>
          <w:rFonts w:ascii="宋体" w:hAnsi="宋体"/>
          <w:color w:val="auto"/>
          <w:sz w:val="24"/>
        </w:rPr>
      </w:pPr>
      <w:r>
        <w:rPr>
          <w:rFonts w:hint="eastAsia" w:ascii="宋体" w:hAnsi="宋体"/>
          <w:color w:val="auto"/>
          <w:sz w:val="24"/>
        </w:rPr>
        <w:t>3、磋商小组所有成员集中根据磋商需要与单一供应商分别磋商；</w:t>
      </w:r>
    </w:p>
    <w:p w14:paraId="03BB1CAC">
      <w:pPr>
        <w:tabs>
          <w:tab w:val="left" w:pos="0"/>
          <w:tab w:val="left" w:pos="885"/>
          <w:tab w:val="left" w:pos="990"/>
        </w:tabs>
        <w:spacing w:line="360" w:lineRule="auto"/>
        <w:ind w:firstLine="566" w:firstLineChars="236"/>
        <w:rPr>
          <w:rFonts w:ascii="宋体" w:hAnsi="宋体"/>
          <w:color w:val="auto"/>
          <w:sz w:val="24"/>
        </w:rPr>
      </w:pPr>
      <w:r>
        <w:rPr>
          <w:rFonts w:hint="eastAsia" w:ascii="宋体" w:hAnsi="宋体"/>
          <w:color w:val="auto"/>
          <w:sz w:val="24"/>
        </w:rPr>
        <w:t>4、磋商结束后，所有实质性响应的供应商进行最终报价；</w:t>
      </w:r>
    </w:p>
    <w:p w14:paraId="0C5EE918">
      <w:pPr>
        <w:tabs>
          <w:tab w:val="left" w:pos="0"/>
          <w:tab w:val="left" w:pos="885"/>
          <w:tab w:val="left" w:pos="990"/>
        </w:tabs>
        <w:spacing w:line="360" w:lineRule="auto"/>
        <w:ind w:firstLine="566" w:firstLineChars="236"/>
        <w:rPr>
          <w:rFonts w:ascii="宋体" w:hAnsi="宋体"/>
          <w:color w:val="auto"/>
          <w:sz w:val="24"/>
        </w:rPr>
      </w:pPr>
      <w:r>
        <w:rPr>
          <w:rFonts w:hint="eastAsia" w:ascii="宋体" w:hAnsi="宋体"/>
          <w:color w:val="auto"/>
          <w:sz w:val="24"/>
        </w:rPr>
        <w:t>5、磋商小组按照如下评审办法对最终报价后所有实质性响应的供应商进行评审，推荐3名成交候选供应商。</w:t>
      </w:r>
    </w:p>
    <w:p w14:paraId="39180DF9">
      <w:pPr>
        <w:spacing w:line="360" w:lineRule="auto"/>
        <w:rPr>
          <w:rFonts w:ascii="宋体" w:hAnsi="宋体"/>
          <w:b/>
          <w:color w:val="auto"/>
          <w:sz w:val="24"/>
        </w:rPr>
      </w:pPr>
      <w:r>
        <w:rPr>
          <w:rFonts w:hint="eastAsia" w:ascii="宋体" w:hAnsi="宋体"/>
          <w:b/>
          <w:color w:val="auto"/>
          <w:sz w:val="24"/>
        </w:rPr>
        <w:t>三、</w:t>
      </w:r>
      <w:r>
        <w:rPr>
          <w:rFonts w:ascii="宋体" w:hAnsi="宋体"/>
          <w:b/>
          <w:color w:val="auto"/>
          <w:sz w:val="24"/>
        </w:rPr>
        <w:t>评审</w:t>
      </w:r>
      <w:r>
        <w:rPr>
          <w:rFonts w:hint="eastAsia" w:ascii="宋体" w:hAnsi="宋体"/>
          <w:b/>
          <w:color w:val="auto"/>
          <w:sz w:val="24"/>
        </w:rPr>
        <w:t>方法：</w:t>
      </w:r>
    </w:p>
    <w:p w14:paraId="73B62628">
      <w:pPr>
        <w:tabs>
          <w:tab w:val="left" w:pos="0"/>
          <w:tab w:val="left" w:pos="885"/>
          <w:tab w:val="left" w:pos="990"/>
        </w:tabs>
        <w:spacing w:line="360" w:lineRule="auto"/>
        <w:ind w:firstLine="566" w:firstLineChars="236"/>
        <w:rPr>
          <w:rFonts w:hint="eastAsia" w:ascii="宋体" w:hAnsi="宋体"/>
          <w:color w:val="auto"/>
          <w:sz w:val="24"/>
        </w:rPr>
      </w:pPr>
      <w:r>
        <w:rPr>
          <w:rFonts w:hint="eastAsia" w:ascii="宋体" w:hAnsi="宋体"/>
          <w:color w:val="auto"/>
          <w:sz w:val="24"/>
        </w:rPr>
        <w:t>本项目采用综合评分法，是指响应文件满足磋商文件全部实质性要求且按评审因素的量化指标评审得分，按照评审得分由高到低顺序推荐成交候选供应商的评审方法。</w:t>
      </w:r>
    </w:p>
    <w:tbl>
      <w:tblPr>
        <w:tblStyle w:val="39"/>
        <w:tblW w:w="101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2133"/>
        <w:gridCol w:w="878"/>
        <w:gridCol w:w="6257"/>
      </w:tblGrid>
      <w:tr w14:paraId="43F46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2971" w:type="dxa"/>
            <w:gridSpan w:val="2"/>
            <w:tcBorders>
              <w:tl2br w:val="nil"/>
              <w:tr2bl w:val="nil"/>
            </w:tcBorders>
            <w:vAlign w:val="center"/>
          </w:tcPr>
          <w:p w14:paraId="3360A3D4">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br w:type="page"/>
            </w:r>
            <w:r>
              <w:rPr>
                <w:rFonts w:hint="eastAsia" w:ascii="宋体" w:hAnsi="宋体" w:eastAsia="宋体" w:cs="宋体"/>
                <w:b w:val="0"/>
                <w:bCs/>
                <w:color w:val="auto"/>
                <w:sz w:val="24"/>
                <w:szCs w:val="24"/>
                <w:highlight w:val="none"/>
              </w:rPr>
              <w:t>评分因素</w:t>
            </w:r>
          </w:p>
        </w:tc>
        <w:tc>
          <w:tcPr>
            <w:tcW w:w="878" w:type="dxa"/>
            <w:tcBorders>
              <w:tl2br w:val="nil"/>
              <w:tr2bl w:val="nil"/>
            </w:tcBorders>
            <w:vAlign w:val="center"/>
          </w:tcPr>
          <w:p w14:paraId="22FC64B1">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rPr>
              <w:t>满分</w:t>
            </w:r>
          </w:p>
        </w:tc>
        <w:tc>
          <w:tcPr>
            <w:tcW w:w="6257" w:type="dxa"/>
            <w:tcBorders>
              <w:tl2br w:val="nil"/>
              <w:tr2bl w:val="nil"/>
            </w:tcBorders>
            <w:vAlign w:val="center"/>
          </w:tcPr>
          <w:p w14:paraId="72B2A9C5">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评分标准</w:t>
            </w:r>
          </w:p>
        </w:tc>
      </w:tr>
      <w:tr w14:paraId="7907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838" w:type="dxa"/>
            <w:tcBorders>
              <w:tl2br w:val="nil"/>
              <w:tr2bl w:val="nil"/>
            </w:tcBorders>
            <w:vAlign w:val="center"/>
          </w:tcPr>
          <w:p w14:paraId="1EDC76BD">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一</w:t>
            </w:r>
          </w:p>
        </w:tc>
        <w:tc>
          <w:tcPr>
            <w:tcW w:w="2133" w:type="dxa"/>
            <w:tcBorders>
              <w:tl2br w:val="nil"/>
              <w:tr2bl w:val="nil"/>
            </w:tcBorders>
            <w:vAlign w:val="center"/>
          </w:tcPr>
          <w:p w14:paraId="682BEB21">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rPr>
              <w:t>报价得分</w:t>
            </w:r>
          </w:p>
        </w:tc>
        <w:tc>
          <w:tcPr>
            <w:tcW w:w="878" w:type="dxa"/>
            <w:tcBorders>
              <w:tl2br w:val="nil"/>
              <w:tr2bl w:val="nil"/>
            </w:tcBorders>
            <w:vAlign w:val="center"/>
          </w:tcPr>
          <w:p w14:paraId="4095579B">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30</w:t>
            </w:r>
            <w:r>
              <w:rPr>
                <w:rFonts w:hint="eastAsia" w:ascii="宋体" w:hAnsi="宋体" w:eastAsia="宋体" w:cs="宋体"/>
                <w:b w:val="0"/>
                <w:bCs/>
                <w:color w:val="auto"/>
                <w:sz w:val="24"/>
                <w:szCs w:val="24"/>
                <w:highlight w:val="none"/>
              </w:rPr>
              <w:t>分</w:t>
            </w:r>
          </w:p>
        </w:tc>
        <w:tc>
          <w:tcPr>
            <w:tcW w:w="6257" w:type="dxa"/>
            <w:tcBorders>
              <w:tl2br w:val="nil"/>
              <w:tr2bl w:val="nil"/>
            </w:tcBorders>
            <w:vAlign w:val="center"/>
          </w:tcPr>
          <w:p w14:paraId="1FE23E66">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jc w:val="both"/>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供应商的报价得分统一采用最低价优先法计算，即满足磋商文件要求且最终报价最低的供应商的价格为磋商基准价，其报价得分为满分</w:t>
            </w:r>
            <w:r>
              <w:rPr>
                <w:rFonts w:hint="eastAsia" w:ascii="宋体" w:hAnsi="宋体" w:eastAsia="宋体" w:cs="宋体"/>
                <w:b w:val="0"/>
                <w:bCs/>
                <w:color w:val="auto"/>
                <w:sz w:val="24"/>
                <w:szCs w:val="24"/>
                <w:highlight w:val="none"/>
                <w:lang w:val="en-US" w:eastAsia="zh-CN"/>
              </w:rPr>
              <w:t>30</w:t>
            </w:r>
            <w:r>
              <w:rPr>
                <w:rFonts w:hint="eastAsia" w:ascii="宋体" w:hAnsi="宋体" w:eastAsia="宋体" w:cs="宋体"/>
                <w:b w:val="0"/>
                <w:bCs/>
                <w:color w:val="auto"/>
                <w:sz w:val="24"/>
                <w:szCs w:val="24"/>
                <w:highlight w:val="none"/>
              </w:rPr>
              <w:t>分。其他供应商的报价得分统一按照下列公式计算：磋商报价得分=（磋商基准价/最终磋商报价）</w:t>
            </w:r>
            <w:r>
              <w:rPr>
                <w:rFonts w:hint="eastAsia" w:ascii="宋体" w:hAnsi="宋体" w:eastAsia="宋体" w:cs="宋体"/>
                <w:b w:val="0"/>
                <w:bCs/>
                <w:color w:val="auto"/>
                <w:sz w:val="24"/>
                <w:szCs w:val="24"/>
                <w:highlight w:val="none"/>
                <w:lang w:val="en-US" w:eastAsia="zh-CN"/>
              </w:rPr>
              <w:t>*30%*100</w:t>
            </w:r>
            <w:r>
              <w:rPr>
                <w:rFonts w:hint="eastAsia" w:ascii="宋体" w:hAnsi="宋体" w:eastAsia="宋体" w:cs="宋体"/>
                <w:b w:val="0"/>
                <w:bCs/>
                <w:color w:val="auto"/>
                <w:sz w:val="24"/>
                <w:szCs w:val="24"/>
                <w:highlight w:val="none"/>
              </w:rPr>
              <w:t>。</w:t>
            </w:r>
          </w:p>
        </w:tc>
      </w:tr>
      <w:tr w14:paraId="067E5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838" w:type="dxa"/>
            <w:tcBorders>
              <w:tl2br w:val="nil"/>
              <w:tr2bl w:val="nil"/>
            </w:tcBorders>
            <w:vAlign w:val="center"/>
          </w:tcPr>
          <w:p w14:paraId="0A3A28C0">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jc w:val="center"/>
              <w:textAlignment w:val="auto"/>
              <w:rPr>
                <w:rFonts w:hint="eastAsia" w:ascii="宋体" w:hAnsi="宋体" w:eastAsia="宋体" w:cs="宋体"/>
                <w:b/>
                <w:bCs w:val="0"/>
                <w:color w:val="auto"/>
                <w:sz w:val="24"/>
                <w:szCs w:val="24"/>
                <w:highlight w:val="none"/>
                <w:lang w:eastAsia="zh-CN"/>
              </w:rPr>
            </w:pPr>
            <w:r>
              <w:rPr>
                <w:rFonts w:hint="eastAsia" w:ascii="宋体" w:hAnsi="宋体" w:cs="宋体"/>
                <w:b/>
                <w:bCs w:val="0"/>
                <w:color w:val="auto"/>
                <w:sz w:val="24"/>
                <w:szCs w:val="24"/>
                <w:highlight w:val="none"/>
                <w:lang w:eastAsia="zh-CN"/>
              </w:rPr>
              <w:t>二</w:t>
            </w:r>
          </w:p>
        </w:tc>
        <w:tc>
          <w:tcPr>
            <w:tcW w:w="2133" w:type="dxa"/>
            <w:tcBorders>
              <w:tl2br w:val="nil"/>
              <w:tr2bl w:val="nil"/>
            </w:tcBorders>
            <w:vAlign w:val="center"/>
          </w:tcPr>
          <w:p w14:paraId="72C3B50E">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jc w:val="center"/>
              <w:textAlignment w:val="auto"/>
              <w:rPr>
                <w:rFonts w:hint="eastAsia" w:ascii="宋体" w:hAnsi="宋体" w:eastAsia="宋体" w:cs="宋体"/>
                <w:b/>
                <w:bCs w:val="0"/>
                <w:color w:val="auto"/>
                <w:sz w:val="24"/>
                <w:szCs w:val="24"/>
                <w:highlight w:val="none"/>
                <w:lang w:eastAsia="zh-CN"/>
              </w:rPr>
            </w:pPr>
            <w:r>
              <w:rPr>
                <w:rFonts w:hint="eastAsia" w:ascii="宋体" w:hAnsi="宋体" w:cs="宋体"/>
                <w:b/>
                <w:bCs w:val="0"/>
                <w:color w:val="auto"/>
                <w:sz w:val="24"/>
                <w:szCs w:val="24"/>
                <w:highlight w:val="none"/>
                <w:lang w:eastAsia="zh-CN"/>
              </w:rPr>
              <w:t>技术部分</w:t>
            </w:r>
          </w:p>
        </w:tc>
        <w:tc>
          <w:tcPr>
            <w:tcW w:w="878" w:type="dxa"/>
            <w:tcBorders>
              <w:tl2br w:val="nil"/>
              <w:tr2bl w:val="nil"/>
            </w:tcBorders>
            <w:vAlign w:val="center"/>
          </w:tcPr>
          <w:p w14:paraId="79FAA6E7">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jc w:val="center"/>
              <w:textAlignment w:val="auto"/>
              <w:rPr>
                <w:rFonts w:hint="default" w:ascii="宋体" w:hAnsi="宋体" w:eastAsia="宋体" w:cs="宋体"/>
                <w:b/>
                <w:bCs w:val="0"/>
                <w:color w:val="auto"/>
                <w:sz w:val="24"/>
                <w:szCs w:val="24"/>
                <w:highlight w:val="none"/>
                <w:lang w:val="en-US" w:eastAsia="zh-CN"/>
              </w:rPr>
            </w:pPr>
            <w:r>
              <w:rPr>
                <w:rFonts w:hint="eastAsia" w:ascii="宋体" w:hAnsi="宋体" w:cs="宋体"/>
                <w:b/>
                <w:bCs w:val="0"/>
                <w:color w:val="auto"/>
                <w:sz w:val="24"/>
                <w:szCs w:val="24"/>
                <w:highlight w:val="none"/>
                <w:lang w:val="en-US" w:eastAsia="zh-CN"/>
              </w:rPr>
              <w:t>70分</w:t>
            </w:r>
          </w:p>
        </w:tc>
        <w:tc>
          <w:tcPr>
            <w:tcW w:w="6257" w:type="dxa"/>
            <w:tcBorders>
              <w:tl2br w:val="nil"/>
              <w:tr2bl w:val="nil"/>
            </w:tcBorders>
            <w:vAlign w:val="center"/>
          </w:tcPr>
          <w:p w14:paraId="72236CF0">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jc w:val="both"/>
              <w:textAlignment w:val="auto"/>
              <w:rPr>
                <w:rFonts w:hint="eastAsia" w:ascii="宋体" w:hAnsi="宋体" w:eastAsia="宋体" w:cs="宋体"/>
                <w:b w:val="0"/>
                <w:bCs/>
                <w:color w:val="auto"/>
                <w:sz w:val="24"/>
                <w:szCs w:val="24"/>
                <w:highlight w:val="none"/>
              </w:rPr>
            </w:pPr>
          </w:p>
        </w:tc>
      </w:tr>
      <w:tr w14:paraId="24129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838" w:type="dxa"/>
            <w:tcBorders>
              <w:tl2br w:val="nil"/>
              <w:tr2bl w:val="nil"/>
            </w:tcBorders>
            <w:vAlign w:val="center"/>
          </w:tcPr>
          <w:p w14:paraId="451BD1F4">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lang w:eastAsia="zh-CN"/>
              </w:rPr>
            </w:pPr>
            <w:r>
              <w:rPr>
                <w:rFonts w:hint="eastAsia" w:ascii="宋体" w:hAnsi="宋体" w:cs="宋体"/>
                <w:b/>
                <w:color w:val="auto"/>
                <w:sz w:val="24"/>
                <w:szCs w:val="24"/>
                <w:highlight w:val="none"/>
                <w:lang w:eastAsia="zh-CN"/>
              </w:rPr>
              <w:t>（一）</w:t>
            </w:r>
          </w:p>
        </w:tc>
        <w:tc>
          <w:tcPr>
            <w:tcW w:w="2133" w:type="dxa"/>
            <w:tcBorders>
              <w:tl2br w:val="nil"/>
              <w:tr2bl w:val="nil"/>
            </w:tcBorders>
            <w:vAlign w:val="center"/>
          </w:tcPr>
          <w:p w14:paraId="7405E25C">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rPr>
            </w:pPr>
            <w:r>
              <w:rPr>
                <w:rFonts w:hint="eastAsia" w:ascii="宋体" w:hAnsi="宋体" w:eastAsia="宋体" w:cs="宋体"/>
                <w:b/>
                <w:color w:val="auto"/>
                <w:sz w:val="24"/>
                <w:szCs w:val="24"/>
                <w:highlight w:val="none"/>
              </w:rPr>
              <w:t>施工组织设计</w:t>
            </w:r>
          </w:p>
        </w:tc>
        <w:tc>
          <w:tcPr>
            <w:tcW w:w="878" w:type="dxa"/>
            <w:tcBorders>
              <w:tl2br w:val="nil"/>
              <w:tr2bl w:val="nil"/>
            </w:tcBorders>
            <w:vAlign w:val="center"/>
          </w:tcPr>
          <w:p w14:paraId="454D3DE8">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cs="宋体"/>
                <w:b/>
                <w:color w:val="auto"/>
                <w:sz w:val="24"/>
                <w:szCs w:val="24"/>
                <w:highlight w:val="none"/>
                <w:lang w:val="en-US" w:eastAsia="zh-CN"/>
              </w:rPr>
              <w:t>50</w:t>
            </w:r>
            <w:r>
              <w:rPr>
                <w:rFonts w:hint="eastAsia" w:ascii="宋体" w:hAnsi="宋体" w:eastAsia="宋体" w:cs="宋体"/>
                <w:b/>
                <w:color w:val="auto"/>
                <w:sz w:val="24"/>
                <w:szCs w:val="24"/>
                <w:highlight w:val="none"/>
              </w:rPr>
              <w:t>分</w:t>
            </w:r>
          </w:p>
        </w:tc>
        <w:tc>
          <w:tcPr>
            <w:tcW w:w="6257" w:type="dxa"/>
            <w:tcBorders>
              <w:tl2br w:val="nil"/>
              <w:tr2bl w:val="nil"/>
            </w:tcBorders>
            <w:vAlign w:val="center"/>
          </w:tcPr>
          <w:p w14:paraId="6F59C765">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rPr>
            </w:pPr>
          </w:p>
        </w:tc>
      </w:tr>
      <w:tr w14:paraId="4A745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838" w:type="dxa"/>
            <w:tcBorders>
              <w:tl2br w:val="nil"/>
              <w:tr2bl w:val="nil"/>
            </w:tcBorders>
            <w:vAlign w:val="center"/>
          </w:tcPr>
          <w:p w14:paraId="781D099C">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color w:val="auto"/>
                <w:sz w:val="24"/>
                <w:szCs w:val="24"/>
                <w:highlight w:val="none"/>
              </w:rPr>
              <w:t>1</w:t>
            </w:r>
          </w:p>
        </w:tc>
        <w:tc>
          <w:tcPr>
            <w:tcW w:w="2133" w:type="dxa"/>
            <w:tcBorders>
              <w:tl2br w:val="nil"/>
              <w:tr2bl w:val="nil"/>
            </w:tcBorders>
            <w:vAlign w:val="center"/>
          </w:tcPr>
          <w:p w14:paraId="3781E42E">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val="0"/>
                <w:bCs/>
                <w:color w:val="auto"/>
                <w:sz w:val="24"/>
                <w:szCs w:val="24"/>
                <w:highlight w:val="none"/>
              </w:rPr>
            </w:pPr>
            <w:r>
              <w:rPr>
                <w:rFonts w:hint="eastAsia" w:ascii="宋体" w:hAnsi="宋体" w:eastAsia="宋体" w:cs="宋体"/>
                <w:color w:val="auto"/>
                <w:sz w:val="24"/>
                <w:szCs w:val="24"/>
                <w:highlight w:val="none"/>
              </w:rPr>
              <w:t>针对项目特点内容规范完整性和整体编制水平</w:t>
            </w:r>
          </w:p>
        </w:tc>
        <w:tc>
          <w:tcPr>
            <w:tcW w:w="878" w:type="dxa"/>
            <w:tcBorders>
              <w:tl2br w:val="nil"/>
              <w:tr2bl w:val="nil"/>
            </w:tcBorders>
            <w:vAlign w:val="center"/>
          </w:tcPr>
          <w:p w14:paraId="01BF0F7E">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hint="default" w:ascii="宋体" w:hAnsi="宋体" w:eastAsia="宋体" w:cs="宋体"/>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5</w:t>
            </w:r>
          </w:p>
        </w:tc>
        <w:tc>
          <w:tcPr>
            <w:tcW w:w="6257" w:type="dxa"/>
            <w:tcBorders>
              <w:tl2br w:val="nil"/>
              <w:tr2bl w:val="nil"/>
            </w:tcBorders>
            <w:vAlign w:val="top"/>
          </w:tcPr>
          <w:p w14:paraId="46C7AC90">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根据对工程整体有深刻认识，施工组织设计内容针对项目特点完整规范、表述清晰，具体可行和整体编制水平合理得</w:t>
            </w: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分</w:t>
            </w:r>
            <w:r>
              <w:rPr>
                <w:rFonts w:hint="eastAsia" w:ascii="宋体" w:hAnsi="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val="en-US" w:eastAsia="zh-CN"/>
              </w:rPr>
              <w:t>根据其合理性、详细性一般</w:t>
            </w:r>
            <w:r>
              <w:rPr>
                <w:rFonts w:hint="eastAsia" w:ascii="宋体" w:hAnsi="宋体" w:cs="宋体"/>
                <w:b w:val="0"/>
                <w:bCs/>
                <w:color w:val="auto"/>
                <w:sz w:val="24"/>
                <w:szCs w:val="24"/>
                <w:highlight w:val="none"/>
                <w:lang w:val="en-US" w:eastAsia="zh-CN"/>
              </w:rPr>
              <w:t>得3分；根据其合理性、详细性较差得1分；</w:t>
            </w:r>
            <w:r>
              <w:rPr>
                <w:rFonts w:hint="eastAsia" w:ascii="宋体" w:hAnsi="宋体" w:eastAsia="宋体" w:cs="宋体"/>
                <w:b w:val="0"/>
                <w:bCs/>
                <w:color w:val="auto"/>
                <w:sz w:val="24"/>
                <w:szCs w:val="24"/>
                <w:highlight w:val="none"/>
                <w:lang w:val="en-US" w:eastAsia="zh-CN"/>
              </w:rPr>
              <w:t>缺项不得分。</w:t>
            </w:r>
          </w:p>
        </w:tc>
      </w:tr>
      <w:tr w14:paraId="58D0E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838" w:type="dxa"/>
            <w:tcBorders>
              <w:tl2br w:val="nil"/>
              <w:tr2bl w:val="nil"/>
            </w:tcBorders>
            <w:vAlign w:val="center"/>
          </w:tcPr>
          <w:p w14:paraId="0D16D971">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color w:val="auto"/>
                <w:sz w:val="24"/>
                <w:szCs w:val="24"/>
                <w:highlight w:val="none"/>
              </w:rPr>
              <w:t>2</w:t>
            </w:r>
          </w:p>
        </w:tc>
        <w:tc>
          <w:tcPr>
            <w:tcW w:w="2133" w:type="dxa"/>
            <w:tcBorders>
              <w:tl2br w:val="nil"/>
              <w:tr2bl w:val="nil"/>
            </w:tcBorders>
            <w:vAlign w:val="center"/>
          </w:tcPr>
          <w:p w14:paraId="78A04364">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val="0"/>
                <w:bCs/>
                <w:color w:val="auto"/>
                <w:sz w:val="24"/>
                <w:szCs w:val="24"/>
                <w:highlight w:val="none"/>
              </w:rPr>
            </w:pPr>
            <w:r>
              <w:rPr>
                <w:rFonts w:hint="eastAsia" w:ascii="宋体" w:hAnsi="宋体" w:eastAsia="宋体" w:cs="宋体"/>
                <w:color w:val="auto"/>
                <w:sz w:val="24"/>
                <w:szCs w:val="24"/>
                <w:highlight w:val="none"/>
              </w:rPr>
              <w:t>施工方案与技术措施</w:t>
            </w:r>
          </w:p>
        </w:tc>
        <w:tc>
          <w:tcPr>
            <w:tcW w:w="878" w:type="dxa"/>
            <w:tcBorders>
              <w:tl2br w:val="nil"/>
              <w:tr2bl w:val="nil"/>
            </w:tcBorders>
            <w:vAlign w:val="center"/>
          </w:tcPr>
          <w:p w14:paraId="745279F3">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hint="eastAsia" w:ascii="宋体" w:hAnsi="宋体" w:eastAsia="宋体" w:cs="宋体"/>
                <w:b w:val="0"/>
                <w:bCs/>
                <w:color w:val="auto"/>
                <w:sz w:val="24"/>
                <w:szCs w:val="24"/>
                <w:highlight w:val="none"/>
              </w:rPr>
            </w:pPr>
            <w:r>
              <w:rPr>
                <w:rFonts w:hint="eastAsia" w:ascii="宋体" w:hAnsi="宋体" w:cs="宋体"/>
                <w:color w:val="auto"/>
                <w:sz w:val="24"/>
                <w:szCs w:val="24"/>
                <w:highlight w:val="none"/>
                <w:lang w:val="en-US" w:eastAsia="zh-CN"/>
              </w:rPr>
              <w:t>5</w:t>
            </w:r>
          </w:p>
        </w:tc>
        <w:tc>
          <w:tcPr>
            <w:tcW w:w="6257" w:type="dxa"/>
            <w:tcBorders>
              <w:tl2br w:val="nil"/>
              <w:tr2bl w:val="nil"/>
            </w:tcBorders>
            <w:vAlign w:val="top"/>
          </w:tcPr>
          <w:p w14:paraId="21A63544">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根据施工进度计划编排合理，可行、关键路线清晰准确和各阶段进度的保证措施可靠、内容齐全可行</w:t>
            </w:r>
            <w:r>
              <w:rPr>
                <w:rFonts w:hint="eastAsia" w:ascii="宋体" w:hAnsi="宋体" w:eastAsia="宋体" w:cs="宋体"/>
                <w:b w:val="0"/>
                <w:bCs/>
                <w:color w:val="auto"/>
                <w:sz w:val="24"/>
                <w:szCs w:val="24"/>
                <w:highlight w:val="none"/>
                <w:lang w:val="en-US" w:eastAsia="zh-CN"/>
              </w:rPr>
              <w:t>得</w:t>
            </w: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分</w:t>
            </w:r>
            <w:r>
              <w:rPr>
                <w:rFonts w:hint="eastAsia" w:ascii="宋体" w:hAnsi="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val="en-US" w:eastAsia="zh-CN"/>
              </w:rPr>
              <w:t>根据其合理性、详细性一般</w:t>
            </w:r>
            <w:r>
              <w:rPr>
                <w:rFonts w:hint="eastAsia" w:ascii="宋体" w:hAnsi="宋体" w:cs="宋体"/>
                <w:b w:val="0"/>
                <w:bCs/>
                <w:color w:val="auto"/>
                <w:sz w:val="24"/>
                <w:szCs w:val="24"/>
                <w:highlight w:val="none"/>
                <w:lang w:val="en-US" w:eastAsia="zh-CN"/>
              </w:rPr>
              <w:t>得3分；根据其合理性、详细性较差得1分；</w:t>
            </w:r>
            <w:r>
              <w:rPr>
                <w:rFonts w:hint="eastAsia" w:ascii="宋体" w:hAnsi="宋体" w:eastAsia="宋体" w:cs="宋体"/>
                <w:b w:val="0"/>
                <w:bCs/>
                <w:color w:val="auto"/>
                <w:sz w:val="24"/>
                <w:szCs w:val="24"/>
                <w:highlight w:val="none"/>
              </w:rPr>
              <w:t>缺项不得分。</w:t>
            </w:r>
          </w:p>
        </w:tc>
      </w:tr>
      <w:tr w14:paraId="2D1C8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838" w:type="dxa"/>
            <w:tcBorders>
              <w:tl2br w:val="nil"/>
              <w:tr2bl w:val="nil"/>
            </w:tcBorders>
            <w:vAlign w:val="center"/>
          </w:tcPr>
          <w:p w14:paraId="1958CF63">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color w:val="auto"/>
                <w:sz w:val="24"/>
                <w:szCs w:val="24"/>
                <w:highlight w:val="none"/>
              </w:rPr>
              <w:t>3</w:t>
            </w:r>
          </w:p>
        </w:tc>
        <w:tc>
          <w:tcPr>
            <w:tcW w:w="2133" w:type="dxa"/>
            <w:tcBorders>
              <w:tl2br w:val="nil"/>
              <w:tr2bl w:val="nil"/>
            </w:tcBorders>
            <w:vAlign w:val="center"/>
          </w:tcPr>
          <w:p w14:paraId="3CC1D9EE">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val="0"/>
                <w:bCs/>
                <w:color w:val="auto"/>
                <w:sz w:val="24"/>
                <w:szCs w:val="24"/>
                <w:highlight w:val="none"/>
              </w:rPr>
            </w:pPr>
            <w:r>
              <w:rPr>
                <w:rFonts w:hint="eastAsia" w:ascii="宋体" w:hAnsi="宋体" w:eastAsia="宋体" w:cs="宋体"/>
                <w:color w:val="auto"/>
                <w:sz w:val="24"/>
                <w:szCs w:val="24"/>
                <w:highlight w:val="none"/>
              </w:rPr>
              <w:t>质量管理体系与措施</w:t>
            </w:r>
          </w:p>
        </w:tc>
        <w:tc>
          <w:tcPr>
            <w:tcW w:w="878" w:type="dxa"/>
            <w:tcBorders>
              <w:tl2br w:val="nil"/>
              <w:tr2bl w:val="nil"/>
            </w:tcBorders>
            <w:vAlign w:val="center"/>
          </w:tcPr>
          <w:p w14:paraId="280DE077">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hint="eastAsia" w:ascii="宋体" w:hAnsi="宋体" w:eastAsia="宋体" w:cs="宋体"/>
                <w:b w:val="0"/>
                <w:bCs/>
                <w:color w:val="auto"/>
                <w:sz w:val="24"/>
                <w:szCs w:val="24"/>
                <w:highlight w:val="none"/>
              </w:rPr>
            </w:pPr>
            <w:r>
              <w:rPr>
                <w:rFonts w:hint="eastAsia" w:ascii="宋体" w:hAnsi="宋体" w:cs="宋体"/>
                <w:b w:val="0"/>
                <w:bCs/>
                <w:color w:val="auto"/>
                <w:sz w:val="24"/>
                <w:szCs w:val="24"/>
                <w:highlight w:val="none"/>
                <w:lang w:val="en-US" w:eastAsia="zh-CN"/>
              </w:rPr>
              <w:t>5</w:t>
            </w:r>
          </w:p>
        </w:tc>
        <w:tc>
          <w:tcPr>
            <w:tcW w:w="6257" w:type="dxa"/>
            <w:tcBorders>
              <w:tl2br w:val="nil"/>
              <w:tr2bl w:val="nil"/>
            </w:tcBorders>
            <w:vAlign w:val="top"/>
          </w:tcPr>
          <w:p w14:paraId="0D3ABA65">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color w:val="auto"/>
                <w:sz w:val="24"/>
                <w:szCs w:val="24"/>
                <w:highlight w:val="none"/>
              </w:rPr>
              <w:t>根据体系完整、内容齐全、安排合理、针对项目特点措施先进可行、通病治理措施具体可靠</w:t>
            </w:r>
            <w:r>
              <w:rPr>
                <w:rFonts w:hint="eastAsia" w:ascii="宋体" w:hAnsi="宋体" w:eastAsia="宋体" w:cs="宋体"/>
                <w:b w:val="0"/>
                <w:bCs/>
                <w:color w:val="auto"/>
                <w:sz w:val="24"/>
                <w:szCs w:val="24"/>
                <w:highlight w:val="none"/>
                <w:lang w:val="en-US" w:eastAsia="zh-CN"/>
              </w:rPr>
              <w:t>得</w:t>
            </w: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分</w:t>
            </w:r>
            <w:r>
              <w:rPr>
                <w:rFonts w:hint="eastAsia" w:ascii="宋体" w:hAnsi="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val="en-US" w:eastAsia="zh-CN"/>
              </w:rPr>
              <w:t>根据其合理性、详细性一般</w:t>
            </w:r>
            <w:r>
              <w:rPr>
                <w:rFonts w:hint="eastAsia" w:ascii="宋体" w:hAnsi="宋体" w:cs="宋体"/>
                <w:b w:val="0"/>
                <w:bCs/>
                <w:color w:val="auto"/>
                <w:sz w:val="24"/>
                <w:szCs w:val="24"/>
                <w:highlight w:val="none"/>
                <w:lang w:val="en-US" w:eastAsia="zh-CN"/>
              </w:rPr>
              <w:t>得3分；根据其合理性、详细性较差得1分；</w:t>
            </w:r>
            <w:r>
              <w:rPr>
                <w:rFonts w:hint="eastAsia" w:ascii="宋体" w:hAnsi="宋体" w:eastAsia="宋体" w:cs="宋体"/>
                <w:color w:val="auto"/>
                <w:sz w:val="24"/>
                <w:szCs w:val="24"/>
                <w:highlight w:val="none"/>
              </w:rPr>
              <w:t>缺项不得分。</w:t>
            </w:r>
          </w:p>
        </w:tc>
      </w:tr>
      <w:tr w14:paraId="5CD6F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838" w:type="dxa"/>
            <w:tcBorders>
              <w:tl2br w:val="nil"/>
              <w:tr2bl w:val="nil"/>
            </w:tcBorders>
            <w:vAlign w:val="center"/>
          </w:tcPr>
          <w:p w14:paraId="10F8FE72">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color w:val="auto"/>
                <w:sz w:val="24"/>
                <w:szCs w:val="24"/>
                <w:highlight w:val="none"/>
              </w:rPr>
              <w:t>4</w:t>
            </w:r>
          </w:p>
        </w:tc>
        <w:tc>
          <w:tcPr>
            <w:tcW w:w="2133" w:type="dxa"/>
            <w:tcBorders>
              <w:tl2br w:val="nil"/>
              <w:tr2bl w:val="nil"/>
            </w:tcBorders>
            <w:vAlign w:val="center"/>
          </w:tcPr>
          <w:p w14:paraId="234DBC4D">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val="0"/>
                <w:bCs/>
                <w:color w:val="auto"/>
                <w:sz w:val="24"/>
                <w:szCs w:val="24"/>
                <w:highlight w:val="none"/>
              </w:rPr>
            </w:pPr>
            <w:r>
              <w:rPr>
                <w:rFonts w:hint="eastAsia" w:ascii="宋体" w:hAnsi="宋体" w:eastAsia="宋体" w:cs="宋体"/>
                <w:color w:val="auto"/>
                <w:sz w:val="24"/>
                <w:szCs w:val="24"/>
                <w:highlight w:val="none"/>
              </w:rPr>
              <w:t>安全管理体系与措施</w:t>
            </w:r>
          </w:p>
        </w:tc>
        <w:tc>
          <w:tcPr>
            <w:tcW w:w="878" w:type="dxa"/>
            <w:tcBorders>
              <w:tl2br w:val="nil"/>
              <w:tr2bl w:val="nil"/>
            </w:tcBorders>
            <w:vAlign w:val="center"/>
          </w:tcPr>
          <w:p w14:paraId="41B6F771">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hint="eastAsia" w:ascii="宋体" w:hAnsi="宋体" w:eastAsia="宋体" w:cs="宋体"/>
                <w:b w:val="0"/>
                <w:bCs/>
                <w:color w:val="auto"/>
                <w:kern w:val="0"/>
                <w:sz w:val="24"/>
                <w:szCs w:val="24"/>
                <w:highlight w:val="none"/>
              </w:rPr>
            </w:pPr>
            <w:r>
              <w:rPr>
                <w:rFonts w:hint="eastAsia" w:ascii="宋体" w:hAnsi="宋体" w:cs="宋体"/>
                <w:b w:val="0"/>
                <w:bCs/>
                <w:color w:val="auto"/>
                <w:sz w:val="24"/>
                <w:szCs w:val="24"/>
                <w:highlight w:val="none"/>
                <w:lang w:val="en-US" w:eastAsia="zh-CN"/>
              </w:rPr>
              <w:t>5</w:t>
            </w:r>
          </w:p>
        </w:tc>
        <w:tc>
          <w:tcPr>
            <w:tcW w:w="6257" w:type="dxa"/>
            <w:tcBorders>
              <w:tl2br w:val="nil"/>
              <w:tr2bl w:val="nil"/>
            </w:tcBorders>
            <w:vAlign w:val="top"/>
          </w:tcPr>
          <w:p w14:paraId="23564B46">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根据体系完整、内容齐全、安排恰当、措施针对项目实际情况规范具体完整、应急救援预案可行得</w:t>
            </w: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分</w:t>
            </w:r>
            <w:r>
              <w:rPr>
                <w:rFonts w:hint="eastAsia" w:ascii="宋体" w:hAnsi="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val="en-US" w:eastAsia="zh-CN"/>
              </w:rPr>
              <w:t>根据其合理性、详细性一般</w:t>
            </w:r>
            <w:r>
              <w:rPr>
                <w:rFonts w:hint="eastAsia" w:ascii="宋体" w:hAnsi="宋体" w:cs="宋体"/>
                <w:b w:val="0"/>
                <w:bCs/>
                <w:color w:val="auto"/>
                <w:sz w:val="24"/>
                <w:szCs w:val="24"/>
                <w:highlight w:val="none"/>
                <w:lang w:val="en-US" w:eastAsia="zh-CN"/>
              </w:rPr>
              <w:t>得3分；根据其合理性、详细性较差得1分；</w:t>
            </w:r>
            <w:r>
              <w:rPr>
                <w:rFonts w:hint="eastAsia" w:ascii="宋体" w:hAnsi="宋体" w:eastAsia="宋体" w:cs="宋体"/>
                <w:b w:val="0"/>
                <w:bCs/>
                <w:color w:val="auto"/>
                <w:sz w:val="24"/>
                <w:szCs w:val="24"/>
                <w:highlight w:val="none"/>
                <w:lang w:val="en-US" w:eastAsia="zh-CN"/>
              </w:rPr>
              <w:t>缺项不得分。</w:t>
            </w:r>
          </w:p>
        </w:tc>
      </w:tr>
      <w:tr w14:paraId="103E7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838" w:type="dxa"/>
            <w:tcBorders>
              <w:tl2br w:val="nil"/>
              <w:tr2bl w:val="nil"/>
            </w:tcBorders>
            <w:vAlign w:val="center"/>
          </w:tcPr>
          <w:p w14:paraId="141FD26D">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color w:val="auto"/>
                <w:sz w:val="24"/>
                <w:szCs w:val="24"/>
                <w:highlight w:val="none"/>
              </w:rPr>
              <w:t>5</w:t>
            </w:r>
          </w:p>
        </w:tc>
        <w:tc>
          <w:tcPr>
            <w:tcW w:w="2133" w:type="dxa"/>
            <w:tcBorders>
              <w:tl2br w:val="nil"/>
              <w:tr2bl w:val="nil"/>
            </w:tcBorders>
            <w:vAlign w:val="center"/>
          </w:tcPr>
          <w:p w14:paraId="7DC2703C">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val="0"/>
                <w:bCs/>
                <w:color w:val="auto"/>
                <w:sz w:val="24"/>
                <w:szCs w:val="24"/>
                <w:highlight w:val="none"/>
              </w:rPr>
            </w:pPr>
            <w:r>
              <w:rPr>
                <w:rFonts w:hint="eastAsia" w:ascii="宋体" w:hAnsi="宋体" w:eastAsia="宋体" w:cs="宋体"/>
                <w:color w:val="auto"/>
                <w:sz w:val="24"/>
                <w:szCs w:val="24"/>
                <w:highlight w:val="none"/>
              </w:rPr>
              <w:t>工程进度计划与措施</w:t>
            </w:r>
          </w:p>
        </w:tc>
        <w:tc>
          <w:tcPr>
            <w:tcW w:w="878" w:type="dxa"/>
            <w:tcBorders>
              <w:tl2br w:val="nil"/>
              <w:tr2bl w:val="nil"/>
            </w:tcBorders>
            <w:vAlign w:val="center"/>
          </w:tcPr>
          <w:p w14:paraId="3AE1F4C3">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hint="eastAsia" w:ascii="宋体" w:hAnsi="宋体" w:eastAsia="宋体" w:cs="宋体"/>
                <w:b w:val="0"/>
                <w:bCs/>
                <w:color w:val="auto"/>
                <w:kern w:val="0"/>
                <w:sz w:val="24"/>
                <w:szCs w:val="24"/>
                <w:highlight w:val="none"/>
              </w:rPr>
            </w:pPr>
            <w:r>
              <w:rPr>
                <w:rFonts w:hint="eastAsia" w:ascii="宋体" w:hAnsi="宋体" w:cs="宋体"/>
                <w:b w:val="0"/>
                <w:bCs/>
                <w:color w:val="auto"/>
                <w:sz w:val="24"/>
                <w:szCs w:val="24"/>
                <w:highlight w:val="none"/>
                <w:lang w:val="en-US" w:eastAsia="zh-CN"/>
              </w:rPr>
              <w:t>5</w:t>
            </w:r>
          </w:p>
        </w:tc>
        <w:tc>
          <w:tcPr>
            <w:tcW w:w="6257" w:type="dxa"/>
            <w:tcBorders>
              <w:tl2br w:val="nil"/>
              <w:tr2bl w:val="nil"/>
            </w:tcBorders>
            <w:vAlign w:val="center"/>
          </w:tcPr>
          <w:p w14:paraId="0BCE6CCC">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根据体系完整、内容齐全、安排恰当、措施可行程度合理得</w:t>
            </w: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分</w:t>
            </w:r>
            <w:r>
              <w:rPr>
                <w:rFonts w:hint="eastAsia" w:ascii="宋体" w:hAnsi="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val="en-US" w:eastAsia="zh-CN"/>
              </w:rPr>
              <w:t>根据其合理性、详细性一般</w:t>
            </w:r>
            <w:r>
              <w:rPr>
                <w:rFonts w:hint="eastAsia" w:ascii="宋体" w:hAnsi="宋体" w:cs="宋体"/>
                <w:b w:val="0"/>
                <w:bCs/>
                <w:color w:val="auto"/>
                <w:sz w:val="24"/>
                <w:szCs w:val="24"/>
                <w:highlight w:val="none"/>
                <w:lang w:val="en-US" w:eastAsia="zh-CN"/>
              </w:rPr>
              <w:t>得3分；根据其合理性、详细性较差得1分；</w:t>
            </w:r>
            <w:r>
              <w:rPr>
                <w:rFonts w:hint="eastAsia" w:ascii="宋体" w:hAnsi="宋体" w:eastAsia="宋体" w:cs="宋体"/>
                <w:b w:val="0"/>
                <w:bCs/>
                <w:color w:val="auto"/>
                <w:sz w:val="24"/>
                <w:szCs w:val="24"/>
                <w:highlight w:val="none"/>
                <w:lang w:val="en-US" w:eastAsia="zh-CN"/>
              </w:rPr>
              <w:t>缺项不得分。</w:t>
            </w:r>
          </w:p>
        </w:tc>
      </w:tr>
      <w:tr w14:paraId="7DB7B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838" w:type="dxa"/>
            <w:tcBorders>
              <w:tl2br w:val="nil"/>
              <w:tr2bl w:val="nil"/>
            </w:tcBorders>
            <w:vAlign w:val="center"/>
          </w:tcPr>
          <w:p w14:paraId="6AF8E01B">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color w:val="auto"/>
                <w:sz w:val="24"/>
                <w:szCs w:val="24"/>
                <w:highlight w:val="none"/>
              </w:rPr>
              <w:t>6</w:t>
            </w:r>
          </w:p>
        </w:tc>
        <w:tc>
          <w:tcPr>
            <w:tcW w:w="2133" w:type="dxa"/>
            <w:tcBorders>
              <w:tl2br w:val="nil"/>
              <w:tr2bl w:val="nil"/>
            </w:tcBorders>
            <w:vAlign w:val="center"/>
          </w:tcPr>
          <w:p w14:paraId="1324AA35">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val="0"/>
                <w:bCs/>
                <w:color w:val="auto"/>
                <w:sz w:val="24"/>
                <w:szCs w:val="24"/>
                <w:highlight w:val="none"/>
              </w:rPr>
            </w:pPr>
            <w:r>
              <w:rPr>
                <w:rFonts w:hint="eastAsia" w:ascii="宋体" w:hAnsi="宋体" w:eastAsia="宋体" w:cs="宋体"/>
                <w:color w:val="auto"/>
                <w:sz w:val="24"/>
                <w:szCs w:val="24"/>
                <w:highlight w:val="none"/>
              </w:rPr>
              <w:t>环保管理体系与措施</w:t>
            </w:r>
          </w:p>
        </w:tc>
        <w:tc>
          <w:tcPr>
            <w:tcW w:w="878" w:type="dxa"/>
            <w:tcBorders>
              <w:tl2br w:val="nil"/>
              <w:tr2bl w:val="nil"/>
            </w:tcBorders>
            <w:vAlign w:val="center"/>
          </w:tcPr>
          <w:p w14:paraId="03A75BC8">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hint="eastAsia" w:ascii="宋体" w:hAnsi="宋体" w:eastAsia="宋体" w:cs="宋体"/>
                <w:b w:val="0"/>
                <w:bCs/>
                <w:color w:val="auto"/>
                <w:kern w:val="0"/>
                <w:sz w:val="24"/>
                <w:szCs w:val="24"/>
                <w:highlight w:val="none"/>
              </w:rPr>
            </w:pPr>
            <w:r>
              <w:rPr>
                <w:rFonts w:hint="eastAsia" w:ascii="宋体" w:hAnsi="宋体" w:cs="宋体"/>
                <w:b w:val="0"/>
                <w:bCs/>
                <w:color w:val="auto"/>
                <w:sz w:val="24"/>
                <w:szCs w:val="24"/>
                <w:highlight w:val="none"/>
                <w:lang w:val="en-US" w:eastAsia="zh-CN"/>
              </w:rPr>
              <w:t>5</w:t>
            </w:r>
          </w:p>
        </w:tc>
        <w:tc>
          <w:tcPr>
            <w:tcW w:w="6257" w:type="dxa"/>
            <w:tcBorders>
              <w:tl2br w:val="nil"/>
              <w:tr2bl w:val="nil"/>
            </w:tcBorders>
            <w:vAlign w:val="top"/>
          </w:tcPr>
          <w:p w14:paraId="718A2994">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根据体系完整、内容齐全、安排恰当、针对项目实际情况措施可行程度合理得</w:t>
            </w: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分</w:t>
            </w:r>
            <w:r>
              <w:rPr>
                <w:rFonts w:hint="eastAsia" w:ascii="宋体" w:hAnsi="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val="en-US" w:eastAsia="zh-CN"/>
              </w:rPr>
              <w:t>根据其合理性、详细性一般</w:t>
            </w:r>
            <w:r>
              <w:rPr>
                <w:rFonts w:hint="eastAsia" w:ascii="宋体" w:hAnsi="宋体" w:cs="宋体"/>
                <w:b w:val="0"/>
                <w:bCs/>
                <w:color w:val="auto"/>
                <w:sz w:val="24"/>
                <w:szCs w:val="24"/>
                <w:highlight w:val="none"/>
                <w:lang w:val="en-US" w:eastAsia="zh-CN"/>
              </w:rPr>
              <w:t>得3分；根据其合理性、详细性较差得1分；</w:t>
            </w:r>
            <w:r>
              <w:rPr>
                <w:rFonts w:hint="eastAsia" w:ascii="宋体" w:hAnsi="宋体" w:eastAsia="宋体" w:cs="宋体"/>
                <w:b w:val="0"/>
                <w:bCs/>
                <w:color w:val="auto"/>
                <w:sz w:val="24"/>
                <w:szCs w:val="24"/>
                <w:highlight w:val="none"/>
                <w:lang w:val="en-US" w:eastAsia="zh-CN"/>
              </w:rPr>
              <w:t>缺项不得分。</w:t>
            </w:r>
          </w:p>
        </w:tc>
      </w:tr>
      <w:tr w14:paraId="4D0D3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tcBorders>
              <w:tl2br w:val="nil"/>
              <w:tr2bl w:val="nil"/>
            </w:tcBorders>
            <w:vAlign w:val="center"/>
          </w:tcPr>
          <w:p w14:paraId="7AB93395">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color w:val="auto"/>
                <w:sz w:val="24"/>
                <w:szCs w:val="24"/>
                <w:highlight w:val="none"/>
              </w:rPr>
              <w:t>7</w:t>
            </w:r>
          </w:p>
        </w:tc>
        <w:tc>
          <w:tcPr>
            <w:tcW w:w="2133" w:type="dxa"/>
            <w:tcBorders>
              <w:tl2br w:val="nil"/>
              <w:tr2bl w:val="nil"/>
            </w:tcBorders>
            <w:vAlign w:val="center"/>
          </w:tcPr>
          <w:p w14:paraId="58710592">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val="0"/>
                <w:bCs/>
                <w:color w:val="auto"/>
                <w:sz w:val="24"/>
                <w:szCs w:val="24"/>
                <w:highlight w:val="none"/>
              </w:rPr>
            </w:pPr>
            <w:r>
              <w:rPr>
                <w:rFonts w:hint="eastAsia" w:ascii="宋体" w:hAnsi="宋体" w:eastAsia="宋体" w:cs="宋体"/>
                <w:color w:val="auto"/>
                <w:sz w:val="24"/>
                <w:szCs w:val="24"/>
                <w:highlight w:val="none"/>
              </w:rPr>
              <w:t>文明管理体系与措施</w:t>
            </w:r>
          </w:p>
        </w:tc>
        <w:tc>
          <w:tcPr>
            <w:tcW w:w="878" w:type="dxa"/>
            <w:tcBorders>
              <w:tl2br w:val="nil"/>
              <w:tr2bl w:val="nil"/>
            </w:tcBorders>
            <w:vAlign w:val="center"/>
          </w:tcPr>
          <w:p w14:paraId="3D283A98">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hint="eastAsia" w:ascii="宋体" w:hAnsi="宋体" w:eastAsia="宋体" w:cs="宋体"/>
                <w:b w:val="0"/>
                <w:bCs/>
                <w:color w:val="auto"/>
                <w:kern w:val="0"/>
                <w:sz w:val="24"/>
                <w:szCs w:val="24"/>
                <w:highlight w:val="none"/>
              </w:rPr>
            </w:pPr>
            <w:r>
              <w:rPr>
                <w:rFonts w:hint="eastAsia" w:ascii="宋体" w:hAnsi="宋体" w:cs="宋体"/>
                <w:b w:val="0"/>
                <w:bCs/>
                <w:color w:val="auto"/>
                <w:sz w:val="24"/>
                <w:szCs w:val="24"/>
                <w:highlight w:val="none"/>
                <w:lang w:val="en-US" w:eastAsia="zh-CN"/>
              </w:rPr>
              <w:t>5</w:t>
            </w:r>
          </w:p>
        </w:tc>
        <w:tc>
          <w:tcPr>
            <w:tcW w:w="6257" w:type="dxa"/>
            <w:tcBorders>
              <w:tl2br w:val="nil"/>
              <w:tr2bl w:val="nil"/>
            </w:tcBorders>
            <w:vAlign w:val="top"/>
          </w:tcPr>
          <w:p w14:paraId="6426AD39">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根据内容齐全、安排合理、投入计划与进度计划相呼应、措施可行程度合理得</w:t>
            </w: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分</w:t>
            </w:r>
            <w:r>
              <w:rPr>
                <w:rFonts w:hint="eastAsia" w:ascii="宋体" w:hAnsi="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val="en-US" w:eastAsia="zh-CN"/>
              </w:rPr>
              <w:t>根据其合理性、详细性一般</w:t>
            </w:r>
            <w:r>
              <w:rPr>
                <w:rFonts w:hint="eastAsia" w:ascii="宋体" w:hAnsi="宋体" w:cs="宋体"/>
                <w:b w:val="0"/>
                <w:bCs/>
                <w:color w:val="auto"/>
                <w:sz w:val="24"/>
                <w:szCs w:val="24"/>
                <w:highlight w:val="none"/>
                <w:lang w:val="en-US" w:eastAsia="zh-CN"/>
              </w:rPr>
              <w:t>得3分；根据其合理性、详细性较差得1分；</w:t>
            </w:r>
            <w:r>
              <w:rPr>
                <w:rFonts w:hint="eastAsia" w:ascii="宋体" w:hAnsi="宋体" w:eastAsia="宋体" w:cs="宋体"/>
                <w:b w:val="0"/>
                <w:bCs/>
                <w:color w:val="auto"/>
                <w:sz w:val="24"/>
                <w:szCs w:val="24"/>
                <w:highlight w:val="none"/>
                <w:lang w:val="en-US" w:eastAsia="zh-CN"/>
              </w:rPr>
              <w:t>缺项不得分。</w:t>
            </w:r>
          </w:p>
        </w:tc>
      </w:tr>
      <w:tr w14:paraId="1D3AB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838" w:type="dxa"/>
            <w:tcBorders>
              <w:tl2br w:val="nil"/>
              <w:tr2bl w:val="nil"/>
            </w:tcBorders>
            <w:vAlign w:val="center"/>
          </w:tcPr>
          <w:p w14:paraId="77548E0C">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color w:val="auto"/>
                <w:sz w:val="24"/>
                <w:szCs w:val="24"/>
                <w:highlight w:val="none"/>
              </w:rPr>
              <w:t>8</w:t>
            </w:r>
          </w:p>
        </w:tc>
        <w:tc>
          <w:tcPr>
            <w:tcW w:w="2133" w:type="dxa"/>
            <w:tcBorders>
              <w:tl2br w:val="nil"/>
              <w:tr2bl w:val="nil"/>
            </w:tcBorders>
            <w:vAlign w:val="center"/>
          </w:tcPr>
          <w:p w14:paraId="4A8002AF">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val="0"/>
                <w:bCs/>
                <w:color w:val="auto"/>
                <w:sz w:val="24"/>
                <w:szCs w:val="24"/>
                <w:highlight w:val="none"/>
              </w:rPr>
            </w:pPr>
            <w:r>
              <w:rPr>
                <w:rFonts w:hint="eastAsia" w:ascii="宋体" w:hAnsi="宋体" w:eastAsia="宋体" w:cs="宋体"/>
                <w:color w:val="auto"/>
                <w:sz w:val="24"/>
                <w:szCs w:val="24"/>
                <w:highlight w:val="none"/>
              </w:rPr>
              <w:t>施工管理及措施</w:t>
            </w:r>
          </w:p>
        </w:tc>
        <w:tc>
          <w:tcPr>
            <w:tcW w:w="878" w:type="dxa"/>
            <w:tcBorders>
              <w:tl2br w:val="nil"/>
              <w:tr2bl w:val="nil"/>
            </w:tcBorders>
            <w:vAlign w:val="center"/>
          </w:tcPr>
          <w:p w14:paraId="6F866C56">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hint="eastAsia" w:ascii="宋体" w:hAnsi="宋体" w:eastAsia="宋体" w:cs="宋体"/>
                <w:b w:val="0"/>
                <w:bCs/>
                <w:color w:val="auto"/>
                <w:kern w:val="0"/>
                <w:sz w:val="24"/>
                <w:szCs w:val="24"/>
                <w:highlight w:val="none"/>
              </w:rPr>
            </w:pPr>
            <w:r>
              <w:rPr>
                <w:rFonts w:hint="eastAsia" w:ascii="宋体" w:hAnsi="宋体" w:cs="宋体"/>
                <w:b w:val="0"/>
                <w:bCs/>
                <w:color w:val="auto"/>
                <w:sz w:val="24"/>
                <w:szCs w:val="24"/>
                <w:highlight w:val="none"/>
                <w:lang w:val="en-US" w:eastAsia="zh-CN"/>
              </w:rPr>
              <w:t>5</w:t>
            </w:r>
          </w:p>
        </w:tc>
        <w:tc>
          <w:tcPr>
            <w:tcW w:w="6257" w:type="dxa"/>
            <w:tcBorders>
              <w:tl2br w:val="nil"/>
              <w:tr2bl w:val="nil"/>
            </w:tcBorders>
            <w:vAlign w:val="top"/>
          </w:tcPr>
          <w:p w14:paraId="13DC27A1">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根据对本工程项目管理的认识，内容齐全、有针对性、对工程现场管理安排合理、符合安全文明生产要求、对工程管理的配合、协调、服务措施可行程度合理得</w:t>
            </w: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分</w:t>
            </w:r>
            <w:r>
              <w:rPr>
                <w:rFonts w:hint="eastAsia" w:ascii="宋体" w:hAnsi="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val="en-US" w:eastAsia="zh-CN"/>
              </w:rPr>
              <w:t>根据其合理性、详细性一般</w:t>
            </w:r>
            <w:r>
              <w:rPr>
                <w:rFonts w:hint="eastAsia" w:ascii="宋体" w:hAnsi="宋体" w:cs="宋体"/>
                <w:b w:val="0"/>
                <w:bCs/>
                <w:color w:val="auto"/>
                <w:sz w:val="24"/>
                <w:szCs w:val="24"/>
                <w:highlight w:val="none"/>
                <w:lang w:val="en-US" w:eastAsia="zh-CN"/>
              </w:rPr>
              <w:t>得3分；根据其合理性、详细性较差得1分；</w:t>
            </w:r>
            <w:r>
              <w:rPr>
                <w:rFonts w:hint="eastAsia" w:ascii="宋体" w:hAnsi="宋体" w:eastAsia="宋体" w:cs="宋体"/>
                <w:b w:val="0"/>
                <w:bCs/>
                <w:color w:val="auto"/>
                <w:sz w:val="24"/>
                <w:szCs w:val="24"/>
                <w:highlight w:val="none"/>
                <w:lang w:val="en-US" w:eastAsia="zh-CN"/>
              </w:rPr>
              <w:t>缺项不得分。</w:t>
            </w:r>
          </w:p>
        </w:tc>
      </w:tr>
      <w:tr w14:paraId="55DE3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838" w:type="dxa"/>
            <w:tcBorders>
              <w:tl2br w:val="nil"/>
              <w:tr2bl w:val="nil"/>
            </w:tcBorders>
            <w:vAlign w:val="center"/>
          </w:tcPr>
          <w:p w14:paraId="115D140E">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color w:val="auto"/>
                <w:sz w:val="24"/>
                <w:szCs w:val="24"/>
                <w:highlight w:val="none"/>
              </w:rPr>
              <w:t>9</w:t>
            </w:r>
          </w:p>
        </w:tc>
        <w:tc>
          <w:tcPr>
            <w:tcW w:w="2133" w:type="dxa"/>
            <w:tcBorders>
              <w:tl2br w:val="nil"/>
              <w:tr2bl w:val="nil"/>
            </w:tcBorders>
            <w:vAlign w:val="center"/>
          </w:tcPr>
          <w:p w14:paraId="3B068106">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val="0"/>
                <w:bCs/>
                <w:color w:val="auto"/>
                <w:sz w:val="24"/>
                <w:szCs w:val="24"/>
                <w:highlight w:val="none"/>
              </w:rPr>
            </w:pPr>
            <w:r>
              <w:rPr>
                <w:rFonts w:hint="eastAsia" w:ascii="宋体" w:hAnsi="宋体" w:eastAsia="宋体" w:cs="宋体"/>
                <w:color w:val="auto"/>
                <w:sz w:val="24"/>
                <w:szCs w:val="24"/>
                <w:highlight w:val="none"/>
              </w:rPr>
              <w:t>资源配备计划及措施</w:t>
            </w:r>
          </w:p>
        </w:tc>
        <w:tc>
          <w:tcPr>
            <w:tcW w:w="878" w:type="dxa"/>
            <w:tcBorders>
              <w:tl2br w:val="nil"/>
              <w:tr2bl w:val="nil"/>
            </w:tcBorders>
            <w:vAlign w:val="center"/>
          </w:tcPr>
          <w:p w14:paraId="656AA638">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hint="eastAsia" w:ascii="宋体" w:hAnsi="宋体" w:eastAsia="宋体" w:cs="宋体"/>
                <w:b w:val="0"/>
                <w:bCs/>
                <w:color w:val="auto"/>
                <w:kern w:val="0"/>
                <w:sz w:val="24"/>
                <w:szCs w:val="24"/>
                <w:highlight w:val="none"/>
              </w:rPr>
            </w:pPr>
            <w:r>
              <w:rPr>
                <w:rFonts w:hint="eastAsia" w:ascii="宋体" w:hAnsi="宋体" w:cs="宋体"/>
                <w:b w:val="0"/>
                <w:bCs/>
                <w:color w:val="auto"/>
                <w:sz w:val="24"/>
                <w:szCs w:val="24"/>
                <w:highlight w:val="none"/>
                <w:lang w:val="en-US" w:eastAsia="zh-CN"/>
              </w:rPr>
              <w:t>5</w:t>
            </w:r>
          </w:p>
        </w:tc>
        <w:tc>
          <w:tcPr>
            <w:tcW w:w="6257" w:type="dxa"/>
            <w:tcBorders>
              <w:tl2br w:val="nil"/>
              <w:tr2bl w:val="nil"/>
            </w:tcBorders>
            <w:vAlign w:val="center"/>
          </w:tcPr>
          <w:p w14:paraId="4F5EBD19">
            <w:pPr>
              <w:keepNext w:val="0"/>
              <w:keepLines w:val="0"/>
              <w:pageBreakBefore w:val="0"/>
              <w:widowControl w:val="0"/>
              <w:kinsoku/>
              <w:wordWrap/>
              <w:overflowPunct/>
              <w:topLinePunct w:val="0"/>
              <w:autoSpaceDE/>
              <w:autoSpaceDN/>
              <w:bidi w:val="0"/>
              <w:adjustRightInd/>
              <w:spacing w:line="360" w:lineRule="auto"/>
              <w:ind w:left="0" w:leftChars="0" w:right="0" w:rightChars="0"/>
              <w:jc w:val="both"/>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根据针对工程特点内容齐全、安排合理、对施工关键部位分析到位等合理得</w:t>
            </w: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分</w:t>
            </w:r>
            <w:r>
              <w:rPr>
                <w:rFonts w:hint="eastAsia" w:ascii="宋体" w:hAnsi="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val="en-US" w:eastAsia="zh-CN"/>
              </w:rPr>
              <w:t>根据其合理性、详细性一般</w:t>
            </w:r>
            <w:r>
              <w:rPr>
                <w:rFonts w:hint="eastAsia" w:ascii="宋体" w:hAnsi="宋体" w:cs="宋体"/>
                <w:b w:val="0"/>
                <w:bCs/>
                <w:color w:val="auto"/>
                <w:sz w:val="24"/>
                <w:szCs w:val="24"/>
                <w:highlight w:val="none"/>
                <w:lang w:val="en-US" w:eastAsia="zh-CN"/>
              </w:rPr>
              <w:t>得3分；根据其合理性、详细性较差得1分；</w:t>
            </w:r>
            <w:r>
              <w:rPr>
                <w:rFonts w:hint="eastAsia" w:ascii="宋体" w:hAnsi="宋体" w:eastAsia="宋体" w:cs="宋体"/>
                <w:b w:val="0"/>
                <w:bCs/>
                <w:color w:val="auto"/>
                <w:sz w:val="24"/>
                <w:szCs w:val="24"/>
                <w:highlight w:val="none"/>
                <w:lang w:val="en-US" w:eastAsia="zh-CN"/>
              </w:rPr>
              <w:t>缺项不得分。</w:t>
            </w:r>
          </w:p>
        </w:tc>
      </w:tr>
      <w:tr w14:paraId="09C04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838" w:type="dxa"/>
            <w:tcBorders>
              <w:tl2br w:val="nil"/>
              <w:tr2bl w:val="nil"/>
            </w:tcBorders>
            <w:vAlign w:val="center"/>
          </w:tcPr>
          <w:p w14:paraId="5632AE09">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2133" w:type="dxa"/>
            <w:tcBorders>
              <w:tl2br w:val="nil"/>
              <w:tr2bl w:val="nil"/>
            </w:tcBorders>
            <w:vAlign w:val="center"/>
          </w:tcPr>
          <w:p w14:paraId="3D57D30D">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施工关键部位、材料采购要点的控制及措施</w:t>
            </w:r>
          </w:p>
        </w:tc>
        <w:tc>
          <w:tcPr>
            <w:tcW w:w="878" w:type="dxa"/>
            <w:tcBorders>
              <w:tl2br w:val="nil"/>
              <w:tr2bl w:val="nil"/>
            </w:tcBorders>
            <w:vAlign w:val="center"/>
          </w:tcPr>
          <w:p w14:paraId="0E9A5022">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b w:val="0"/>
                <w:bCs/>
                <w:color w:val="auto"/>
                <w:sz w:val="24"/>
                <w:szCs w:val="24"/>
                <w:highlight w:val="none"/>
                <w:lang w:val="en-US" w:eastAsia="zh-CN"/>
              </w:rPr>
              <w:t>5</w:t>
            </w:r>
          </w:p>
        </w:tc>
        <w:tc>
          <w:tcPr>
            <w:tcW w:w="6257" w:type="dxa"/>
            <w:tcBorders>
              <w:tl2br w:val="nil"/>
              <w:tr2bl w:val="nil"/>
            </w:tcBorders>
            <w:vAlign w:val="center"/>
          </w:tcPr>
          <w:p w14:paraId="0658BE77">
            <w:pPr>
              <w:keepNext w:val="0"/>
              <w:keepLines w:val="0"/>
              <w:pageBreakBefore w:val="0"/>
              <w:widowControl w:val="0"/>
              <w:kinsoku/>
              <w:wordWrap/>
              <w:overflowPunct/>
              <w:topLinePunct w:val="0"/>
              <w:autoSpaceDE/>
              <w:autoSpaceDN/>
              <w:bidi w:val="0"/>
              <w:adjustRightInd/>
              <w:spacing w:line="360" w:lineRule="auto"/>
              <w:ind w:left="0" w:leftChars="0" w:right="0" w:rightChars="0"/>
              <w:jc w:val="both"/>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color w:val="auto"/>
                <w:sz w:val="24"/>
                <w:szCs w:val="24"/>
                <w:highlight w:val="none"/>
              </w:rPr>
              <w:t>根据措施体系完整、内容齐全、安排恰当、针对项目实际情况措施可行程度合理</w:t>
            </w:r>
            <w:r>
              <w:rPr>
                <w:rFonts w:hint="eastAsia" w:ascii="宋体" w:hAnsi="宋体" w:eastAsia="宋体" w:cs="宋体"/>
                <w:b w:val="0"/>
                <w:bCs/>
                <w:color w:val="auto"/>
                <w:sz w:val="24"/>
                <w:szCs w:val="24"/>
                <w:highlight w:val="none"/>
                <w:lang w:val="en-US" w:eastAsia="zh-CN"/>
              </w:rPr>
              <w:t>得</w:t>
            </w: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分</w:t>
            </w:r>
            <w:r>
              <w:rPr>
                <w:rFonts w:hint="eastAsia" w:ascii="宋体" w:hAnsi="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val="en-US" w:eastAsia="zh-CN"/>
              </w:rPr>
              <w:t>根据其合理性、详细性一般</w:t>
            </w:r>
            <w:r>
              <w:rPr>
                <w:rFonts w:hint="eastAsia" w:ascii="宋体" w:hAnsi="宋体" w:cs="宋体"/>
                <w:b w:val="0"/>
                <w:bCs/>
                <w:color w:val="auto"/>
                <w:sz w:val="24"/>
                <w:szCs w:val="24"/>
                <w:highlight w:val="none"/>
                <w:lang w:val="en-US" w:eastAsia="zh-CN"/>
              </w:rPr>
              <w:t>得3分；根据其合理性、详细性较差得1分；</w:t>
            </w:r>
            <w:r>
              <w:rPr>
                <w:rFonts w:hint="eastAsia" w:ascii="宋体" w:hAnsi="宋体" w:eastAsia="宋体" w:cs="宋体"/>
                <w:b w:val="0"/>
                <w:bCs/>
                <w:color w:val="auto"/>
                <w:sz w:val="24"/>
                <w:szCs w:val="24"/>
                <w:highlight w:val="none"/>
                <w:lang w:val="en-US" w:eastAsia="zh-CN"/>
              </w:rPr>
              <w:t>缺项不得分</w:t>
            </w:r>
            <w:r>
              <w:rPr>
                <w:rFonts w:hint="eastAsia" w:ascii="宋体" w:hAnsi="宋体" w:eastAsia="宋体" w:cs="宋体"/>
                <w:color w:val="auto"/>
                <w:sz w:val="24"/>
                <w:szCs w:val="24"/>
                <w:highlight w:val="none"/>
              </w:rPr>
              <w:t>。</w:t>
            </w:r>
          </w:p>
        </w:tc>
      </w:tr>
      <w:tr w14:paraId="243E8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838" w:type="dxa"/>
            <w:tcBorders>
              <w:tl2br w:val="nil"/>
              <w:tr2bl w:val="nil"/>
            </w:tcBorders>
            <w:vAlign w:val="center"/>
          </w:tcPr>
          <w:p w14:paraId="2EB27B68">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eastAsia="zh-CN"/>
              </w:rPr>
              <w:t>（二）</w:t>
            </w:r>
          </w:p>
        </w:tc>
        <w:tc>
          <w:tcPr>
            <w:tcW w:w="2133" w:type="dxa"/>
            <w:tcBorders>
              <w:tl2br w:val="nil"/>
              <w:tr2bl w:val="nil"/>
            </w:tcBorders>
            <w:vAlign w:val="center"/>
          </w:tcPr>
          <w:p w14:paraId="6CD4EA0A">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hint="eastAsia"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eastAsia="zh-CN"/>
              </w:rPr>
              <w:t>设备供货方案</w:t>
            </w:r>
          </w:p>
        </w:tc>
        <w:tc>
          <w:tcPr>
            <w:tcW w:w="878" w:type="dxa"/>
            <w:tcBorders>
              <w:tl2br w:val="nil"/>
              <w:tr2bl w:val="nil"/>
            </w:tcBorders>
            <w:vAlign w:val="center"/>
          </w:tcPr>
          <w:p w14:paraId="46D49700">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hint="default"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10</w:t>
            </w:r>
          </w:p>
        </w:tc>
        <w:tc>
          <w:tcPr>
            <w:tcW w:w="6257" w:type="dxa"/>
            <w:tcBorders>
              <w:tl2br w:val="nil"/>
              <w:tr2bl w:val="nil"/>
            </w:tcBorders>
            <w:vAlign w:val="center"/>
          </w:tcPr>
          <w:p w14:paraId="7E696A92">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firstLine="480" w:firstLineChars="200"/>
              <w:jc w:val="both"/>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磋商小组应根据供应商提供的</w:t>
            </w:r>
            <w:r>
              <w:rPr>
                <w:rFonts w:hint="eastAsia" w:ascii="宋体" w:hAnsi="宋体" w:cs="宋体"/>
                <w:b w:val="0"/>
                <w:bCs/>
                <w:color w:val="auto"/>
                <w:sz w:val="24"/>
                <w:szCs w:val="24"/>
                <w:highlight w:val="none"/>
                <w:lang w:val="en-US" w:eastAsia="zh-CN"/>
              </w:rPr>
              <w:t>设备供货方案</w:t>
            </w:r>
            <w:r>
              <w:rPr>
                <w:rFonts w:hint="eastAsia" w:ascii="宋体" w:hAnsi="宋体" w:eastAsia="宋体" w:cs="宋体"/>
                <w:b w:val="0"/>
                <w:bCs/>
                <w:color w:val="auto"/>
                <w:sz w:val="24"/>
                <w:szCs w:val="24"/>
                <w:highlight w:val="none"/>
                <w:lang w:val="en-US" w:eastAsia="zh-CN"/>
              </w:rPr>
              <w:t xml:space="preserve">进行独立评审： </w:t>
            </w:r>
          </w:p>
          <w:p w14:paraId="2D4BC23E">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firstLine="480" w:firstLineChars="200"/>
              <w:jc w:val="both"/>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（1）供应商的</w:t>
            </w:r>
            <w:r>
              <w:rPr>
                <w:rFonts w:hint="eastAsia" w:ascii="宋体" w:hAnsi="宋体" w:cs="宋体"/>
                <w:b w:val="0"/>
                <w:bCs/>
                <w:color w:val="auto"/>
                <w:sz w:val="24"/>
                <w:szCs w:val="24"/>
                <w:highlight w:val="none"/>
                <w:lang w:val="en-US" w:eastAsia="zh-CN"/>
              </w:rPr>
              <w:t>设备供货方案</w:t>
            </w:r>
            <w:r>
              <w:rPr>
                <w:rFonts w:hint="eastAsia" w:ascii="宋体" w:hAnsi="宋体" w:eastAsia="宋体" w:cs="宋体"/>
                <w:b w:val="0"/>
                <w:bCs/>
                <w:color w:val="auto"/>
                <w:sz w:val="24"/>
                <w:szCs w:val="24"/>
                <w:highlight w:val="none"/>
                <w:lang w:val="en-US" w:eastAsia="zh-CN"/>
              </w:rPr>
              <w:t>总体安排科学合理，内容全面，适用性强，思路清晰条理，能够根据实际情况制订，考虑问题周全，符合项目特点得8-</w:t>
            </w:r>
            <w:r>
              <w:rPr>
                <w:rFonts w:hint="eastAsia" w:ascii="宋体" w:hAnsi="宋体" w:cs="宋体"/>
                <w:b w:val="0"/>
                <w:bCs/>
                <w:color w:val="auto"/>
                <w:sz w:val="24"/>
                <w:szCs w:val="24"/>
                <w:highlight w:val="none"/>
                <w:lang w:val="en-US" w:eastAsia="zh-CN"/>
              </w:rPr>
              <w:t>10</w:t>
            </w:r>
            <w:r>
              <w:rPr>
                <w:rFonts w:hint="eastAsia" w:ascii="宋体" w:hAnsi="宋体" w:eastAsia="宋体" w:cs="宋体"/>
                <w:b w:val="0"/>
                <w:bCs/>
                <w:color w:val="auto"/>
                <w:sz w:val="24"/>
                <w:szCs w:val="24"/>
                <w:highlight w:val="none"/>
                <w:lang w:val="en-US" w:eastAsia="zh-CN"/>
              </w:rPr>
              <w:t>分；</w:t>
            </w:r>
          </w:p>
          <w:p w14:paraId="33CEA374">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firstLine="480" w:firstLineChars="200"/>
              <w:jc w:val="both"/>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（2）供应商的</w:t>
            </w:r>
            <w:r>
              <w:rPr>
                <w:rFonts w:hint="eastAsia" w:ascii="宋体" w:hAnsi="宋体" w:cs="宋体"/>
                <w:b w:val="0"/>
                <w:bCs/>
                <w:color w:val="auto"/>
                <w:sz w:val="24"/>
                <w:szCs w:val="24"/>
                <w:highlight w:val="none"/>
                <w:lang w:val="en-US" w:eastAsia="zh-CN"/>
              </w:rPr>
              <w:t>设备供货方案</w:t>
            </w:r>
            <w:r>
              <w:rPr>
                <w:rFonts w:hint="eastAsia" w:ascii="宋体" w:hAnsi="宋体" w:eastAsia="宋体" w:cs="宋体"/>
                <w:b w:val="0"/>
                <w:bCs/>
                <w:color w:val="auto"/>
                <w:sz w:val="24"/>
                <w:szCs w:val="24"/>
                <w:highlight w:val="none"/>
                <w:lang w:val="en-US" w:eastAsia="zh-CN"/>
              </w:rPr>
              <w:t>总体安排较为完整，方案基本合理但适用性和针对性不强，缺乏逻辑性，基本满足采购人要求得</w:t>
            </w:r>
            <w:r>
              <w:rPr>
                <w:rFonts w:hint="eastAsia" w:ascii="宋体" w:hAnsi="宋体" w:cs="宋体"/>
                <w:b w:val="0"/>
                <w:bCs/>
                <w:color w:val="auto"/>
                <w:sz w:val="24"/>
                <w:szCs w:val="24"/>
                <w:highlight w:val="none"/>
                <w:lang w:val="en-US" w:eastAsia="zh-CN"/>
              </w:rPr>
              <w:t>5-7</w:t>
            </w:r>
            <w:r>
              <w:rPr>
                <w:rFonts w:hint="eastAsia" w:ascii="宋体" w:hAnsi="宋体" w:eastAsia="宋体" w:cs="宋体"/>
                <w:b w:val="0"/>
                <w:bCs/>
                <w:color w:val="auto"/>
                <w:sz w:val="24"/>
                <w:szCs w:val="24"/>
                <w:highlight w:val="none"/>
                <w:lang w:val="en-US" w:eastAsia="zh-CN"/>
              </w:rPr>
              <w:t>分；</w:t>
            </w:r>
          </w:p>
          <w:p w14:paraId="402E505E">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firstLine="480" w:firstLineChars="200"/>
              <w:jc w:val="both"/>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（3）供应商的</w:t>
            </w:r>
            <w:r>
              <w:rPr>
                <w:rFonts w:hint="eastAsia" w:ascii="宋体" w:hAnsi="宋体" w:cs="宋体"/>
                <w:b w:val="0"/>
                <w:bCs/>
                <w:color w:val="auto"/>
                <w:sz w:val="24"/>
                <w:szCs w:val="24"/>
                <w:highlight w:val="none"/>
                <w:lang w:val="en-US" w:eastAsia="zh-CN"/>
              </w:rPr>
              <w:t>设备供货方案考虑不够周全</w:t>
            </w:r>
            <w:r>
              <w:rPr>
                <w:rFonts w:hint="eastAsia" w:ascii="宋体" w:hAnsi="宋体" w:eastAsia="宋体" w:cs="宋体"/>
                <w:b w:val="0"/>
                <w:bCs/>
                <w:color w:val="auto"/>
                <w:sz w:val="24"/>
                <w:szCs w:val="24"/>
                <w:highlight w:val="none"/>
                <w:lang w:val="en-US" w:eastAsia="zh-CN"/>
              </w:rPr>
              <w:t>，方案内容不合理，适用性和针对性差，得</w:t>
            </w:r>
            <w:r>
              <w:rPr>
                <w:rFonts w:hint="eastAsia" w:ascii="宋体" w:hAnsi="宋体" w:cs="宋体"/>
                <w:b w:val="0"/>
                <w:bCs/>
                <w:color w:val="auto"/>
                <w:sz w:val="24"/>
                <w:szCs w:val="24"/>
                <w:highlight w:val="none"/>
                <w:lang w:val="en-US" w:eastAsia="zh-CN"/>
              </w:rPr>
              <w:t>1-4</w:t>
            </w:r>
            <w:r>
              <w:rPr>
                <w:rFonts w:hint="eastAsia" w:ascii="宋体" w:hAnsi="宋体" w:eastAsia="宋体" w:cs="宋体"/>
                <w:b w:val="0"/>
                <w:bCs/>
                <w:color w:val="auto"/>
                <w:sz w:val="24"/>
                <w:szCs w:val="24"/>
                <w:highlight w:val="none"/>
                <w:lang w:val="en-US" w:eastAsia="zh-CN"/>
              </w:rPr>
              <w:t>分；</w:t>
            </w:r>
          </w:p>
          <w:p w14:paraId="76733E8A">
            <w:pPr>
              <w:keepNext w:val="0"/>
              <w:keepLines w:val="0"/>
              <w:pageBreakBefore w:val="0"/>
              <w:widowControl w:val="0"/>
              <w:kinsoku/>
              <w:wordWrap/>
              <w:overflowPunct/>
              <w:topLinePunct w:val="0"/>
              <w:autoSpaceDE/>
              <w:autoSpaceDN/>
              <w:bidi w:val="0"/>
              <w:adjustRightInd/>
              <w:spacing w:line="360" w:lineRule="auto"/>
              <w:ind w:left="0" w:leftChars="0" w:right="0" w:rightChars="0"/>
              <w:jc w:val="both"/>
              <w:textAlignment w:val="auto"/>
              <w:rPr>
                <w:rFonts w:hint="eastAsia" w:ascii="宋体" w:hAnsi="宋体" w:eastAsia="宋体" w:cs="宋体"/>
                <w:color w:val="auto"/>
                <w:sz w:val="24"/>
                <w:szCs w:val="24"/>
                <w:highlight w:val="none"/>
              </w:rPr>
            </w:pPr>
            <w:r>
              <w:rPr>
                <w:rFonts w:hint="eastAsia" w:ascii="宋体" w:hAnsi="宋体" w:eastAsia="宋体" w:cs="宋体"/>
                <w:b w:val="0"/>
                <w:bCs/>
                <w:color w:val="auto"/>
                <w:sz w:val="24"/>
                <w:szCs w:val="24"/>
                <w:highlight w:val="none"/>
                <w:lang w:val="en-US" w:eastAsia="zh-CN"/>
              </w:rPr>
              <w:t>（4）无</w:t>
            </w:r>
            <w:r>
              <w:rPr>
                <w:rFonts w:hint="eastAsia" w:ascii="宋体" w:hAnsi="宋体" w:cs="宋体"/>
                <w:b w:val="0"/>
                <w:bCs/>
                <w:color w:val="auto"/>
                <w:sz w:val="24"/>
                <w:szCs w:val="24"/>
                <w:highlight w:val="none"/>
                <w:lang w:val="en-US" w:eastAsia="zh-CN"/>
              </w:rPr>
              <w:t>项目实施</w:t>
            </w:r>
            <w:r>
              <w:rPr>
                <w:rFonts w:hint="eastAsia" w:ascii="宋体" w:hAnsi="宋体" w:eastAsia="宋体" w:cs="宋体"/>
                <w:b w:val="0"/>
                <w:bCs/>
                <w:color w:val="auto"/>
                <w:sz w:val="24"/>
                <w:szCs w:val="24"/>
                <w:highlight w:val="none"/>
                <w:lang w:val="en-US" w:eastAsia="zh-CN"/>
              </w:rPr>
              <w:t>方案，本项不得分。</w:t>
            </w:r>
          </w:p>
        </w:tc>
      </w:tr>
      <w:tr w14:paraId="5C1B5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838" w:type="dxa"/>
            <w:tcBorders>
              <w:tl2br w:val="nil"/>
              <w:tr2bl w:val="nil"/>
            </w:tcBorders>
            <w:vAlign w:val="center"/>
          </w:tcPr>
          <w:p w14:paraId="5EF4710C">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（三）</w:t>
            </w:r>
          </w:p>
        </w:tc>
        <w:tc>
          <w:tcPr>
            <w:tcW w:w="2133" w:type="dxa"/>
            <w:tcBorders>
              <w:tl2br w:val="nil"/>
              <w:tr2bl w:val="nil"/>
            </w:tcBorders>
            <w:vAlign w:val="center"/>
          </w:tcPr>
          <w:p w14:paraId="27D0BF7B">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设备售后服务方案</w:t>
            </w:r>
          </w:p>
        </w:tc>
        <w:tc>
          <w:tcPr>
            <w:tcW w:w="878" w:type="dxa"/>
            <w:tcBorders>
              <w:tl2br w:val="nil"/>
              <w:tr2bl w:val="nil"/>
            </w:tcBorders>
            <w:vAlign w:val="center"/>
          </w:tcPr>
          <w:p w14:paraId="44D8B023">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10</w:t>
            </w:r>
          </w:p>
        </w:tc>
        <w:tc>
          <w:tcPr>
            <w:tcW w:w="6257" w:type="dxa"/>
            <w:tcBorders>
              <w:tl2br w:val="nil"/>
              <w:tr2bl w:val="nil"/>
            </w:tcBorders>
            <w:vAlign w:val="center"/>
          </w:tcPr>
          <w:p w14:paraId="3C752C73">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firstLine="480" w:firstLineChars="200"/>
              <w:jc w:val="both"/>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 xml:space="preserve">磋商小组应根据供应商提供的售后服务方案进行独立评审： </w:t>
            </w:r>
          </w:p>
          <w:p w14:paraId="6A793049">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firstLine="480" w:firstLineChars="200"/>
              <w:jc w:val="both"/>
              <w:textAlignment w:val="auto"/>
              <w:rPr>
                <w:rFonts w:hint="default"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w:t>
            </w:r>
            <w:r>
              <w:rPr>
                <w:rFonts w:hint="default" w:ascii="宋体" w:hAnsi="宋体" w:eastAsia="宋体" w:cs="宋体"/>
                <w:b w:val="0"/>
                <w:bCs/>
                <w:color w:val="auto"/>
                <w:sz w:val="24"/>
                <w:szCs w:val="24"/>
                <w:highlight w:val="none"/>
                <w:lang w:val="en-US" w:eastAsia="zh-CN"/>
              </w:rPr>
              <w:t>供应商的售后服务内容全面，售后服务期间维保</w:t>
            </w:r>
            <w:r>
              <w:rPr>
                <w:rFonts w:hint="eastAsia" w:ascii="宋体" w:hAnsi="宋体" w:eastAsia="宋体" w:cs="宋体"/>
                <w:b w:val="0"/>
                <w:bCs/>
                <w:color w:val="auto"/>
                <w:sz w:val="24"/>
                <w:szCs w:val="24"/>
                <w:highlight w:val="none"/>
                <w:lang w:val="en-US" w:eastAsia="zh-CN"/>
              </w:rPr>
              <w:t>等</w:t>
            </w:r>
            <w:r>
              <w:rPr>
                <w:rFonts w:hint="default" w:ascii="宋体" w:hAnsi="宋体" w:eastAsia="宋体" w:cs="宋体"/>
                <w:b w:val="0"/>
                <w:bCs/>
                <w:color w:val="auto"/>
                <w:sz w:val="24"/>
                <w:szCs w:val="24"/>
                <w:highlight w:val="none"/>
                <w:lang w:val="en-US" w:eastAsia="zh-CN"/>
              </w:rPr>
              <w:t>方案详细，合理，有较强的维保能力，服务项目齐全,售后服务保障人员配备齐全合理，针对不同货物在售后服务过程中可能出现的问题有精准的处理预案，响应时间及完成维修时间承诺满足用户需求，得</w:t>
            </w:r>
            <w:r>
              <w:rPr>
                <w:rFonts w:hint="eastAsia" w:ascii="宋体" w:hAnsi="宋体" w:cs="宋体"/>
                <w:b w:val="0"/>
                <w:bCs/>
                <w:color w:val="auto"/>
                <w:sz w:val="24"/>
                <w:szCs w:val="24"/>
                <w:highlight w:val="none"/>
                <w:lang w:val="en-US" w:eastAsia="zh-CN"/>
              </w:rPr>
              <w:t>8-10</w:t>
            </w:r>
            <w:r>
              <w:rPr>
                <w:rFonts w:hint="default" w:ascii="宋体" w:hAnsi="宋体" w:eastAsia="宋体" w:cs="宋体"/>
                <w:b w:val="0"/>
                <w:bCs/>
                <w:color w:val="auto"/>
                <w:sz w:val="24"/>
                <w:szCs w:val="24"/>
                <w:highlight w:val="none"/>
                <w:lang w:val="en-US" w:eastAsia="zh-CN"/>
              </w:rPr>
              <w:t>分</w:t>
            </w:r>
            <w:r>
              <w:rPr>
                <w:rFonts w:hint="eastAsia" w:ascii="宋体" w:hAnsi="宋体" w:eastAsia="宋体" w:cs="宋体"/>
                <w:b w:val="0"/>
                <w:bCs/>
                <w:color w:val="auto"/>
                <w:sz w:val="24"/>
                <w:szCs w:val="24"/>
                <w:highlight w:val="none"/>
                <w:lang w:val="en-US" w:eastAsia="zh-CN"/>
              </w:rPr>
              <w:t>；</w:t>
            </w:r>
          </w:p>
          <w:p w14:paraId="7F06BEF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firstLine="480" w:firstLineChars="200"/>
              <w:jc w:val="both"/>
              <w:textAlignment w:val="auto"/>
              <w:rPr>
                <w:rFonts w:hint="default"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w:t>
            </w:r>
            <w:r>
              <w:rPr>
                <w:rFonts w:hint="default" w:ascii="宋体" w:hAnsi="宋体" w:eastAsia="宋体" w:cs="宋体"/>
                <w:b w:val="0"/>
                <w:bCs/>
                <w:color w:val="auto"/>
                <w:sz w:val="24"/>
                <w:szCs w:val="24"/>
                <w:highlight w:val="none"/>
                <w:lang w:val="en-US" w:eastAsia="zh-CN"/>
              </w:rPr>
              <w:t>供应商的售后服务内容、维保</w:t>
            </w:r>
            <w:r>
              <w:rPr>
                <w:rFonts w:hint="eastAsia" w:ascii="宋体" w:hAnsi="宋体" w:eastAsia="宋体" w:cs="宋体"/>
                <w:b w:val="0"/>
                <w:bCs/>
                <w:color w:val="auto"/>
                <w:sz w:val="24"/>
                <w:szCs w:val="24"/>
                <w:highlight w:val="none"/>
                <w:lang w:val="en-US" w:eastAsia="zh-CN"/>
              </w:rPr>
              <w:t>等</w:t>
            </w:r>
            <w:r>
              <w:rPr>
                <w:rFonts w:hint="default" w:ascii="宋体" w:hAnsi="宋体" w:eastAsia="宋体" w:cs="宋体"/>
                <w:b w:val="0"/>
                <w:bCs/>
                <w:color w:val="auto"/>
                <w:sz w:val="24"/>
                <w:szCs w:val="24"/>
                <w:highlight w:val="none"/>
                <w:lang w:val="en-US" w:eastAsia="zh-CN"/>
              </w:rPr>
              <w:t>方案基本可行，有售后服务人员配备但就货物特点缺少针对性，对于售后服务过程中可能出现的紧急情况有预案但缺乏一定的针对性， 响应时间及完成维修时间承诺满足用户需求，得</w:t>
            </w:r>
            <w:r>
              <w:rPr>
                <w:rFonts w:hint="eastAsia" w:ascii="宋体" w:hAnsi="宋体" w:cs="宋体"/>
                <w:b w:val="0"/>
                <w:bCs/>
                <w:color w:val="auto"/>
                <w:sz w:val="24"/>
                <w:szCs w:val="24"/>
                <w:highlight w:val="none"/>
                <w:lang w:val="en-US" w:eastAsia="zh-CN"/>
              </w:rPr>
              <w:t>5-7</w:t>
            </w:r>
            <w:r>
              <w:rPr>
                <w:rFonts w:hint="default" w:ascii="宋体" w:hAnsi="宋体" w:eastAsia="宋体" w:cs="宋体"/>
                <w:b w:val="0"/>
                <w:bCs/>
                <w:color w:val="auto"/>
                <w:sz w:val="24"/>
                <w:szCs w:val="24"/>
                <w:highlight w:val="none"/>
                <w:lang w:val="en-US" w:eastAsia="zh-CN"/>
              </w:rPr>
              <w:t>分</w:t>
            </w:r>
            <w:r>
              <w:rPr>
                <w:rFonts w:hint="eastAsia" w:ascii="宋体" w:hAnsi="宋体" w:eastAsia="宋体" w:cs="宋体"/>
                <w:b w:val="0"/>
                <w:bCs/>
                <w:color w:val="auto"/>
                <w:sz w:val="24"/>
                <w:szCs w:val="24"/>
                <w:highlight w:val="none"/>
                <w:lang w:val="en-US" w:eastAsia="zh-CN"/>
              </w:rPr>
              <w:t>；</w:t>
            </w:r>
          </w:p>
          <w:p w14:paraId="42B19C5A">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firstLine="480" w:firstLineChars="200"/>
              <w:jc w:val="both"/>
              <w:textAlignment w:val="auto"/>
              <w:rPr>
                <w:rFonts w:hint="default"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（3）</w:t>
            </w:r>
            <w:r>
              <w:rPr>
                <w:rFonts w:hint="default" w:ascii="宋体" w:hAnsi="宋体" w:eastAsia="宋体" w:cs="宋体"/>
                <w:b w:val="0"/>
                <w:bCs/>
                <w:color w:val="auto"/>
                <w:sz w:val="24"/>
                <w:szCs w:val="24"/>
                <w:highlight w:val="none"/>
                <w:lang w:val="en-US" w:eastAsia="zh-CN"/>
              </w:rPr>
              <w:t>供应商的售后服务内容、维保</w:t>
            </w:r>
            <w:r>
              <w:rPr>
                <w:rFonts w:hint="eastAsia" w:ascii="宋体" w:hAnsi="宋体" w:eastAsia="宋体" w:cs="宋体"/>
                <w:b w:val="0"/>
                <w:bCs/>
                <w:color w:val="auto"/>
                <w:sz w:val="24"/>
                <w:szCs w:val="24"/>
                <w:highlight w:val="none"/>
                <w:lang w:val="en-US" w:eastAsia="zh-CN"/>
              </w:rPr>
              <w:t>等</w:t>
            </w:r>
            <w:r>
              <w:rPr>
                <w:rFonts w:hint="default" w:ascii="宋体" w:hAnsi="宋体" w:eastAsia="宋体" w:cs="宋体"/>
                <w:b w:val="0"/>
                <w:bCs/>
                <w:color w:val="auto"/>
                <w:sz w:val="24"/>
                <w:szCs w:val="24"/>
                <w:highlight w:val="none"/>
                <w:lang w:val="en-US" w:eastAsia="zh-CN"/>
              </w:rPr>
              <w:t>方案不完整，没有专门的售后服务人员配备或配备的人员难以满足售后服务需求，售后服务方案偏离货物实际特点，得</w:t>
            </w:r>
            <w:r>
              <w:rPr>
                <w:rFonts w:hint="eastAsia" w:ascii="宋体" w:hAnsi="宋体" w:cs="宋体"/>
                <w:b w:val="0"/>
                <w:bCs/>
                <w:color w:val="auto"/>
                <w:sz w:val="24"/>
                <w:szCs w:val="24"/>
                <w:highlight w:val="none"/>
                <w:lang w:val="en-US" w:eastAsia="zh-CN"/>
              </w:rPr>
              <w:t>1-4</w:t>
            </w:r>
            <w:r>
              <w:rPr>
                <w:rFonts w:hint="default" w:ascii="宋体" w:hAnsi="宋体" w:eastAsia="宋体" w:cs="宋体"/>
                <w:b w:val="0"/>
                <w:bCs/>
                <w:color w:val="auto"/>
                <w:sz w:val="24"/>
                <w:szCs w:val="24"/>
                <w:highlight w:val="none"/>
                <w:lang w:val="en-US" w:eastAsia="zh-CN"/>
              </w:rPr>
              <w:t>分；</w:t>
            </w:r>
          </w:p>
          <w:p w14:paraId="3F84B9E6">
            <w:pPr>
              <w:keepNext w:val="0"/>
              <w:keepLines w:val="0"/>
              <w:pageBreakBefore w:val="0"/>
              <w:widowControl w:val="0"/>
              <w:kinsoku/>
              <w:wordWrap/>
              <w:overflowPunct/>
              <w:topLinePunct w:val="0"/>
              <w:autoSpaceDE/>
              <w:autoSpaceDN/>
              <w:bidi w:val="0"/>
              <w:adjustRightInd/>
              <w:spacing w:line="360" w:lineRule="auto"/>
              <w:ind w:left="0" w:leftChars="0" w:right="0" w:rightChars="0"/>
              <w:jc w:val="both"/>
              <w:textAlignment w:val="auto"/>
              <w:rPr>
                <w:rFonts w:hint="eastAsia" w:ascii="宋体" w:hAnsi="宋体" w:eastAsia="宋体" w:cs="宋体"/>
                <w:color w:val="auto"/>
                <w:sz w:val="24"/>
                <w:szCs w:val="24"/>
                <w:highlight w:val="none"/>
              </w:rPr>
            </w:pPr>
            <w:r>
              <w:rPr>
                <w:rFonts w:hint="default" w:ascii="宋体" w:hAnsi="宋体" w:eastAsia="宋体" w:cs="宋体"/>
                <w:b w:val="0"/>
                <w:bCs/>
                <w:color w:val="auto"/>
                <w:sz w:val="24"/>
                <w:szCs w:val="24"/>
                <w:highlight w:val="none"/>
                <w:lang w:val="en-US" w:eastAsia="zh-CN"/>
              </w:rPr>
              <w:t>无售后服务方案，本项不得分。</w:t>
            </w:r>
          </w:p>
        </w:tc>
      </w:tr>
    </w:tbl>
    <w:p w14:paraId="32845629">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hAnsi="宋体" w:cs="宋体"/>
          <w:b/>
          <w:bCs/>
          <w:color w:val="auto"/>
          <w:sz w:val="24"/>
        </w:rPr>
      </w:pPr>
      <w:r>
        <w:rPr>
          <w:rFonts w:hint="eastAsia" w:ascii="宋体" w:hAnsi="宋体" w:cs="宋体"/>
          <w:b/>
          <w:bCs/>
          <w:color w:val="auto"/>
          <w:sz w:val="24"/>
        </w:rPr>
        <w:t>注：</w:t>
      </w:r>
      <w:bookmarkStart w:id="13" w:name="_Toc23800"/>
      <w:r>
        <w:rPr>
          <w:rFonts w:hint="eastAsia" w:ascii="宋体" w:hAnsi="宋体" w:cs="宋体"/>
          <w:b/>
          <w:bCs/>
          <w:color w:val="auto"/>
          <w:sz w:val="24"/>
        </w:rPr>
        <w:t>一、</w:t>
      </w:r>
      <w:r>
        <w:rPr>
          <w:rFonts w:hint="eastAsia" w:ascii="宋体" w:hAnsi="宋体"/>
          <w:b/>
          <w:bCs/>
          <w:color w:val="auto"/>
          <w:sz w:val="24"/>
        </w:rPr>
        <w:t>总得分相同者，按最终报价低的名次在前；最终报价也相同的，</w:t>
      </w:r>
      <w:r>
        <w:rPr>
          <w:rFonts w:hint="eastAsia" w:ascii="宋体" w:hAnsi="宋体"/>
          <w:b/>
          <w:bCs/>
          <w:color w:val="auto"/>
          <w:sz w:val="24"/>
          <w:lang w:eastAsia="zh-CN"/>
        </w:rPr>
        <w:t>技术部分</w:t>
      </w:r>
      <w:r>
        <w:rPr>
          <w:rFonts w:hint="eastAsia" w:ascii="宋体" w:hAnsi="宋体"/>
          <w:b/>
          <w:bCs/>
          <w:color w:val="auto"/>
          <w:sz w:val="24"/>
        </w:rPr>
        <w:t>总得分高者排名优先；</w:t>
      </w:r>
      <w:r>
        <w:rPr>
          <w:rFonts w:hint="eastAsia" w:ascii="宋体" w:hAnsi="宋体"/>
          <w:b/>
          <w:color w:val="auto"/>
          <w:sz w:val="24"/>
          <w:lang w:eastAsia="zh-CN"/>
        </w:rPr>
        <w:t>技术部分</w:t>
      </w:r>
      <w:r>
        <w:rPr>
          <w:rFonts w:hint="eastAsia" w:ascii="宋体" w:hAnsi="宋体"/>
          <w:b/>
          <w:color w:val="auto"/>
          <w:sz w:val="24"/>
        </w:rPr>
        <w:t>总得分也相同的，采购人按响应文件</w:t>
      </w:r>
      <w:r>
        <w:rPr>
          <w:rFonts w:hint="eastAsia" w:ascii="宋体" w:hAnsi="宋体"/>
          <w:b/>
          <w:color w:val="auto"/>
          <w:sz w:val="24"/>
          <w:lang w:eastAsia="zh-CN"/>
        </w:rPr>
        <w:t>递交</w:t>
      </w:r>
      <w:r>
        <w:rPr>
          <w:rFonts w:hint="eastAsia" w:ascii="宋体" w:hAnsi="宋体"/>
          <w:b/>
          <w:color w:val="auto"/>
          <w:sz w:val="24"/>
        </w:rPr>
        <w:t>顺序排名。</w:t>
      </w:r>
    </w:p>
    <w:p w14:paraId="70C612C6">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ascii="宋体" w:hAnsi="宋体"/>
          <w:b/>
          <w:color w:val="auto"/>
          <w:sz w:val="24"/>
        </w:rPr>
      </w:pPr>
      <w:r>
        <w:rPr>
          <w:rFonts w:hint="eastAsia" w:ascii="宋体" w:hAnsi="宋体"/>
          <w:b/>
          <w:color w:val="auto"/>
          <w:sz w:val="24"/>
        </w:rPr>
        <w:t>二、评分分值计算保留小数点后两位，小数点后第三位“四舍五入”。</w:t>
      </w:r>
    </w:p>
    <w:p w14:paraId="5245B6B1">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cs="Times New Roman"/>
          <w:b/>
          <w:bCs/>
          <w:color w:val="auto"/>
          <w:sz w:val="24"/>
        </w:rPr>
      </w:pPr>
      <w:r>
        <w:rPr>
          <w:rFonts w:hint="eastAsia" w:ascii="宋体" w:hAnsi="宋体" w:cs="Times New Roman"/>
          <w:b/>
          <w:bCs/>
          <w:color w:val="auto"/>
          <w:sz w:val="24"/>
          <w:lang w:eastAsia="zh-CN"/>
        </w:rPr>
        <w:t>三</w:t>
      </w:r>
      <w:r>
        <w:rPr>
          <w:rFonts w:hint="eastAsia" w:ascii="宋体" w:hAnsi="宋体" w:cs="Times New Roman"/>
          <w:b/>
          <w:bCs/>
          <w:color w:val="auto"/>
          <w:sz w:val="24"/>
        </w:rPr>
        <w:t>、评分办法中涉及资信按照相关要求提供，供应商应保证相关证件的真实性，成交供应商的资信验证结果将予以公示。</w:t>
      </w:r>
    </w:p>
    <w:p w14:paraId="7E3DCB0A">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cs="Times New Roman"/>
          <w:b/>
          <w:bCs/>
          <w:color w:val="auto"/>
          <w:sz w:val="24"/>
        </w:rPr>
      </w:pPr>
      <w:r>
        <w:rPr>
          <w:rFonts w:hint="eastAsia" w:ascii="宋体" w:hAnsi="宋体" w:cs="Times New Roman"/>
          <w:b/>
          <w:bCs/>
          <w:color w:val="auto"/>
          <w:sz w:val="24"/>
          <w:lang w:eastAsia="zh-CN"/>
        </w:rPr>
        <w:t>四</w:t>
      </w:r>
      <w:r>
        <w:rPr>
          <w:rFonts w:hint="eastAsia" w:ascii="宋体" w:hAnsi="宋体" w:cs="Times New Roman"/>
          <w:b/>
          <w:bCs/>
          <w:color w:val="auto"/>
          <w:sz w:val="24"/>
        </w:rPr>
        <w:t>、提供虚假证明材料的，取消其竞标资格；若如日后查出以虚假证明材料谋取成交的，一经查实，采购人可以随时终止采购合同，并由该单位赔偿采购人的一切损失。</w:t>
      </w:r>
    </w:p>
    <w:p w14:paraId="5F0F0921">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cs="Times New Roman"/>
          <w:b/>
          <w:bCs/>
          <w:color w:val="auto"/>
          <w:sz w:val="24"/>
        </w:rPr>
      </w:pPr>
      <w:r>
        <w:rPr>
          <w:rFonts w:hint="eastAsia" w:ascii="宋体" w:hAnsi="宋体" w:cs="Times New Roman"/>
          <w:b/>
          <w:bCs/>
          <w:color w:val="auto"/>
          <w:sz w:val="24"/>
          <w:lang w:eastAsia="zh-CN"/>
        </w:rPr>
        <w:t>五</w:t>
      </w:r>
      <w:r>
        <w:rPr>
          <w:rFonts w:hint="eastAsia" w:ascii="宋体" w:hAnsi="宋体" w:cs="Times New Roman"/>
          <w:b/>
          <w:bCs/>
          <w:color w:val="auto"/>
          <w:sz w:val="24"/>
        </w:rPr>
        <w:t>、成交通知书</w:t>
      </w:r>
    </w:p>
    <w:p w14:paraId="4F37406F">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cs="Times New Roman"/>
          <w:b/>
          <w:bCs/>
          <w:color w:val="auto"/>
          <w:sz w:val="24"/>
        </w:rPr>
      </w:pPr>
      <w:r>
        <w:rPr>
          <w:rFonts w:hint="eastAsia" w:ascii="宋体" w:hAnsi="宋体" w:cs="Times New Roman"/>
          <w:b/>
          <w:bCs/>
          <w:color w:val="auto"/>
          <w:sz w:val="24"/>
        </w:rPr>
        <w:t>成交结果公示结束无异议后，采购人向成交供应商签发《成交通知书》。</w:t>
      </w:r>
    </w:p>
    <w:p w14:paraId="62CDD9BA">
      <w:pPr>
        <w:widowControl/>
        <w:jc w:val="left"/>
        <w:rPr>
          <w:rFonts w:ascii="宋体" w:hAnsi="宋体"/>
          <w:b/>
          <w:color w:val="auto"/>
          <w:sz w:val="24"/>
        </w:rPr>
      </w:pPr>
      <w:r>
        <w:rPr>
          <w:rFonts w:ascii="宋体" w:hAnsi="宋体"/>
          <w:b/>
          <w:color w:val="auto"/>
          <w:sz w:val="24"/>
        </w:rPr>
        <w:br w:type="page"/>
      </w:r>
    </w:p>
    <w:p w14:paraId="743258D0">
      <w:pPr>
        <w:pStyle w:val="3"/>
        <w:pageBreakBefore w:val="0"/>
        <w:widowControl w:val="0"/>
        <w:kinsoku/>
        <w:wordWrap/>
        <w:overflowPunct/>
        <w:topLinePunct w:val="0"/>
        <w:autoSpaceDE/>
        <w:autoSpaceDN/>
        <w:bidi w:val="0"/>
        <w:adjustRightInd/>
        <w:snapToGrid/>
        <w:spacing w:before="0" w:after="0" w:line="360" w:lineRule="auto"/>
        <w:jc w:val="center"/>
        <w:textAlignment w:val="auto"/>
        <w:outlineLvl w:val="0"/>
        <w:rPr>
          <w:rFonts w:hint="eastAsia" w:ascii="宋体" w:hAnsi="宋体" w:eastAsia="宋体" w:cs="宋体"/>
          <w:color w:val="auto"/>
          <w:sz w:val="24"/>
          <w:szCs w:val="24"/>
          <w:lang w:val="en-US" w:eastAsia="zh-CN"/>
        </w:rPr>
      </w:pPr>
      <w:bookmarkStart w:id="14" w:name="_Toc19153"/>
      <w:r>
        <w:rPr>
          <w:rFonts w:hint="eastAsia" w:ascii="宋体" w:hAnsi="宋体" w:eastAsia="宋体" w:cs="宋体"/>
          <w:color w:val="auto"/>
          <w:sz w:val="24"/>
          <w:szCs w:val="24"/>
          <w:lang w:val="en-US" w:eastAsia="zh-CN"/>
        </w:rPr>
        <w:t>第四部分  采购内容</w:t>
      </w:r>
      <w:bookmarkEnd w:id="13"/>
      <w:r>
        <w:rPr>
          <w:rFonts w:hint="eastAsia" w:ascii="宋体" w:hAnsi="宋体" w:eastAsia="宋体" w:cs="宋体"/>
          <w:color w:val="auto"/>
          <w:sz w:val="24"/>
          <w:szCs w:val="24"/>
          <w:lang w:val="en-US" w:eastAsia="zh-CN"/>
        </w:rPr>
        <w:t>及要求</w:t>
      </w:r>
      <w:bookmarkEnd w:id="14"/>
    </w:p>
    <w:p w14:paraId="317682EE">
      <w:pPr>
        <w:keepNext w:val="0"/>
        <w:keepLines w:val="0"/>
        <w:pageBreakBefore w:val="0"/>
        <w:widowControl w:val="0"/>
        <w:kinsoku/>
        <w:wordWrap/>
        <w:overflowPunct/>
        <w:topLinePunct w:val="0"/>
        <w:autoSpaceDE/>
        <w:autoSpaceDN/>
        <w:bidi w:val="0"/>
        <w:adjustRightInd/>
        <w:snapToGrid/>
        <w:spacing w:line="336" w:lineRule="auto"/>
        <w:textAlignment w:val="auto"/>
        <w:rPr>
          <w:rFonts w:ascii="宋体" w:hAnsi="宋体"/>
          <w:color w:val="auto"/>
          <w:sz w:val="24"/>
        </w:rPr>
      </w:pPr>
      <w:r>
        <w:rPr>
          <w:rFonts w:hint="eastAsia" w:ascii="宋体" w:hAnsi="宋体"/>
          <w:b/>
          <w:bCs/>
          <w:color w:val="auto"/>
          <w:sz w:val="24"/>
        </w:rPr>
        <w:t>一、项目内容及要求</w:t>
      </w:r>
    </w:p>
    <w:p w14:paraId="5EB06DE7">
      <w:pPr>
        <w:keepNext w:val="0"/>
        <w:keepLines w:val="0"/>
        <w:pageBreakBefore w:val="0"/>
        <w:widowControl w:val="0"/>
        <w:kinsoku/>
        <w:wordWrap/>
        <w:overflowPunct/>
        <w:topLinePunct w:val="0"/>
        <w:autoSpaceDE/>
        <w:autoSpaceDN/>
        <w:bidi w:val="0"/>
        <w:adjustRightInd/>
        <w:snapToGrid/>
        <w:spacing w:line="336" w:lineRule="auto"/>
        <w:ind w:firstLine="480" w:firstLineChars="200"/>
        <w:textAlignment w:val="auto"/>
        <w:rPr>
          <w:rFonts w:ascii="宋体" w:hAnsi="宋体" w:cs="黑体"/>
          <w:bCs/>
          <w:color w:val="auto"/>
          <w:kern w:val="0"/>
          <w:sz w:val="24"/>
          <w:highlight w:val="none"/>
        </w:rPr>
      </w:pPr>
      <w:r>
        <w:rPr>
          <w:rFonts w:hint="eastAsia" w:ascii="宋体" w:hAnsi="宋体"/>
          <w:color w:val="auto"/>
          <w:sz w:val="24"/>
        </w:rPr>
        <w:t>（一）采购内容：</w:t>
      </w:r>
      <w:r>
        <w:rPr>
          <w:rFonts w:ascii="宋体" w:hAnsi="宋体" w:cs="黑体"/>
          <w:bCs/>
          <w:color w:val="auto"/>
          <w:kern w:val="0"/>
          <w:sz w:val="24"/>
        </w:rPr>
        <w:t xml:space="preserve"> </w:t>
      </w:r>
      <w:bookmarkStart w:id="15" w:name="_Hlk62486298"/>
    </w:p>
    <w:bookmarkEnd w:id="15"/>
    <w:p w14:paraId="530850D4">
      <w:pPr>
        <w:keepNext w:val="0"/>
        <w:keepLines w:val="0"/>
        <w:pageBreakBefore w:val="0"/>
        <w:widowControl w:val="0"/>
        <w:kinsoku/>
        <w:wordWrap/>
        <w:overflowPunct/>
        <w:topLinePunct w:val="0"/>
        <w:autoSpaceDE/>
        <w:autoSpaceDN/>
        <w:bidi w:val="0"/>
        <w:adjustRightInd/>
        <w:snapToGrid/>
        <w:spacing w:line="336" w:lineRule="auto"/>
        <w:ind w:firstLine="480" w:firstLineChars="200"/>
        <w:textAlignment w:val="auto"/>
        <w:rPr>
          <w:rFonts w:hint="eastAsia" w:ascii="宋体" w:hAnsi="宋体"/>
          <w:color w:val="auto"/>
          <w:sz w:val="24"/>
          <w:highlight w:val="none"/>
        </w:rPr>
      </w:pPr>
      <w:r>
        <w:rPr>
          <w:rFonts w:hint="eastAsia" w:ascii="宋体" w:hAnsi="宋体" w:cs="宋体"/>
          <w:color w:val="auto"/>
          <w:sz w:val="24"/>
          <w:szCs w:val="24"/>
          <w:lang w:eastAsia="zh-CN"/>
        </w:rPr>
        <w:t>邹城市钢山街道办事处钢山花园小区李官村三期热力工程图纸范围内（以施工界面划分为准）的全部施工内容及配套热力机组设备的供货、安装和调试等，主要包括：各类管道沟槽开挖、回填、余土弃置，管道支架安装，管道、阀门安装及配套电气设备（电力电缆、灯具、桥架、配管）安装。本项目施工范围包括：本项目施工范围包括：换热站砖墙砌筑及墙面抹灰，换热站墙面瓷砖铺贴，踢脚线铺贴及地面瓷砖铺贴，换热站格栅板更换，换热站灯具、支架及配套电缆安装；换热站外墙至各住宅楼热力小室热力管道铺设（配套阀门安装等）及相关的管沟开挖、配套土建工程。换热站外墙至商业楼及综合楼热力小室处，接口装置等做法同住宅楼</w:t>
      </w:r>
      <w:r>
        <w:rPr>
          <w:rFonts w:hint="eastAsia" w:ascii="宋体" w:hAnsi="宋体" w:eastAsia="宋体" w:cs="宋体"/>
          <w:color w:val="auto"/>
          <w:sz w:val="24"/>
          <w:szCs w:val="24"/>
          <w:lang w:eastAsia="zh-CN"/>
        </w:rPr>
        <w:t>。采购预算为</w:t>
      </w:r>
      <w:r>
        <w:rPr>
          <w:rFonts w:hint="eastAsia" w:ascii="宋体" w:hAnsi="宋体" w:cs="宋体"/>
          <w:color w:val="auto"/>
          <w:sz w:val="24"/>
          <w:szCs w:val="24"/>
          <w:lang w:eastAsia="zh-CN"/>
        </w:rPr>
        <w:t>2099700.63</w:t>
      </w:r>
      <w:r>
        <w:rPr>
          <w:rFonts w:hint="eastAsia" w:ascii="宋体" w:hAnsi="宋体" w:eastAsia="宋体" w:cs="宋体"/>
          <w:color w:val="auto"/>
          <w:sz w:val="24"/>
          <w:szCs w:val="24"/>
          <w:lang w:eastAsia="zh-CN"/>
        </w:rPr>
        <w:t>元 (</w:t>
      </w:r>
      <w:r>
        <w:rPr>
          <w:rFonts w:hint="eastAsia" w:ascii="宋体" w:hAnsi="宋体" w:cs="宋体"/>
          <w:color w:val="auto"/>
          <w:sz w:val="24"/>
          <w:szCs w:val="24"/>
          <w:lang w:eastAsia="zh-CN"/>
        </w:rPr>
        <w:t>其中：施工采购预算为：1326700.63</w:t>
      </w:r>
      <w:r>
        <w:rPr>
          <w:rFonts w:hint="eastAsia" w:ascii="宋体" w:hAnsi="宋体" w:cs="宋体"/>
          <w:color w:val="auto"/>
          <w:sz w:val="24"/>
          <w:szCs w:val="24"/>
          <w:lang w:val="en-US" w:eastAsia="zh-CN"/>
        </w:rPr>
        <w:t>元，热力机组设备采购预算为773000.00元，</w:t>
      </w:r>
      <w:r>
        <w:rPr>
          <w:rFonts w:hint="eastAsia" w:ascii="宋体" w:hAnsi="宋体" w:eastAsia="宋体" w:cs="宋体"/>
          <w:color w:val="auto"/>
          <w:sz w:val="24"/>
          <w:szCs w:val="24"/>
          <w:lang w:eastAsia="zh-CN"/>
        </w:rPr>
        <w:t>详见第四章采购内容及要求)</w:t>
      </w:r>
      <w:r>
        <w:rPr>
          <w:rFonts w:hint="eastAsia" w:ascii="宋体" w:hAnsi="宋体"/>
          <w:color w:val="auto"/>
          <w:sz w:val="24"/>
          <w:highlight w:val="none"/>
        </w:rPr>
        <w:t>。</w:t>
      </w:r>
    </w:p>
    <w:p w14:paraId="6D7B1B79">
      <w:pPr>
        <w:keepNext w:val="0"/>
        <w:keepLines w:val="0"/>
        <w:pageBreakBefore w:val="0"/>
        <w:widowControl w:val="0"/>
        <w:kinsoku/>
        <w:wordWrap/>
        <w:overflowPunct/>
        <w:topLinePunct w:val="0"/>
        <w:autoSpaceDE/>
        <w:autoSpaceDN/>
        <w:bidi w:val="0"/>
        <w:adjustRightInd/>
        <w:snapToGrid/>
        <w:spacing w:line="336" w:lineRule="auto"/>
        <w:ind w:firstLine="480" w:firstLineChars="200"/>
        <w:textAlignment w:val="auto"/>
        <w:rPr>
          <w:rFonts w:ascii="宋体" w:hAnsi="宋体"/>
          <w:bCs/>
          <w:color w:val="auto"/>
          <w:sz w:val="24"/>
          <w:highlight w:val="none"/>
        </w:rPr>
      </w:pPr>
      <w:r>
        <w:rPr>
          <w:rFonts w:hint="eastAsia" w:ascii="宋体" w:hAnsi="宋体" w:cs="黑体"/>
          <w:bCs/>
          <w:color w:val="auto"/>
          <w:kern w:val="0"/>
          <w:sz w:val="24"/>
          <w:highlight w:val="none"/>
        </w:rPr>
        <w:t>（二）</w:t>
      </w:r>
      <w:r>
        <w:rPr>
          <w:rFonts w:hint="eastAsia" w:ascii="宋体" w:hAnsi="宋体"/>
          <w:color w:val="auto"/>
          <w:sz w:val="24"/>
          <w:highlight w:val="none"/>
        </w:rPr>
        <w:t>建设地点：</w:t>
      </w:r>
      <w:r>
        <w:rPr>
          <w:rFonts w:hint="eastAsia"/>
          <w:color w:val="auto"/>
          <w:sz w:val="24"/>
          <w:szCs w:val="24"/>
          <w:lang w:eastAsia="zh-CN"/>
        </w:rPr>
        <w:t>邹城市钢山街道办事处钢山花园小区社区内</w:t>
      </w:r>
      <w:r>
        <w:rPr>
          <w:rFonts w:hint="eastAsia" w:ascii="宋体" w:hAnsi="宋体" w:cs="黑体"/>
          <w:bCs/>
          <w:color w:val="auto"/>
          <w:kern w:val="0"/>
          <w:sz w:val="24"/>
          <w:highlight w:val="none"/>
        </w:rPr>
        <w:t>。</w:t>
      </w:r>
    </w:p>
    <w:p w14:paraId="096FB7DA">
      <w:pPr>
        <w:keepNext w:val="0"/>
        <w:keepLines w:val="0"/>
        <w:pageBreakBefore w:val="0"/>
        <w:widowControl w:val="0"/>
        <w:shd w:val="clear" w:color="auto" w:fill="FFFFFF"/>
        <w:tabs>
          <w:tab w:val="left" w:pos="840"/>
        </w:tabs>
        <w:kinsoku/>
        <w:wordWrap/>
        <w:overflowPunct/>
        <w:topLinePunct w:val="0"/>
        <w:autoSpaceDE/>
        <w:autoSpaceDN/>
        <w:bidi w:val="0"/>
        <w:adjustRightInd/>
        <w:snapToGrid/>
        <w:spacing w:line="336" w:lineRule="auto"/>
        <w:ind w:firstLine="470" w:firstLineChars="196"/>
        <w:textAlignment w:val="auto"/>
        <w:rPr>
          <w:rFonts w:hint="eastAsia" w:ascii="宋体" w:hAnsi="宋体" w:eastAsia="宋体" w:cs="黑体"/>
          <w:bCs/>
          <w:color w:val="auto"/>
          <w:kern w:val="0"/>
          <w:sz w:val="24"/>
          <w:highlight w:val="none"/>
          <w:u w:val="single"/>
          <w:lang w:eastAsia="zh-CN"/>
        </w:rPr>
      </w:pPr>
      <w:r>
        <w:rPr>
          <w:rFonts w:hint="eastAsia" w:ascii="宋体" w:hAnsi="宋体"/>
          <w:color w:val="auto"/>
          <w:sz w:val="24"/>
          <w:highlight w:val="none"/>
        </w:rPr>
        <w:t>（三）建设</w:t>
      </w:r>
      <w:r>
        <w:rPr>
          <w:rFonts w:hint="eastAsia" w:ascii="宋体" w:hAnsi="宋体"/>
          <w:bCs/>
          <w:color w:val="auto"/>
          <w:sz w:val="24"/>
          <w:highlight w:val="none"/>
        </w:rPr>
        <w:t>规模：</w:t>
      </w:r>
      <w:r>
        <w:rPr>
          <w:rFonts w:hint="eastAsia" w:ascii="宋体" w:hAnsi="宋体" w:eastAsia="宋体" w:cs="宋体"/>
          <w:color w:val="auto"/>
          <w:sz w:val="24"/>
          <w:szCs w:val="24"/>
          <w:lang w:eastAsia="zh-CN"/>
        </w:rPr>
        <w:t>采购预算为</w:t>
      </w:r>
      <w:r>
        <w:rPr>
          <w:rFonts w:hint="eastAsia" w:ascii="宋体" w:hAnsi="宋体" w:cs="宋体"/>
          <w:color w:val="auto"/>
          <w:sz w:val="24"/>
          <w:szCs w:val="24"/>
          <w:lang w:eastAsia="zh-CN"/>
        </w:rPr>
        <w:t>2099700.63</w:t>
      </w:r>
      <w:r>
        <w:rPr>
          <w:rFonts w:hint="eastAsia" w:ascii="宋体" w:hAnsi="宋体" w:eastAsia="宋体" w:cs="宋体"/>
          <w:color w:val="auto"/>
          <w:sz w:val="24"/>
          <w:szCs w:val="24"/>
          <w:lang w:eastAsia="zh-CN"/>
        </w:rPr>
        <w:t>元 (</w:t>
      </w:r>
      <w:r>
        <w:rPr>
          <w:rFonts w:hint="eastAsia" w:ascii="宋体" w:hAnsi="宋体" w:cs="宋体"/>
          <w:color w:val="auto"/>
          <w:sz w:val="24"/>
          <w:szCs w:val="24"/>
          <w:lang w:eastAsia="zh-CN"/>
        </w:rPr>
        <w:t>其中：施工采购预算为：1326700.63</w:t>
      </w:r>
      <w:r>
        <w:rPr>
          <w:rFonts w:hint="eastAsia" w:ascii="宋体" w:hAnsi="宋体" w:cs="宋体"/>
          <w:color w:val="auto"/>
          <w:sz w:val="24"/>
          <w:szCs w:val="24"/>
          <w:lang w:val="en-US" w:eastAsia="zh-CN"/>
        </w:rPr>
        <w:t>元，热力机组设备采购预算为773000.00元</w:t>
      </w:r>
      <w:r>
        <w:rPr>
          <w:rFonts w:hint="eastAsia" w:ascii="宋体" w:hAnsi="宋体"/>
          <w:color w:val="auto"/>
          <w:sz w:val="24"/>
          <w:highlight w:val="none"/>
          <w:lang w:eastAsia="zh-CN"/>
        </w:rPr>
        <w:t>）</w:t>
      </w:r>
    </w:p>
    <w:p w14:paraId="64A0CEAE">
      <w:pPr>
        <w:keepNext w:val="0"/>
        <w:keepLines w:val="0"/>
        <w:pageBreakBefore w:val="0"/>
        <w:widowControl w:val="0"/>
        <w:kinsoku/>
        <w:wordWrap/>
        <w:overflowPunct/>
        <w:topLinePunct w:val="0"/>
        <w:autoSpaceDE/>
        <w:autoSpaceDN/>
        <w:bidi w:val="0"/>
        <w:adjustRightInd/>
        <w:snapToGrid/>
        <w:spacing w:line="336" w:lineRule="auto"/>
        <w:ind w:firstLine="480" w:firstLineChars="200"/>
        <w:textAlignment w:val="auto"/>
        <w:rPr>
          <w:rFonts w:ascii="宋体" w:hAnsi="宋体"/>
          <w:color w:val="auto"/>
          <w:sz w:val="24"/>
          <w:highlight w:val="none"/>
        </w:rPr>
      </w:pPr>
      <w:r>
        <w:rPr>
          <w:rFonts w:hint="eastAsia" w:ascii="宋体" w:hAnsi="宋体"/>
          <w:color w:val="auto"/>
          <w:sz w:val="24"/>
          <w:highlight w:val="none"/>
        </w:rPr>
        <w:t>（四）计划工期：</w:t>
      </w:r>
      <w:bookmarkStart w:id="16" w:name="_Hlk62486200"/>
      <w:r>
        <w:rPr>
          <w:rFonts w:hint="eastAsia" w:ascii="宋体" w:hAnsi="宋体" w:cs="宋体"/>
          <w:color w:val="auto"/>
          <w:sz w:val="24"/>
          <w:highlight w:val="none"/>
          <w:lang w:val="en-US" w:eastAsia="zh-CN"/>
        </w:rPr>
        <w:t>50日历天</w:t>
      </w:r>
      <w:r>
        <w:rPr>
          <w:rFonts w:hint="eastAsia" w:ascii="宋体" w:hAnsi="宋体" w:cs="宋体"/>
          <w:color w:val="auto"/>
          <w:sz w:val="24"/>
          <w:highlight w:val="none"/>
        </w:rPr>
        <w:t>。</w:t>
      </w:r>
      <w:bookmarkEnd w:id="16"/>
    </w:p>
    <w:p w14:paraId="363298A0">
      <w:pPr>
        <w:keepNext w:val="0"/>
        <w:keepLines w:val="0"/>
        <w:pageBreakBefore w:val="0"/>
        <w:widowControl w:val="0"/>
        <w:kinsoku/>
        <w:wordWrap/>
        <w:overflowPunct/>
        <w:topLinePunct w:val="0"/>
        <w:autoSpaceDE/>
        <w:autoSpaceDN/>
        <w:bidi w:val="0"/>
        <w:adjustRightInd/>
        <w:snapToGrid/>
        <w:spacing w:line="336" w:lineRule="auto"/>
        <w:ind w:firstLine="480" w:firstLineChars="200"/>
        <w:textAlignment w:val="auto"/>
        <w:rPr>
          <w:rFonts w:hint="eastAsia" w:ascii="宋体" w:hAnsi="宋体"/>
          <w:color w:val="auto"/>
          <w:sz w:val="24"/>
          <w:highlight w:val="none"/>
        </w:rPr>
      </w:pPr>
      <w:r>
        <w:rPr>
          <w:rFonts w:hint="eastAsia" w:ascii="宋体" w:hAnsi="宋体" w:cs="宋体"/>
          <w:color w:val="auto"/>
          <w:sz w:val="24"/>
          <w:szCs w:val="24"/>
          <w:lang w:val="en-US" w:eastAsia="zh-CN"/>
        </w:rPr>
        <w:t>注：实际开工日期以发包人签署的开工指令为准；竣工日期以发包人及监理等五方共同书面确认的全部工程竣工验收通过日期为准。承包人须根据发包人进度要求进行施工，除发包人书面调整外，无论何种原因，竣工日期不变。以上工期总日历天数的约定已考虑施工期间的节假日、以及城市创卫、环保扬尘治理、冬雨季施工、施工现场场地条件和环境条件、农忙及恶劣气候（包括但不限于大风、沙尘、冰雹、持续高温等）、疫情、政府部门政治性会议或其他事件对施工的限制、设计变更导致工程量的增加或工程的返工工期等因素（一次性设计变更超过合同价款的5%并经发包人书面签证的除外）</w:t>
      </w:r>
    </w:p>
    <w:p w14:paraId="2BC0471F">
      <w:pPr>
        <w:keepNext w:val="0"/>
        <w:keepLines w:val="0"/>
        <w:pageBreakBefore w:val="0"/>
        <w:widowControl w:val="0"/>
        <w:kinsoku/>
        <w:wordWrap/>
        <w:overflowPunct/>
        <w:topLinePunct w:val="0"/>
        <w:autoSpaceDE/>
        <w:autoSpaceDN/>
        <w:bidi w:val="0"/>
        <w:adjustRightInd/>
        <w:snapToGrid/>
        <w:spacing w:line="336" w:lineRule="auto"/>
        <w:ind w:firstLine="480" w:firstLineChars="200"/>
        <w:textAlignment w:val="auto"/>
        <w:rPr>
          <w:rFonts w:ascii="宋体" w:hAnsi="宋体" w:cs="宋体"/>
          <w:color w:val="auto"/>
          <w:sz w:val="24"/>
          <w:highlight w:val="none"/>
        </w:rPr>
      </w:pPr>
      <w:r>
        <w:rPr>
          <w:rFonts w:hint="eastAsia" w:ascii="宋体" w:hAnsi="宋体"/>
          <w:color w:val="auto"/>
          <w:sz w:val="24"/>
          <w:highlight w:val="none"/>
        </w:rPr>
        <w:t>（五）质量要求：</w:t>
      </w:r>
      <w:r>
        <w:rPr>
          <w:rFonts w:hint="eastAsia" w:ascii="宋体" w:hAnsi="宋体"/>
          <w:bCs/>
          <w:color w:val="auto"/>
          <w:sz w:val="24"/>
          <w:highlight w:val="none"/>
        </w:rPr>
        <w:t>合格。</w:t>
      </w:r>
    </w:p>
    <w:p w14:paraId="2D1A4D09">
      <w:pPr>
        <w:keepNext w:val="0"/>
        <w:keepLines w:val="0"/>
        <w:pageBreakBefore w:val="0"/>
        <w:widowControl w:val="0"/>
        <w:kinsoku/>
        <w:wordWrap/>
        <w:overflowPunct/>
        <w:topLinePunct w:val="0"/>
        <w:autoSpaceDE/>
        <w:autoSpaceDN/>
        <w:bidi w:val="0"/>
        <w:adjustRightInd/>
        <w:snapToGrid/>
        <w:spacing w:line="336" w:lineRule="auto"/>
        <w:ind w:firstLine="482" w:firstLineChars="200"/>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供应商应保证其所施工全部内容及所供机组达到热力公司相应技术要求，并能通过热力公司验收，同时配合好换热站建设、保证自控及上位通讯良好，做好调试、试运行、供热、及验收相关工作。</w:t>
      </w:r>
    </w:p>
    <w:p w14:paraId="0285EB1C">
      <w:pPr>
        <w:keepNext w:val="0"/>
        <w:keepLines w:val="0"/>
        <w:pageBreakBefore w:val="0"/>
        <w:widowControl w:val="0"/>
        <w:kinsoku/>
        <w:wordWrap/>
        <w:overflowPunct/>
        <w:topLinePunct w:val="0"/>
        <w:autoSpaceDE/>
        <w:autoSpaceDN/>
        <w:bidi w:val="0"/>
        <w:adjustRightInd/>
        <w:snapToGrid/>
        <w:spacing w:line="336" w:lineRule="auto"/>
        <w:ind w:firstLine="480" w:firstLineChars="200"/>
        <w:textAlignment w:val="auto"/>
        <w:rPr>
          <w:rFonts w:ascii="宋体" w:hAnsi="宋体"/>
          <w:bCs/>
          <w:color w:val="auto"/>
          <w:sz w:val="24"/>
          <w:highlight w:val="none"/>
        </w:rPr>
      </w:pPr>
      <w:r>
        <w:rPr>
          <w:rFonts w:hint="eastAsia" w:ascii="宋体" w:hAnsi="宋体"/>
          <w:bCs/>
          <w:color w:val="auto"/>
          <w:sz w:val="24"/>
          <w:highlight w:val="none"/>
        </w:rPr>
        <w:t>（六）</w:t>
      </w:r>
      <w:r>
        <w:rPr>
          <w:rFonts w:hint="eastAsia" w:ascii="宋体" w:hAnsi="宋体" w:cs="宋体"/>
          <w:b w:val="0"/>
          <w:bCs/>
          <w:color w:val="auto"/>
          <w:sz w:val="24"/>
          <w:szCs w:val="24"/>
          <w:highlight w:val="none"/>
          <w:lang w:eastAsia="zh-CN"/>
        </w:rPr>
        <w:t>缺陷责任期</w:t>
      </w:r>
      <w:r>
        <w:rPr>
          <w:rFonts w:hint="eastAsia" w:ascii="宋体" w:hAnsi="宋体" w:eastAsia="宋体" w:cs="宋体"/>
          <w:b w:val="0"/>
          <w:bCs/>
          <w:color w:val="auto"/>
          <w:sz w:val="24"/>
          <w:szCs w:val="24"/>
          <w:highlight w:val="none"/>
        </w:rPr>
        <w:t>：</w:t>
      </w:r>
      <w:r>
        <w:rPr>
          <w:rFonts w:hint="eastAsia" w:ascii="宋体" w:hAnsi="宋体" w:cs="宋体"/>
          <w:b w:val="0"/>
          <w:bCs/>
          <w:color w:val="auto"/>
          <w:sz w:val="24"/>
          <w:szCs w:val="24"/>
          <w:highlight w:val="none"/>
          <w:lang w:eastAsia="zh-CN"/>
        </w:rPr>
        <w:t>两个完整的供暖期</w:t>
      </w:r>
      <w:r>
        <w:rPr>
          <w:rFonts w:hint="eastAsia" w:ascii="宋体" w:hAnsi="宋体" w:eastAsia="宋体" w:cs="宋体"/>
          <w:b w:val="0"/>
          <w:bCs/>
          <w:color w:val="auto"/>
          <w:sz w:val="24"/>
          <w:szCs w:val="24"/>
          <w:highlight w:val="none"/>
        </w:rPr>
        <w:t>。</w:t>
      </w:r>
    </w:p>
    <w:p w14:paraId="215A3340">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14:paraId="0864211B">
      <w:pPr>
        <w:numPr>
          <w:ilvl w:val="0"/>
          <w:numId w:val="0"/>
        </w:numPr>
        <w:spacing w:line="360" w:lineRule="auto"/>
        <w:ind w:leftChars="0"/>
        <w:rPr>
          <w:rFonts w:hint="eastAsia" w:ascii="宋体" w:hAnsi="宋体" w:cs="宋体"/>
          <w:b/>
          <w:color w:val="auto"/>
          <w:sz w:val="24"/>
          <w:szCs w:val="24"/>
          <w:lang w:eastAsia="zh-CN"/>
        </w:rPr>
      </w:pPr>
      <w:r>
        <w:rPr>
          <w:rFonts w:hint="eastAsia" w:ascii="宋体" w:hAnsi="宋体" w:cs="宋体"/>
          <w:b/>
          <w:color w:val="auto"/>
          <w:sz w:val="24"/>
          <w:szCs w:val="24"/>
          <w:lang w:eastAsia="zh-CN"/>
        </w:rPr>
        <w:t>二、</w:t>
      </w:r>
      <w:r>
        <w:rPr>
          <w:rFonts w:hint="eastAsia" w:ascii="宋体" w:hAnsi="宋体" w:eastAsia="宋体" w:cs="宋体"/>
          <w:b/>
          <w:color w:val="auto"/>
          <w:sz w:val="24"/>
          <w:szCs w:val="24"/>
        </w:rPr>
        <w:t>工程量清单</w:t>
      </w:r>
      <w:r>
        <w:rPr>
          <w:rFonts w:hint="eastAsia" w:ascii="宋体" w:hAnsi="宋体" w:cs="宋体"/>
          <w:b/>
          <w:color w:val="auto"/>
          <w:sz w:val="24"/>
          <w:szCs w:val="24"/>
          <w:lang w:eastAsia="zh-CN"/>
        </w:rPr>
        <w:t>说明</w:t>
      </w:r>
    </w:p>
    <w:p w14:paraId="38B7A0DE">
      <w:pPr>
        <w:pStyle w:val="3"/>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rPr>
      </w:pPr>
      <w:bookmarkStart w:id="17" w:name="_Toc14502"/>
      <w:bookmarkStart w:id="18" w:name="_Toc300232554"/>
      <w:bookmarkStart w:id="19" w:name="_Toc9708"/>
      <w:bookmarkStart w:id="20" w:name="_Toc10308"/>
      <w:bookmarkStart w:id="21" w:name="_Toc15408"/>
      <w:r>
        <w:rPr>
          <w:rFonts w:hint="eastAsia" w:ascii="宋体" w:hAnsi="宋体" w:eastAsia="宋体" w:cs="宋体"/>
          <w:color w:val="auto"/>
          <w:sz w:val="24"/>
          <w:szCs w:val="24"/>
          <w:highlight w:val="none"/>
        </w:rPr>
        <w:t>1、工程量清单说明</w:t>
      </w:r>
      <w:bookmarkEnd w:id="17"/>
      <w:bookmarkEnd w:id="18"/>
      <w:bookmarkEnd w:id="19"/>
      <w:bookmarkEnd w:id="20"/>
      <w:bookmarkEnd w:id="21"/>
    </w:p>
    <w:p w14:paraId="544BE376">
      <w:pPr>
        <w:pageBreakBefore w:val="0"/>
        <w:kinsoku/>
        <w:wordWrap/>
        <w:overflowPunct/>
        <w:topLinePunct w:val="0"/>
        <w:autoSpaceDE/>
        <w:autoSpaceDN/>
        <w:bidi w:val="0"/>
        <w:adjustRightInd/>
        <w:snapToGrid/>
        <w:spacing w:line="360" w:lineRule="auto"/>
        <w:ind w:firstLine="410" w:firstLineChars="171"/>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bidi="ar"/>
        </w:rPr>
        <w:t>1.1本工程量清单是</w:t>
      </w:r>
      <w:r>
        <w:rPr>
          <w:rFonts w:hint="eastAsia" w:ascii="宋体" w:hAnsi="宋体" w:cs="宋体"/>
          <w:color w:val="auto"/>
          <w:sz w:val="24"/>
          <w:szCs w:val="24"/>
          <w:highlight w:val="none"/>
          <w:lang w:eastAsia="zh-CN" w:bidi="ar"/>
        </w:rPr>
        <w:t>参照</w:t>
      </w:r>
      <w:r>
        <w:rPr>
          <w:rFonts w:hint="eastAsia" w:ascii="宋体" w:hAnsi="宋体" w:cs="宋体"/>
          <w:color w:val="auto"/>
          <w:sz w:val="24"/>
          <w:szCs w:val="24"/>
          <w:highlight w:val="none"/>
          <w:lang w:bidi="ar"/>
        </w:rPr>
        <w:t>中华人民共和国国家标准《建设工程工程量清单计价规范》(以下简称“计价规范”)、 《山东省建设工程工程量清单计价规则》以及</w:t>
      </w:r>
      <w:r>
        <w:rPr>
          <w:rFonts w:hint="eastAsia" w:ascii="宋体" w:hAnsi="宋体" w:cs="宋体"/>
          <w:color w:val="auto"/>
          <w:sz w:val="24"/>
          <w:szCs w:val="24"/>
          <w:highlight w:val="none"/>
          <w:lang w:eastAsia="zh-CN" w:bidi="ar"/>
        </w:rPr>
        <w:t>采购文件</w:t>
      </w:r>
      <w:r>
        <w:rPr>
          <w:rFonts w:hint="eastAsia" w:ascii="宋体" w:hAnsi="宋体" w:cs="宋体"/>
          <w:color w:val="auto"/>
          <w:sz w:val="24"/>
          <w:szCs w:val="24"/>
          <w:highlight w:val="none"/>
          <w:lang w:bidi="ar"/>
        </w:rPr>
        <w:t>中包括的图纸等编制。计价规范中规定的工程量计算规则中没有的子目，应在本章第1.4款约定；计价规范中规定的工程量计算规则中没有且本章第1.4款也未约定的，双方协商确定；协商不成的，可向省级或行业工程造价管理机构申请裁定或按照有合同约束力的图纸所标示尺寸的理论净量计算。计量采用中华人民共和国法定的基本计量单位。</w:t>
      </w:r>
    </w:p>
    <w:p w14:paraId="666FAA81">
      <w:pPr>
        <w:pageBreakBefore w:val="0"/>
        <w:kinsoku/>
        <w:wordWrap/>
        <w:overflowPunct/>
        <w:topLinePunct w:val="0"/>
        <w:autoSpaceDE/>
        <w:autoSpaceDN/>
        <w:bidi w:val="0"/>
        <w:adjustRightInd/>
        <w:snapToGrid/>
        <w:spacing w:line="360" w:lineRule="auto"/>
        <w:ind w:firstLine="410" w:firstLineChars="171"/>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bidi="ar"/>
        </w:rPr>
        <w:t>1.2本工程量清单应与</w:t>
      </w:r>
      <w:r>
        <w:rPr>
          <w:rFonts w:hint="eastAsia" w:ascii="宋体" w:hAnsi="宋体" w:cs="宋体"/>
          <w:color w:val="auto"/>
          <w:sz w:val="24"/>
          <w:szCs w:val="24"/>
          <w:highlight w:val="none"/>
          <w:lang w:eastAsia="zh-CN" w:bidi="ar"/>
        </w:rPr>
        <w:t>采购文件</w:t>
      </w:r>
      <w:r>
        <w:rPr>
          <w:rFonts w:hint="eastAsia" w:ascii="宋体" w:hAnsi="宋体" w:cs="宋体"/>
          <w:color w:val="auto"/>
          <w:sz w:val="24"/>
          <w:szCs w:val="24"/>
          <w:highlight w:val="none"/>
          <w:lang w:bidi="ar"/>
        </w:rPr>
        <w:t>中的</w:t>
      </w:r>
      <w:r>
        <w:rPr>
          <w:rFonts w:hint="eastAsia" w:ascii="宋体" w:hAnsi="宋体" w:cs="宋体"/>
          <w:color w:val="auto"/>
          <w:sz w:val="24"/>
          <w:szCs w:val="24"/>
          <w:highlight w:val="none"/>
          <w:lang w:eastAsia="zh-CN" w:bidi="ar"/>
        </w:rPr>
        <w:t>供应商</w:t>
      </w:r>
      <w:r>
        <w:rPr>
          <w:rFonts w:hint="eastAsia" w:ascii="宋体" w:hAnsi="宋体" w:cs="宋体"/>
          <w:color w:val="auto"/>
          <w:sz w:val="24"/>
          <w:szCs w:val="24"/>
          <w:highlight w:val="none"/>
          <w:lang w:bidi="ar"/>
        </w:rPr>
        <w:t>须知、通用合同条款、专用合同条款、技术标准和要求及图纸等章节内容一起阅读和理解。</w:t>
      </w:r>
    </w:p>
    <w:p w14:paraId="1E768B86">
      <w:pPr>
        <w:pageBreakBefore w:val="0"/>
        <w:kinsoku/>
        <w:wordWrap/>
        <w:overflowPunct/>
        <w:topLinePunct w:val="0"/>
        <w:autoSpaceDE/>
        <w:autoSpaceDN/>
        <w:bidi w:val="0"/>
        <w:adjustRightInd/>
        <w:snapToGrid/>
        <w:spacing w:line="360" w:lineRule="auto"/>
        <w:ind w:firstLine="410" w:firstLineChars="171"/>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bidi="ar"/>
        </w:rPr>
        <w:t>1.3本工程量清单仅是投标报价的共同基础，竣工结算的工程量按合同约定确定。合同价格的确定以及价款支付应遵循合同条款(包括通用合同条款和专用合同条款)、技术标准和要求以及本章的有关约定。</w:t>
      </w:r>
    </w:p>
    <w:p w14:paraId="390EA611">
      <w:pPr>
        <w:pageBreakBefore w:val="0"/>
        <w:kinsoku/>
        <w:wordWrap/>
        <w:overflowPunct/>
        <w:topLinePunct w:val="0"/>
        <w:autoSpaceDE/>
        <w:autoSpaceDN/>
        <w:bidi w:val="0"/>
        <w:adjustRightInd/>
        <w:snapToGrid/>
        <w:spacing w:line="360" w:lineRule="auto"/>
        <w:ind w:firstLine="410" w:firstLineChars="171"/>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bidi="ar"/>
        </w:rPr>
        <w:t>1.4补充子目的子目特征、计量单位、工程量计算规则及工作内容说明如下：</w:t>
      </w:r>
    </w:p>
    <w:p w14:paraId="2A4C3D3A">
      <w:pPr>
        <w:pageBreakBefore w:val="0"/>
        <w:kinsoku/>
        <w:wordWrap/>
        <w:overflowPunct/>
        <w:topLinePunct w:val="0"/>
        <w:autoSpaceDE/>
        <w:autoSpaceDN/>
        <w:bidi w:val="0"/>
        <w:adjustRightInd/>
        <w:snapToGrid/>
        <w:spacing w:line="360" w:lineRule="auto"/>
        <w:ind w:left="741" w:hanging="847" w:hangingChars="353"/>
        <w:textAlignment w:val="auto"/>
        <w:rPr>
          <w:rFonts w:hint="eastAsia" w:ascii="宋体" w:hAnsi="宋体" w:cs="宋体"/>
          <w:b/>
          <w:color w:val="auto"/>
          <w:sz w:val="24"/>
          <w:szCs w:val="24"/>
          <w:highlight w:val="none"/>
        </w:rPr>
      </w:pPr>
      <w:r>
        <w:rPr>
          <w:rFonts w:hint="eastAsia" w:ascii="宋体" w:hAnsi="宋体" w:cs="宋体"/>
          <w:color w:val="auto"/>
          <w:sz w:val="24"/>
          <w:szCs w:val="24"/>
          <w:highlight w:val="none"/>
          <w:lang w:bidi="ar"/>
        </w:rPr>
        <w:t xml:space="preserve"> </w:t>
      </w:r>
      <w:r>
        <w:rPr>
          <w:rFonts w:hint="eastAsia" w:ascii="宋体" w:hAnsi="宋体" w:cs="宋体"/>
          <w:color w:val="auto"/>
          <w:sz w:val="24"/>
          <w:szCs w:val="24"/>
          <w:highlight w:val="none"/>
          <w:u w:val="single"/>
          <w:lang w:bidi="ar"/>
        </w:rPr>
        <w:t xml:space="preserve">                  ／                            。</w:t>
      </w:r>
    </w:p>
    <w:p w14:paraId="436573B3">
      <w:pPr>
        <w:pageBreakBefore w:val="0"/>
        <w:kinsoku/>
        <w:wordWrap/>
        <w:overflowPunct/>
        <w:topLinePunct w:val="0"/>
        <w:autoSpaceDE/>
        <w:autoSpaceDN/>
        <w:bidi w:val="0"/>
        <w:adjustRightInd/>
        <w:snapToGrid/>
        <w:spacing w:line="360" w:lineRule="auto"/>
        <w:ind w:firstLine="410" w:firstLineChars="171"/>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bidi="ar"/>
        </w:rPr>
        <w:t>1.5本条第1.1款中约定的计量和计价规则适用于合同履约过程中工程量计量与价款支付、工程变更、索赔和工程结算。</w:t>
      </w:r>
    </w:p>
    <w:p w14:paraId="4FD3F695">
      <w:pPr>
        <w:pageBreakBefore w:val="0"/>
        <w:kinsoku/>
        <w:wordWrap/>
        <w:overflowPunct/>
        <w:topLinePunct w:val="0"/>
        <w:autoSpaceDE/>
        <w:autoSpaceDN/>
        <w:bidi w:val="0"/>
        <w:adjustRightInd/>
        <w:snapToGrid/>
        <w:spacing w:line="360" w:lineRule="auto"/>
        <w:ind w:firstLine="410" w:firstLineChars="171"/>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bidi="ar"/>
        </w:rPr>
        <w:t>1.6本条与下述</w:t>
      </w:r>
      <w:r>
        <w:rPr>
          <w:rFonts w:hint="eastAsia" w:ascii="宋体" w:hAnsi="宋体" w:cs="宋体"/>
          <w:color w:val="auto"/>
          <w:sz w:val="24"/>
          <w:szCs w:val="24"/>
          <w:highlight w:val="none"/>
          <w:lang w:eastAsia="zh-CN" w:bidi="ar"/>
        </w:rPr>
        <w:t>相关</w:t>
      </w:r>
      <w:r>
        <w:rPr>
          <w:rFonts w:hint="eastAsia" w:ascii="宋体" w:hAnsi="宋体" w:cs="宋体"/>
          <w:color w:val="auto"/>
          <w:sz w:val="24"/>
          <w:szCs w:val="24"/>
          <w:highlight w:val="none"/>
          <w:lang w:bidi="ar"/>
        </w:rPr>
        <w:t>说明内容是构成合同文件的已标价工程量清单的组成部分。</w:t>
      </w:r>
    </w:p>
    <w:p w14:paraId="42A73695">
      <w:pPr>
        <w:pStyle w:val="3"/>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rPr>
      </w:pPr>
      <w:bookmarkStart w:id="22" w:name="_Toc6844"/>
      <w:bookmarkStart w:id="23" w:name="_Toc5922"/>
      <w:bookmarkStart w:id="24" w:name="_Toc300232555"/>
      <w:bookmarkStart w:id="25" w:name="_Toc3055"/>
      <w:bookmarkStart w:id="26" w:name="_Toc22283"/>
      <w:r>
        <w:rPr>
          <w:rFonts w:hint="eastAsia" w:ascii="宋体" w:hAnsi="宋体" w:eastAsia="宋体" w:cs="宋体"/>
          <w:color w:val="auto"/>
          <w:sz w:val="24"/>
          <w:szCs w:val="24"/>
          <w:highlight w:val="none"/>
        </w:rPr>
        <w:t>2、投标报价说明</w:t>
      </w:r>
      <w:bookmarkEnd w:id="22"/>
      <w:bookmarkEnd w:id="23"/>
      <w:bookmarkEnd w:id="24"/>
      <w:bookmarkEnd w:id="25"/>
      <w:bookmarkEnd w:id="26"/>
    </w:p>
    <w:p w14:paraId="66625C50">
      <w:pPr>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bidi="ar"/>
        </w:rPr>
        <w:t>2.1投标报价应根据</w:t>
      </w:r>
      <w:r>
        <w:rPr>
          <w:rFonts w:hint="eastAsia" w:ascii="宋体" w:hAnsi="宋体" w:cs="宋体"/>
          <w:color w:val="auto"/>
          <w:sz w:val="24"/>
          <w:szCs w:val="24"/>
          <w:highlight w:val="none"/>
          <w:lang w:eastAsia="zh-CN" w:bidi="ar"/>
        </w:rPr>
        <w:t>采购文件</w:t>
      </w:r>
      <w:r>
        <w:rPr>
          <w:rFonts w:hint="eastAsia" w:ascii="宋体" w:hAnsi="宋体" w:cs="宋体"/>
          <w:color w:val="auto"/>
          <w:sz w:val="24"/>
          <w:szCs w:val="24"/>
          <w:highlight w:val="none"/>
          <w:lang w:bidi="ar"/>
        </w:rPr>
        <w:t>中的有关计价要求，并按照下列依据自主报价。</w:t>
      </w:r>
    </w:p>
    <w:p w14:paraId="58D7E9B4">
      <w:pPr>
        <w:pageBreakBefore w:val="0"/>
        <w:numPr>
          <w:ilvl w:val="0"/>
          <w:numId w:val="3"/>
        </w:numPr>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bidi="ar"/>
        </w:rPr>
        <w:t>本</w:t>
      </w:r>
      <w:r>
        <w:rPr>
          <w:rFonts w:hint="eastAsia" w:ascii="宋体" w:hAnsi="宋体" w:cs="宋体"/>
          <w:color w:val="auto"/>
          <w:sz w:val="24"/>
          <w:szCs w:val="24"/>
          <w:highlight w:val="none"/>
          <w:lang w:eastAsia="zh-CN" w:bidi="ar"/>
        </w:rPr>
        <w:t>采购文件</w:t>
      </w:r>
      <w:r>
        <w:rPr>
          <w:rFonts w:hint="eastAsia" w:ascii="宋体" w:hAnsi="宋体" w:cs="宋体"/>
          <w:color w:val="auto"/>
          <w:sz w:val="24"/>
          <w:szCs w:val="24"/>
          <w:highlight w:val="none"/>
          <w:lang w:bidi="ar"/>
        </w:rPr>
        <w:t>；</w:t>
      </w:r>
    </w:p>
    <w:p w14:paraId="3BDB4AC9">
      <w:pPr>
        <w:pageBreakBefore w:val="0"/>
        <w:numPr>
          <w:ilvl w:val="0"/>
          <w:numId w:val="3"/>
        </w:numPr>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bidi="ar"/>
        </w:rPr>
        <w:t>国家或省级、行业建设主管部门颁发的计价办法；</w:t>
      </w:r>
    </w:p>
    <w:p w14:paraId="02EF213E">
      <w:pPr>
        <w:pageBreakBefore w:val="0"/>
        <w:numPr>
          <w:ilvl w:val="0"/>
          <w:numId w:val="3"/>
        </w:numPr>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bidi="ar"/>
        </w:rPr>
        <w:t>企业定额，国家或省级、行业建设主管部门颁发的计价定额；</w:t>
      </w:r>
    </w:p>
    <w:p w14:paraId="5F3A03A5">
      <w:pPr>
        <w:pageBreakBefore w:val="0"/>
        <w:numPr>
          <w:ilvl w:val="0"/>
          <w:numId w:val="3"/>
        </w:numPr>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bidi="ar"/>
        </w:rPr>
        <w:t>采购文件</w:t>
      </w:r>
      <w:r>
        <w:rPr>
          <w:rFonts w:hint="eastAsia" w:ascii="宋体" w:hAnsi="宋体" w:cs="宋体"/>
          <w:color w:val="auto"/>
          <w:sz w:val="24"/>
          <w:szCs w:val="24"/>
          <w:highlight w:val="none"/>
          <w:lang w:bidi="ar"/>
        </w:rPr>
        <w:t>(包括工程量清单)的澄清、补充和修改文件；</w:t>
      </w:r>
    </w:p>
    <w:p w14:paraId="530D5C89">
      <w:pPr>
        <w:pageBreakBefore w:val="0"/>
        <w:numPr>
          <w:ilvl w:val="0"/>
          <w:numId w:val="3"/>
        </w:numPr>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bidi="ar"/>
        </w:rPr>
        <w:t>建设工程设计文件及相关资料；</w:t>
      </w:r>
    </w:p>
    <w:p w14:paraId="5AEB5E1B">
      <w:pPr>
        <w:pageBreakBefore w:val="0"/>
        <w:numPr>
          <w:ilvl w:val="0"/>
          <w:numId w:val="3"/>
        </w:numPr>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bidi="ar"/>
        </w:rPr>
        <w:t>施工现场情况、工程特点及拟定的投标施工组织设计或施工方案；</w:t>
      </w:r>
    </w:p>
    <w:p w14:paraId="6E70B060">
      <w:pPr>
        <w:pageBreakBefore w:val="0"/>
        <w:numPr>
          <w:ilvl w:val="0"/>
          <w:numId w:val="3"/>
        </w:numPr>
        <w:kinsoku/>
        <w:wordWrap/>
        <w:overflowPunct/>
        <w:topLinePunct w:val="0"/>
        <w:autoSpaceDE/>
        <w:autoSpaceDN/>
        <w:bidi w:val="0"/>
        <w:adjustRightInd/>
        <w:snapToGrid/>
        <w:spacing w:line="360" w:lineRule="auto"/>
        <w:ind w:left="0" w:firstLine="480" w:firstLineChars="200"/>
        <w:textAlignment w:val="auto"/>
        <w:rPr>
          <w:color w:val="auto"/>
          <w:sz w:val="24"/>
          <w:szCs w:val="24"/>
          <w:highlight w:val="none"/>
        </w:rPr>
      </w:pPr>
      <w:r>
        <w:rPr>
          <w:rFonts w:hint="eastAsia" w:ascii="Times New Roman" w:hAnsi="Times New Roman" w:cs="宋体"/>
          <w:color w:val="auto"/>
          <w:sz w:val="24"/>
          <w:szCs w:val="24"/>
          <w:highlight w:val="none"/>
          <w:lang w:bidi="ar"/>
        </w:rPr>
        <w:t>与建设项目相关的标准、规定等技术资料；</w:t>
      </w:r>
    </w:p>
    <w:p w14:paraId="6987E5A3">
      <w:pPr>
        <w:pageBreakBefore w:val="0"/>
        <w:numPr>
          <w:ilvl w:val="0"/>
          <w:numId w:val="3"/>
        </w:numPr>
        <w:kinsoku/>
        <w:wordWrap/>
        <w:overflowPunct/>
        <w:topLinePunct w:val="0"/>
        <w:autoSpaceDE/>
        <w:autoSpaceDN/>
        <w:bidi w:val="0"/>
        <w:adjustRightInd/>
        <w:snapToGrid/>
        <w:spacing w:line="360" w:lineRule="auto"/>
        <w:ind w:left="0" w:firstLine="480" w:firstLineChars="200"/>
        <w:textAlignment w:val="auto"/>
        <w:rPr>
          <w:color w:val="auto"/>
          <w:sz w:val="24"/>
          <w:szCs w:val="24"/>
          <w:highlight w:val="none"/>
        </w:rPr>
      </w:pPr>
      <w:r>
        <w:rPr>
          <w:rFonts w:hint="eastAsia" w:ascii="Times New Roman" w:hAnsi="Times New Roman" w:cs="宋体"/>
          <w:color w:val="auto"/>
          <w:sz w:val="24"/>
          <w:szCs w:val="24"/>
          <w:highlight w:val="none"/>
          <w:lang w:bidi="ar"/>
        </w:rPr>
        <w:t>市场价格信息或工程造价管理机构发布的工程造价信息；</w:t>
      </w:r>
    </w:p>
    <w:p w14:paraId="61CA0B64">
      <w:pPr>
        <w:pageBreakBefore w:val="0"/>
        <w:numPr>
          <w:ilvl w:val="0"/>
          <w:numId w:val="3"/>
        </w:numPr>
        <w:kinsoku/>
        <w:wordWrap/>
        <w:overflowPunct/>
        <w:topLinePunct w:val="0"/>
        <w:autoSpaceDE/>
        <w:autoSpaceDN/>
        <w:bidi w:val="0"/>
        <w:adjustRightInd/>
        <w:snapToGrid/>
        <w:spacing w:line="360" w:lineRule="auto"/>
        <w:ind w:left="0" w:firstLine="480" w:firstLineChars="200"/>
        <w:textAlignment w:val="auto"/>
        <w:rPr>
          <w:color w:val="auto"/>
          <w:sz w:val="24"/>
          <w:szCs w:val="24"/>
          <w:highlight w:val="none"/>
        </w:rPr>
      </w:pPr>
      <w:r>
        <w:rPr>
          <w:rFonts w:hint="eastAsia" w:ascii="Times New Roman" w:hAnsi="Times New Roman" w:cs="宋体"/>
          <w:color w:val="auto"/>
          <w:sz w:val="24"/>
          <w:szCs w:val="24"/>
          <w:highlight w:val="none"/>
          <w:lang w:bidi="ar"/>
        </w:rPr>
        <w:t>其他的相关资料。</w:t>
      </w:r>
    </w:p>
    <w:p w14:paraId="2BB30E8D">
      <w:pPr>
        <w:pageBreakBefore w:val="0"/>
        <w:kinsoku/>
        <w:wordWrap/>
        <w:overflowPunct/>
        <w:topLinePunct w:val="0"/>
        <w:autoSpaceDE/>
        <w:autoSpaceDN/>
        <w:bidi w:val="0"/>
        <w:adjustRightInd/>
        <w:snapToGrid/>
        <w:spacing w:line="360" w:lineRule="auto"/>
        <w:ind w:firstLine="480" w:firstLineChars="200"/>
        <w:textAlignment w:val="auto"/>
        <w:rPr>
          <w:color w:val="auto"/>
          <w:sz w:val="24"/>
          <w:szCs w:val="24"/>
          <w:highlight w:val="none"/>
        </w:rPr>
      </w:pPr>
      <w:r>
        <w:rPr>
          <w:rFonts w:ascii="Times New Roman" w:hAnsi="Times New Roman"/>
          <w:color w:val="auto"/>
          <w:sz w:val="24"/>
          <w:szCs w:val="24"/>
          <w:highlight w:val="none"/>
          <w:lang w:bidi="ar"/>
        </w:rPr>
        <w:t>2.2</w:t>
      </w:r>
      <w:r>
        <w:rPr>
          <w:rFonts w:hint="eastAsia" w:ascii="Times New Roman" w:hAnsi="Times New Roman" w:cs="宋体"/>
          <w:color w:val="auto"/>
          <w:sz w:val="24"/>
          <w:szCs w:val="24"/>
          <w:highlight w:val="none"/>
          <w:lang w:bidi="ar"/>
        </w:rPr>
        <w:t>工程量清单中的每一子目须填入单价或价格，且只允许有一个报价。</w:t>
      </w:r>
    </w:p>
    <w:p w14:paraId="367F02D6">
      <w:pPr>
        <w:pageBreakBefore w:val="0"/>
        <w:kinsoku/>
        <w:wordWrap/>
        <w:overflowPunct/>
        <w:topLinePunct w:val="0"/>
        <w:autoSpaceDE/>
        <w:autoSpaceDN/>
        <w:bidi w:val="0"/>
        <w:adjustRightInd/>
        <w:snapToGrid/>
        <w:spacing w:line="360" w:lineRule="auto"/>
        <w:ind w:firstLine="480" w:firstLineChars="200"/>
        <w:textAlignment w:val="auto"/>
        <w:rPr>
          <w:color w:val="auto"/>
          <w:sz w:val="24"/>
          <w:szCs w:val="24"/>
          <w:highlight w:val="none"/>
        </w:rPr>
      </w:pPr>
      <w:r>
        <w:rPr>
          <w:rFonts w:ascii="Times New Roman" w:hAnsi="Times New Roman"/>
          <w:color w:val="auto"/>
          <w:sz w:val="24"/>
          <w:szCs w:val="24"/>
          <w:highlight w:val="none"/>
          <w:lang w:bidi="ar"/>
        </w:rPr>
        <w:t>2.3</w:t>
      </w:r>
      <w:r>
        <w:rPr>
          <w:rFonts w:hint="eastAsia" w:ascii="Times New Roman" w:hAnsi="Times New Roman" w:cs="宋体"/>
          <w:color w:val="auto"/>
          <w:sz w:val="24"/>
          <w:szCs w:val="24"/>
          <w:highlight w:val="none"/>
          <w:lang w:bidi="ar"/>
        </w:rPr>
        <w:t>已标价工程量清单中</w:t>
      </w:r>
      <w:r>
        <w:rPr>
          <w:rFonts w:hint="eastAsia" w:ascii="Times New Roman" w:hAnsi="Times New Roman" w:cs="宋体"/>
          <w:color w:val="auto"/>
          <w:sz w:val="24"/>
          <w:szCs w:val="24"/>
          <w:highlight w:val="none"/>
          <w:lang w:eastAsia="zh-CN" w:bidi="ar"/>
        </w:rPr>
        <w:t>供应商</w:t>
      </w:r>
      <w:r>
        <w:rPr>
          <w:rFonts w:hint="eastAsia" w:ascii="Times New Roman" w:hAnsi="Times New Roman" w:cs="宋体"/>
          <w:color w:val="auto"/>
          <w:sz w:val="24"/>
          <w:szCs w:val="24"/>
          <w:highlight w:val="none"/>
          <w:lang w:bidi="ar"/>
        </w:rPr>
        <w:t>没有填入单价或价格的子目，其费用视为已分摊在工程量清单中其他已标价的相关子目的单价或价格之中。</w:t>
      </w:r>
    </w:p>
    <w:p w14:paraId="164B887C">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eastAsia="宋体" w:cs="宋体"/>
          <w:b/>
          <w:bCs/>
          <w:color w:val="auto"/>
          <w:sz w:val="24"/>
          <w:szCs w:val="24"/>
          <w:highlight w:val="none"/>
          <w:lang w:val="en-US" w:eastAsia="zh-CN" w:bidi="ar"/>
        </w:rPr>
      </w:pPr>
      <w:r>
        <w:rPr>
          <w:rFonts w:hint="eastAsia" w:ascii="Times New Roman" w:hAnsi="Times New Roman" w:eastAsia="宋体" w:cs="宋体"/>
          <w:b/>
          <w:bCs/>
          <w:color w:val="auto"/>
          <w:sz w:val="24"/>
          <w:szCs w:val="24"/>
          <w:highlight w:val="none"/>
          <w:lang w:val="en-US" w:eastAsia="zh-CN" w:bidi="ar"/>
        </w:rPr>
        <w:t>2.4</w:t>
      </w:r>
      <w:r>
        <w:rPr>
          <w:rFonts w:hint="eastAsia" w:cs="宋体"/>
          <w:b/>
          <w:bCs/>
          <w:color w:val="auto"/>
          <w:sz w:val="24"/>
          <w:szCs w:val="24"/>
          <w:highlight w:val="none"/>
          <w:lang w:val="en-US" w:eastAsia="zh-CN" w:bidi="ar"/>
        </w:rPr>
        <w:t xml:space="preserve"> 报价要求</w:t>
      </w:r>
    </w:p>
    <w:p w14:paraId="2471C72E">
      <w:pPr>
        <w:widowControl/>
        <w:shd w:val="clear" w:color="auto" w:fill="FFFFFF"/>
        <w:spacing w:line="360" w:lineRule="auto"/>
        <w:ind w:firstLine="480"/>
        <w:jc w:val="left"/>
        <w:rPr>
          <w:rFonts w:hint="eastAsia" w:ascii="宋体" w:hAnsi="宋体" w:cs="黑体"/>
          <w:b/>
          <w:bCs/>
          <w:color w:val="auto"/>
          <w:kern w:val="0"/>
          <w:sz w:val="24"/>
        </w:rPr>
      </w:pPr>
      <w:r>
        <w:rPr>
          <w:rFonts w:hint="eastAsia" w:ascii="宋体" w:hAnsi="宋体" w:cs="黑体"/>
          <w:b/>
          <w:bCs/>
          <w:color w:val="auto"/>
          <w:kern w:val="0"/>
          <w:sz w:val="24"/>
          <w:lang w:val="en-US" w:eastAsia="zh-CN"/>
        </w:rPr>
        <w:t>2.4.1</w:t>
      </w:r>
      <w:r>
        <w:rPr>
          <w:rFonts w:hint="eastAsia" w:ascii="宋体" w:hAnsi="宋体" w:cs="黑体"/>
          <w:b/>
          <w:bCs/>
          <w:color w:val="auto"/>
          <w:kern w:val="0"/>
          <w:sz w:val="24"/>
        </w:rPr>
        <w:t>、本项目</w:t>
      </w:r>
      <w:r>
        <w:rPr>
          <w:rFonts w:hint="eastAsia" w:ascii="宋体" w:hAnsi="宋体" w:cs="黑体"/>
          <w:b/>
          <w:bCs/>
          <w:color w:val="auto"/>
          <w:kern w:val="0"/>
          <w:sz w:val="24"/>
          <w:lang w:eastAsia="zh-CN"/>
        </w:rPr>
        <w:t>施工部分，</w:t>
      </w:r>
      <w:r>
        <w:rPr>
          <w:rFonts w:hint="eastAsia" w:ascii="宋体" w:hAnsi="宋体" w:cs="黑体"/>
          <w:b/>
          <w:bCs/>
          <w:color w:val="auto"/>
          <w:kern w:val="0"/>
          <w:sz w:val="24"/>
        </w:rPr>
        <w:t>采用固定含税全费用综合单价合同形式。</w:t>
      </w:r>
    </w:p>
    <w:p w14:paraId="43880DC1">
      <w:pPr>
        <w:widowControl/>
        <w:shd w:val="clear" w:color="auto" w:fill="FFFFFF"/>
        <w:spacing w:line="360" w:lineRule="auto"/>
        <w:ind w:firstLine="480"/>
        <w:jc w:val="left"/>
        <w:rPr>
          <w:rFonts w:ascii="宋体" w:hAnsi="宋体" w:cs="黑体"/>
          <w:b/>
          <w:bCs/>
          <w:color w:val="auto"/>
          <w:kern w:val="0"/>
          <w:sz w:val="24"/>
        </w:rPr>
      </w:pPr>
      <w:r>
        <w:rPr>
          <w:rFonts w:hint="eastAsia" w:ascii="宋体" w:hAnsi="宋体" w:cs="黑体"/>
          <w:b/>
          <w:bCs/>
          <w:color w:val="auto"/>
          <w:kern w:val="0"/>
          <w:sz w:val="24"/>
        </w:rPr>
        <w:t>各</w:t>
      </w:r>
      <w:r>
        <w:rPr>
          <w:rFonts w:hint="eastAsia" w:ascii="宋体" w:hAnsi="宋体" w:cs="黑体"/>
          <w:b/>
          <w:bCs/>
          <w:color w:val="auto"/>
          <w:kern w:val="0"/>
          <w:sz w:val="24"/>
          <w:lang w:eastAsia="zh-CN"/>
        </w:rPr>
        <w:t>供应商</w:t>
      </w:r>
      <w:r>
        <w:rPr>
          <w:rFonts w:hint="eastAsia" w:ascii="宋体" w:hAnsi="宋体" w:cs="黑体"/>
          <w:b/>
          <w:bCs/>
          <w:color w:val="auto"/>
          <w:kern w:val="0"/>
          <w:sz w:val="24"/>
        </w:rPr>
        <w:t>应根据</w:t>
      </w:r>
      <w:r>
        <w:rPr>
          <w:rFonts w:hint="eastAsia" w:ascii="宋体" w:hAnsi="宋体" w:cs="黑体"/>
          <w:b/>
          <w:bCs/>
          <w:color w:val="auto"/>
          <w:kern w:val="0"/>
          <w:sz w:val="24"/>
          <w:lang w:eastAsia="zh-CN"/>
        </w:rPr>
        <w:t>采购文件</w:t>
      </w:r>
      <w:r>
        <w:rPr>
          <w:rFonts w:hint="eastAsia" w:ascii="宋体" w:hAnsi="宋体" w:cs="黑体"/>
          <w:b/>
          <w:bCs/>
          <w:color w:val="auto"/>
          <w:kern w:val="0"/>
          <w:sz w:val="24"/>
        </w:rPr>
        <w:t>给定的工程量清单逐项填报单价和合价，并以此汇总计算总价，供应商的报价包括施工设备、劳务、材料（含辅材）、安装、运输、维护、保险（含劳动保险等）、管理费、</w:t>
      </w:r>
      <w:r>
        <w:rPr>
          <w:rFonts w:hint="eastAsia" w:ascii="宋体" w:hAnsi="宋体" w:cs="黑体"/>
          <w:b/>
          <w:bCs/>
          <w:color w:val="auto"/>
          <w:kern w:val="0"/>
          <w:sz w:val="24"/>
          <w:lang w:eastAsia="zh-CN"/>
        </w:rPr>
        <w:t>利润及税金、</w:t>
      </w:r>
      <w:r>
        <w:rPr>
          <w:rFonts w:hint="eastAsia" w:ascii="宋体" w:hAnsi="宋体" w:cs="黑体"/>
          <w:b/>
          <w:bCs/>
          <w:color w:val="auto"/>
          <w:kern w:val="0"/>
          <w:sz w:val="24"/>
        </w:rPr>
        <w:t>安全文明施工费、规费、调试费、措施费、扬尘治理、安全、工期、质量、垃圾清理及外运、分批次进出场产生的费用（不因现场情况机械进出多少次，只计算一次机械进出场费用）、二次搬运费、材料的保管费、检验费、验收费、总包配合费用、社群关系协调费、意外伤害、伤亡事故、政策性文件规定、不明地质变化及合同实施期内包含的所有风险、责任等各项应有费用，并考虑所有风险及包含律师费、诉讼费、保全费、公告费、鉴定费、交通食宿费、预期的市场价格的涨跌引起的费用、政策性文件规定以及施工期间政策调整而发生的风险、在限定的工期内完成施工项目及整项工程并达到合同约定的质量标准所需要的费用、隐含的为完成该项目而必须发生的费用、在合同实施期间不因市场变化因素而变动。除固定含税全费用综合单价外，承包人无权再向发包人主张任何价款及费用。</w:t>
      </w:r>
    </w:p>
    <w:p w14:paraId="4DCCB41A">
      <w:pPr>
        <w:pageBreakBefore w:val="0"/>
        <w:kinsoku/>
        <w:wordWrap/>
        <w:overflowPunct/>
        <w:topLinePunct w:val="0"/>
        <w:autoSpaceDE/>
        <w:autoSpaceDN/>
        <w:bidi w:val="0"/>
        <w:adjustRightInd/>
        <w:snapToGrid/>
        <w:spacing w:line="360" w:lineRule="auto"/>
        <w:ind w:firstLine="482" w:firstLineChars="200"/>
        <w:textAlignment w:val="auto"/>
        <w:rPr>
          <w:rFonts w:hint="eastAsia" w:ascii="Times New Roman" w:hAnsi="Times New Roman" w:eastAsia="宋体" w:cs="宋体"/>
          <w:b/>
          <w:bCs/>
          <w:color w:val="auto"/>
          <w:sz w:val="24"/>
          <w:szCs w:val="24"/>
          <w:highlight w:val="none"/>
          <w:lang w:eastAsia="zh-CN" w:bidi="ar"/>
        </w:rPr>
      </w:pPr>
      <w:r>
        <w:rPr>
          <w:rFonts w:hint="eastAsia" w:ascii="Times New Roman" w:hAnsi="Times New Roman" w:eastAsia="宋体" w:cs="宋体"/>
          <w:b/>
          <w:bCs/>
          <w:color w:val="auto"/>
          <w:sz w:val="24"/>
          <w:szCs w:val="24"/>
          <w:highlight w:val="none"/>
          <w:lang w:eastAsia="zh-CN" w:bidi="ar"/>
        </w:rPr>
        <w:t>各</w:t>
      </w:r>
      <w:r>
        <w:rPr>
          <w:rFonts w:hint="eastAsia" w:ascii="Times New Roman" w:hAnsi="Times New Roman" w:cs="宋体"/>
          <w:b/>
          <w:bCs/>
          <w:color w:val="auto"/>
          <w:sz w:val="24"/>
          <w:szCs w:val="24"/>
          <w:highlight w:val="none"/>
          <w:lang w:eastAsia="zh-CN" w:bidi="ar"/>
        </w:rPr>
        <w:t>供应商</w:t>
      </w:r>
      <w:r>
        <w:rPr>
          <w:rFonts w:hint="eastAsia" w:ascii="Times New Roman" w:hAnsi="Times New Roman" w:eastAsia="宋体" w:cs="宋体"/>
          <w:b/>
          <w:bCs/>
          <w:color w:val="auto"/>
          <w:sz w:val="24"/>
          <w:szCs w:val="24"/>
          <w:highlight w:val="none"/>
          <w:lang w:eastAsia="zh-CN" w:bidi="ar"/>
        </w:rPr>
        <w:t>不得对清单中的“项目名称项目特征”、“计量单位”及“工程量”做任何变动，否则，评标委员会应否决其投标。</w:t>
      </w:r>
    </w:p>
    <w:p w14:paraId="1EE39DCD">
      <w:pPr>
        <w:widowControl/>
        <w:shd w:val="clear" w:color="auto" w:fill="FFFFFF"/>
        <w:spacing w:line="360" w:lineRule="auto"/>
        <w:ind w:firstLine="480"/>
        <w:jc w:val="left"/>
        <w:rPr>
          <w:color w:val="auto"/>
          <w:sz w:val="24"/>
          <w:szCs w:val="24"/>
        </w:rPr>
      </w:pPr>
      <w:r>
        <w:rPr>
          <w:rFonts w:hint="eastAsia" w:ascii="宋体" w:hAnsi="宋体" w:eastAsia="宋体" w:cs="黑体"/>
          <w:b/>
          <w:bCs/>
          <w:color w:val="auto"/>
          <w:kern w:val="0"/>
          <w:sz w:val="24"/>
          <w:lang w:val="en-US" w:eastAsia="zh-CN"/>
        </w:rPr>
        <w:t>2.4.2、本项目热力机组设备的报价</w:t>
      </w:r>
      <w:r>
        <w:rPr>
          <w:rFonts w:hint="eastAsia" w:ascii="宋体" w:hAnsi="宋体" w:eastAsia="宋体" w:cs="黑体"/>
          <w:b/>
          <w:bCs/>
          <w:color w:val="auto"/>
          <w:kern w:val="0"/>
          <w:sz w:val="24"/>
          <w:lang w:eastAsia="zh-CN"/>
        </w:rPr>
        <w:t>包</w:t>
      </w:r>
      <w:r>
        <w:rPr>
          <w:rFonts w:hint="eastAsia" w:ascii="宋体" w:hAnsi="宋体" w:cs="黑体"/>
          <w:b/>
          <w:bCs/>
          <w:color w:val="auto"/>
          <w:kern w:val="0"/>
          <w:sz w:val="24"/>
        </w:rPr>
        <w:t>括</w:t>
      </w:r>
      <w:r>
        <w:rPr>
          <w:rFonts w:hint="eastAsia" w:ascii="宋体" w:hAnsi="宋体" w:cs="黑体"/>
          <w:b/>
          <w:bCs/>
          <w:color w:val="auto"/>
          <w:kern w:val="0"/>
          <w:sz w:val="24"/>
          <w:lang w:eastAsia="zh-CN"/>
        </w:rPr>
        <w:t>但不限于：货物费</w:t>
      </w:r>
      <w:r>
        <w:rPr>
          <w:rFonts w:hint="eastAsia" w:ascii="宋体" w:hAnsi="宋体" w:cs="黑体"/>
          <w:b/>
          <w:bCs/>
          <w:color w:val="auto"/>
          <w:kern w:val="0"/>
          <w:sz w:val="24"/>
        </w:rPr>
        <w:t>，装卸</w:t>
      </w:r>
      <w:r>
        <w:rPr>
          <w:rFonts w:hint="eastAsia" w:ascii="宋体" w:hAnsi="宋体" w:cs="黑体"/>
          <w:b/>
          <w:bCs/>
          <w:color w:val="auto"/>
          <w:kern w:val="0"/>
          <w:sz w:val="24"/>
          <w:lang w:eastAsia="zh-CN"/>
        </w:rPr>
        <w:t>费，</w:t>
      </w:r>
      <w:r>
        <w:rPr>
          <w:rFonts w:hint="eastAsia" w:ascii="宋体" w:hAnsi="宋体" w:cs="黑体"/>
          <w:b/>
          <w:bCs/>
          <w:color w:val="auto"/>
          <w:kern w:val="0"/>
          <w:sz w:val="24"/>
        </w:rPr>
        <w:t>运输</w:t>
      </w:r>
      <w:r>
        <w:rPr>
          <w:rFonts w:hint="eastAsia" w:ascii="宋体" w:hAnsi="宋体" w:cs="黑体"/>
          <w:b/>
          <w:bCs/>
          <w:color w:val="auto"/>
          <w:kern w:val="0"/>
          <w:sz w:val="24"/>
          <w:lang w:eastAsia="zh-CN"/>
        </w:rPr>
        <w:t>费，</w:t>
      </w:r>
      <w:r>
        <w:rPr>
          <w:rFonts w:hint="eastAsia" w:ascii="宋体" w:hAnsi="宋体" w:cs="黑体"/>
          <w:b/>
          <w:bCs/>
          <w:color w:val="auto"/>
          <w:kern w:val="0"/>
          <w:sz w:val="24"/>
        </w:rPr>
        <w:t>现场保管费</w:t>
      </w:r>
      <w:r>
        <w:rPr>
          <w:rFonts w:hint="eastAsia" w:ascii="宋体" w:hAnsi="宋体" w:cs="黑体"/>
          <w:b/>
          <w:bCs/>
          <w:color w:val="auto"/>
          <w:kern w:val="0"/>
          <w:sz w:val="24"/>
          <w:lang w:eastAsia="zh-CN"/>
        </w:rPr>
        <w:t>，现场</w:t>
      </w:r>
      <w:r>
        <w:rPr>
          <w:rFonts w:hint="eastAsia" w:ascii="宋体" w:hAnsi="宋体" w:cs="黑体"/>
          <w:b/>
          <w:bCs/>
          <w:color w:val="auto"/>
          <w:kern w:val="0"/>
          <w:sz w:val="24"/>
        </w:rPr>
        <w:t>协调</w:t>
      </w:r>
      <w:r>
        <w:rPr>
          <w:rFonts w:hint="eastAsia" w:ascii="宋体" w:hAnsi="宋体" w:cs="黑体"/>
          <w:b/>
          <w:bCs/>
          <w:color w:val="auto"/>
          <w:kern w:val="0"/>
          <w:sz w:val="24"/>
          <w:lang w:eastAsia="zh-CN"/>
        </w:rPr>
        <w:t>费，配合施工费，</w:t>
      </w:r>
      <w:r>
        <w:rPr>
          <w:rFonts w:hint="eastAsia" w:ascii="宋体" w:hAnsi="宋体" w:cs="黑体"/>
          <w:b/>
          <w:bCs/>
          <w:color w:val="auto"/>
          <w:kern w:val="0"/>
          <w:sz w:val="24"/>
        </w:rPr>
        <w:t>配合验收</w:t>
      </w:r>
      <w:r>
        <w:rPr>
          <w:rFonts w:hint="eastAsia" w:ascii="宋体" w:hAnsi="宋体" w:cs="黑体"/>
          <w:b/>
          <w:bCs/>
          <w:color w:val="auto"/>
          <w:kern w:val="0"/>
          <w:sz w:val="24"/>
          <w:lang w:eastAsia="zh-CN"/>
        </w:rPr>
        <w:t>费，</w:t>
      </w:r>
      <w:r>
        <w:rPr>
          <w:rFonts w:hint="eastAsia" w:ascii="宋体" w:hAnsi="宋体" w:cs="黑体"/>
          <w:b/>
          <w:bCs/>
          <w:color w:val="auto"/>
          <w:kern w:val="0"/>
          <w:sz w:val="24"/>
        </w:rPr>
        <w:t>资料编制费</w:t>
      </w:r>
      <w:r>
        <w:rPr>
          <w:rFonts w:hint="eastAsia" w:ascii="宋体" w:hAnsi="宋体" w:cs="黑体"/>
          <w:b/>
          <w:bCs/>
          <w:color w:val="auto"/>
          <w:kern w:val="0"/>
          <w:sz w:val="24"/>
          <w:lang w:eastAsia="zh-CN"/>
        </w:rPr>
        <w:t>，</w:t>
      </w:r>
      <w:r>
        <w:rPr>
          <w:rFonts w:hint="eastAsia" w:ascii="宋体" w:hAnsi="宋体" w:cs="黑体"/>
          <w:b/>
          <w:bCs/>
          <w:color w:val="auto"/>
          <w:kern w:val="0"/>
          <w:sz w:val="24"/>
        </w:rPr>
        <w:t>检验试验费</w:t>
      </w:r>
      <w:r>
        <w:rPr>
          <w:rFonts w:hint="eastAsia" w:ascii="宋体" w:hAnsi="宋体" w:cs="黑体"/>
          <w:b/>
          <w:bCs/>
          <w:color w:val="auto"/>
          <w:kern w:val="0"/>
          <w:sz w:val="24"/>
          <w:lang w:eastAsia="zh-CN"/>
        </w:rPr>
        <w:t>，</w:t>
      </w:r>
      <w:r>
        <w:rPr>
          <w:rFonts w:hint="eastAsia" w:ascii="宋体" w:hAnsi="宋体" w:cs="黑体"/>
          <w:b/>
          <w:bCs/>
          <w:color w:val="auto"/>
          <w:kern w:val="0"/>
          <w:sz w:val="24"/>
        </w:rPr>
        <w:t>材料二次搬运</w:t>
      </w:r>
      <w:r>
        <w:rPr>
          <w:rFonts w:hint="eastAsia" w:ascii="宋体" w:hAnsi="宋体" w:cs="黑体"/>
          <w:b/>
          <w:bCs/>
          <w:color w:val="auto"/>
          <w:kern w:val="0"/>
          <w:sz w:val="24"/>
          <w:lang w:eastAsia="zh-CN"/>
        </w:rPr>
        <w:t>费，</w:t>
      </w:r>
      <w:r>
        <w:rPr>
          <w:rFonts w:hint="eastAsia" w:ascii="宋体" w:hAnsi="宋体" w:cs="黑体"/>
          <w:b/>
          <w:bCs/>
          <w:color w:val="auto"/>
          <w:kern w:val="0"/>
          <w:sz w:val="24"/>
        </w:rPr>
        <w:t>成品保护</w:t>
      </w:r>
      <w:r>
        <w:rPr>
          <w:rFonts w:hint="eastAsia" w:ascii="宋体" w:hAnsi="宋体" w:cs="黑体"/>
          <w:b/>
          <w:bCs/>
          <w:color w:val="auto"/>
          <w:kern w:val="0"/>
          <w:sz w:val="24"/>
          <w:lang w:eastAsia="zh-CN"/>
        </w:rPr>
        <w:t>费，</w:t>
      </w:r>
      <w:r>
        <w:rPr>
          <w:rFonts w:hint="eastAsia" w:ascii="宋体" w:hAnsi="宋体" w:cs="黑体"/>
          <w:b/>
          <w:bCs/>
          <w:color w:val="auto"/>
          <w:kern w:val="0"/>
          <w:sz w:val="24"/>
        </w:rPr>
        <w:t>管理费</w:t>
      </w:r>
      <w:r>
        <w:rPr>
          <w:rFonts w:hint="eastAsia" w:ascii="宋体" w:hAnsi="宋体" w:cs="黑体"/>
          <w:b/>
          <w:bCs/>
          <w:color w:val="auto"/>
          <w:kern w:val="0"/>
          <w:sz w:val="24"/>
          <w:lang w:eastAsia="zh-CN"/>
        </w:rPr>
        <w:t>，</w:t>
      </w:r>
      <w:r>
        <w:rPr>
          <w:rFonts w:hint="eastAsia" w:ascii="宋体" w:hAnsi="宋体" w:cs="黑体"/>
          <w:b/>
          <w:bCs/>
          <w:color w:val="auto"/>
          <w:kern w:val="0"/>
          <w:sz w:val="24"/>
        </w:rPr>
        <w:t>利润</w:t>
      </w:r>
      <w:r>
        <w:rPr>
          <w:rFonts w:hint="eastAsia" w:ascii="宋体" w:hAnsi="宋体" w:cs="黑体"/>
          <w:b/>
          <w:bCs/>
          <w:color w:val="auto"/>
          <w:kern w:val="0"/>
          <w:sz w:val="24"/>
          <w:lang w:eastAsia="zh-CN"/>
        </w:rPr>
        <w:t>，</w:t>
      </w:r>
      <w:r>
        <w:rPr>
          <w:rFonts w:hint="eastAsia" w:ascii="宋体" w:hAnsi="宋体" w:cs="黑体"/>
          <w:b/>
          <w:bCs/>
          <w:color w:val="auto"/>
          <w:kern w:val="0"/>
          <w:sz w:val="24"/>
        </w:rPr>
        <w:t>安全风险费</w:t>
      </w:r>
      <w:r>
        <w:rPr>
          <w:rFonts w:hint="eastAsia" w:ascii="宋体" w:hAnsi="宋体" w:cs="黑体"/>
          <w:b/>
          <w:bCs/>
          <w:color w:val="auto"/>
          <w:kern w:val="0"/>
          <w:sz w:val="24"/>
          <w:lang w:eastAsia="zh-CN"/>
        </w:rPr>
        <w:t>，保险费，各类</w:t>
      </w:r>
      <w:r>
        <w:rPr>
          <w:rFonts w:hint="eastAsia" w:ascii="宋体" w:hAnsi="宋体" w:cs="黑体"/>
          <w:b/>
          <w:bCs/>
          <w:color w:val="auto"/>
          <w:kern w:val="0"/>
          <w:sz w:val="24"/>
        </w:rPr>
        <w:t>税</w:t>
      </w:r>
      <w:r>
        <w:rPr>
          <w:rFonts w:hint="eastAsia" w:ascii="宋体" w:hAnsi="宋体" w:cs="黑体"/>
          <w:b/>
          <w:bCs/>
          <w:color w:val="auto"/>
          <w:kern w:val="0"/>
          <w:sz w:val="24"/>
          <w:lang w:eastAsia="zh-CN"/>
        </w:rPr>
        <w:t>费，及</w:t>
      </w:r>
      <w:r>
        <w:rPr>
          <w:rFonts w:hint="eastAsia" w:ascii="宋体" w:hAnsi="宋体" w:cs="黑体"/>
          <w:b/>
          <w:bCs/>
          <w:color w:val="auto"/>
          <w:kern w:val="0"/>
          <w:sz w:val="24"/>
        </w:rPr>
        <w:t>一切风险、责任和义务等的费用，如上述描述不到位，但乙方为完成本项目应支付的费用也包含在合同内，甲方无须再向乙方支付其他任何价款及费用，乙方也不得再向甲方提出任何价款及费用的请求。此价款不因市场和政策性变动而变动</w:t>
      </w:r>
      <w:r>
        <w:rPr>
          <w:rFonts w:hint="eastAsia" w:ascii="Times New Roman" w:hAnsi="Times New Roman" w:eastAsia="宋体" w:cs="宋体"/>
          <w:b/>
          <w:bCs/>
          <w:color w:val="auto"/>
          <w:sz w:val="24"/>
          <w:szCs w:val="24"/>
          <w:highlight w:val="none"/>
          <w:lang w:bidi="ar"/>
        </w:rPr>
        <w:t>。</w:t>
      </w:r>
    </w:p>
    <w:p w14:paraId="1A5F5F35">
      <w:pPr>
        <w:pageBreakBefore w:val="0"/>
        <w:kinsoku/>
        <w:wordWrap/>
        <w:overflowPunct/>
        <w:topLinePunct w:val="0"/>
        <w:autoSpaceDE/>
        <w:autoSpaceDN/>
        <w:bidi w:val="0"/>
        <w:adjustRightInd/>
        <w:snapToGrid/>
        <w:spacing w:line="360" w:lineRule="auto"/>
        <w:ind w:firstLine="482" w:firstLineChars="200"/>
        <w:textAlignment w:val="auto"/>
        <w:rPr>
          <w:rFonts w:hint="eastAsia" w:ascii="Times New Roman" w:hAnsi="Times New Roman" w:cs="宋体"/>
          <w:b/>
          <w:bCs/>
          <w:color w:val="auto"/>
          <w:sz w:val="24"/>
          <w:szCs w:val="24"/>
          <w:highlight w:val="none"/>
          <w:lang w:val="en-US" w:eastAsia="zh-CN" w:bidi="ar"/>
        </w:rPr>
      </w:pPr>
      <w:r>
        <w:rPr>
          <w:rFonts w:hint="eastAsia" w:ascii="Times New Roman" w:hAnsi="Times New Roman" w:cs="宋体"/>
          <w:b/>
          <w:bCs/>
          <w:color w:val="auto"/>
          <w:sz w:val="24"/>
          <w:szCs w:val="24"/>
          <w:highlight w:val="none"/>
          <w:lang w:val="en-US" w:eastAsia="zh-CN" w:bidi="ar"/>
        </w:rPr>
        <w:t>3、工程量清单</w:t>
      </w:r>
    </w:p>
    <w:p w14:paraId="12150DC4">
      <w:pPr>
        <w:jc w:val="center"/>
        <w:rPr>
          <w:rFonts w:hint="eastAsia" w:eastAsiaTheme="minorEastAsia"/>
          <w:b/>
          <w:bCs/>
          <w:color w:val="auto"/>
          <w:sz w:val="24"/>
          <w:szCs w:val="24"/>
          <w:lang w:eastAsia="zh-CN"/>
        </w:rPr>
      </w:pPr>
      <w:r>
        <w:rPr>
          <w:rFonts w:hint="eastAsia"/>
          <w:b/>
          <w:bCs/>
          <w:color w:val="auto"/>
          <w:sz w:val="24"/>
          <w:szCs w:val="24"/>
          <w:lang w:eastAsia="zh-CN"/>
        </w:rPr>
        <w:t>工程量清单</w:t>
      </w:r>
    </w:p>
    <w:p w14:paraId="2DA286FE">
      <w:pPr>
        <w:ind w:firstLine="480" w:firstLineChars="200"/>
        <w:rPr>
          <w:rFonts w:hint="eastAsia"/>
          <w:color w:val="auto"/>
          <w:sz w:val="24"/>
          <w:szCs w:val="24"/>
          <w:lang w:val="en-US" w:eastAsia="zh-CN"/>
        </w:rPr>
      </w:pPr>
    </w:p>
    <w:p w14:paraId="2C4FDDA5">
      <w:pPr>
        <w:ind w:firstLine="480" w:firstLineChars="200"/>
        <w:rPr>
          <w:rFonts w:hint="eastAsia"/>
          <w:color w:val="auto"/>
          <w:sz w:val="24"/>
          <w:szCs w:val="24"/>
          <w:lang w:val="en-US" w:eastAsia="zh-CN"/>
        </w:rPr>
      </w:pPr>
    </w:p>
    <w:p w14:paraId="3E2F8347">
      <w:pPr>
        <w:ind w:firstLine="480" w:firstLineChars="200"/>
        <w:rPr>
          <w:rFonts w:hint="eastAsia"/>
          <w:color w:val="auto"/>
          <w:sz w:val="24"/>
          <w:szCs w:val="24"/>
          <w:lang w:val="en-US" w:eastAsia="zh-CN"/>
        </w:rPr>
      </w:pPr>
    </w:p>
    <w:p w14:paraId="7B86B286">
      <w:pPr>
        <w:ind w:firstLine="480" w:firstLineChars="200"/>
        <w:rPr>
          <w:rFonts w:hint="eastAsia"/>
          <w:color w:val="auto"/>
          <w:sz w:val="24"/>
          <w:szCs w:val="24"/>
          <w:lang w:val="en-US" w:eastAsia="zh-CN"/>
        </w:rPr>
      </w:pPr>
    </w:p>
    <w:p w14:paraId="6D3C5879">
      <w:pPr>
        <w:ind w:firstLine="480" w:firstLineChars="200"/>
        <w:rPr>
          <w:rFonts w:hint="eastAsia" w:eastAsia="宋体"/>
          <w:color w:val="auto"/>
          <w:sz w:val="24"/>
          <w:szCs w:val="24"/>
          <w:lang w:val="en-US" w:eastAsia="zh-CN"/>
        </w:rPr>
      </w:pPr>
      <w:r>
        <w:rPr>
          <w:rFonts w:hint="eastAsia"/>
          <w:color w:val="auto"/>
          <w:sz w:val="24"/>
          <w:szCs w:val="24"/>
          <w:lang w:val="en-US" w:eastAsia="zh-CN"/>
        </w:rPr>
        <w:t>3.1、土建工程量清单</w:t>
      </w:r>
    </w:p>
    <w:p w14:paraId="345007E8">
      <w:pPr>
        <w:rPr>
          <w:color w:val="auto"/>
          <w:sz w:val="24"/>
          <w:szCs w:val="24"/>
        </w:rPr>
      </w:pPr>
    </w:p>
    <w:tbl>
      <w:tblPr>
        <w:tblStyle w:val="39"/>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693"/>
        <w:gridCol w:w="4086"/>
        <w:gridCol w:w="2104"/>
        <w:gridCol w:w="1396"/>
      </w:tblGrid>
      <w:tr w14:paraId="4B6008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912" w:type="pct"/>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C84F059">
            <w:pPr>
              <w:keepNext w:val="0"/>
              <w:keepLines w:val="0"/>
              <w:widowControl/>
              <w:suppressLineNumbers w:val="0"/>
              <w:jc w:val="center"/>
              <w:textAlignment w:val="center"/>
              <w:rPr>
                <w:rFonts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序号</w:t>
            </w:r>
          </w:p>
        </w:tc>
        <w:tc>
          <w:tcPr>
            <w:tcW w:w="2201" w:type="pct"/>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2CB138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项目名称</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项目特征</w:t>
            </w:r>
          </w:p>
        </w:tc>
        <w:tc>
          <w:tcPr>
            <w:tcW w:w="1133" w:type="pct"/>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FB1372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计量单位</w:t>
            </w:r>
          </w:p>
        </w:tc>
        <w:tc>
          <w:tcPr>
            <w:tcW w:w="752" w:type="pct"/>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884DA3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工程量</w:t>
            </w:r>
          </w:p>
        </w:tc>
      </w:tr>
      <w:tr w14:paraId="0E092E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7" w:hRule="atLeast"/>
        </w:trPr>
        <w:tc>
          <w:tcPr>
            <w:tcW w:w="912" w:type="pct"/>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87B1F2">
            <w:pPr>
              <w:jc w:val="center"/>
              <w:rPr>
                <w:rFonts w:hint="default" w:ascii="Arial" w:hAnsi="Arial" w:eastAsia="宋体" w:cs="Arial"/>
                <w:i w:val="0"/>
                <w:iCs w:val="0"/>
                <w:color w:val="auto"/>
                <w:sz w:val="24"/>
                <w:szCs w:val="24"/>
                <w:u w:val="none"/>
              </w:rPr>
            </w:pPr>
          </w:p>
        </w:tc>
        <w:tc>
          <w:tcPr>
            <w:tcW w:w="2201" w:type="pct"/>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16BFDA">
            <w:pPr>
              <w:jc w:val="center"/>
              <w:rPr>
                <w:rFonts w:hint="default" w:ascii="Arial" w:hAnsi="Arial" w:eastAsia="宋体" w:cs="Arial"/>
                <w:i w:val="0"/>
                <w:iCs w:val="0"/>
                <w:color w:val="auto"/>
                <w:sz w:val="24"/>
                <w:szCs w:val="24"/>
                <w:u w:val="none"/>
              </w:rPr>
            </w:pPr>
          </w:p>
        </w:tc>
        <w:tc>
          <w:tcPr>
            <w:tcW w:w="1133" w:type="pct"/>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DB280E">
            <w:pPr>
              <w:jc w:val="center"/>
              <w:rPr>
                <w:rFonts w:hint="default" w:ascii="Arial" w:hAnsi="Arial" w:eastAsia="宋体" w:cs="Arial"/>
                <w:i w:val="0"/>
                <w:iCs w:val="0"/>
                <w:color w:val="auto"/>
                <w:sz w:val="24"/>
                <w:szCs w:val="24"/>
                <w:u w:val="none"/>
              </w:rPr>
            </w:pPr>
          </w:p>
        </w:tc>
        <w:tc>
          <w:tcPr>
            <w:tcW w:w="752" w:type="pct"/>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2EE1DD">
            <w:pPr>
              <w:jc w:val="center"/>
              <w:rPr>
                <w:rFonts w:hint="default" w:ascii="Arial" w:hAnsi="Arial" w:eastAsia="宋体" w:cs="Arial"/>
                <w:i w:val="0"/>
                <w:iCs w:val="0"/>
                <w:color w:val="auto"/>
                <w:sz w:val="24"/>
                <w:szCs w:val="24"/>
                <w:u w:val="none"/>
              </w:rPr>
            </w:pPr>
          </w:p>
        </w:tc>
      </w:tr>
      <w:tr w14:paraId="6035F5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9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BE4BC9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w:t>
            </w:r>
          </w:p>
        </w:tc>
        <w:tc>
          <w:tcPr>
            <w:tcW w:w="22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56B511">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挖沟槽土方</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1.土壤类别：普通土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2.挖土深度：2米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3.弃土运距</w:t>
            </w:r>
          </w:p>
        </w:tc>
        <w:tc>
          <w:tcPr>
            <w:tcW w:w="11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D6957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A962DD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324.33</w:t>
            </w:r>
          </w:p>
        </w:tc>
      </w:tr>
      <w:tr w14:paraId="70F2F2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9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40C354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w:t>
            </w:r>
          </w:p>
        </w:tc>
        <w:tc>
          <w:tcPr>
            <w:tcW w:w="22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82D8E50">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余方弃置</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1.废弃料品种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2.运距：5公里</w:t>
            </w:r>
          </w:p>
        </w:tc>
        <w:tc>
          <w:tcPr>
            <w:tcW w:w="11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5CCDA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A1A6C2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139.68</w:t>
            </w:r>
          </w:p>
        </w:tc>
      </w:tr>
      <w:tr w14:paraId="593559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9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C96E2C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w:t>
            </w:r>
          </w:p>
        </w:tc>
        <w:tc>
          <w:tcPr>
            <w:tcW w:w="22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2B69E63">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回填方</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1.密实度要求&gt;=93%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2.填方材料品种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3.填方粒径要求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4.填方来源、运距</w:t>
            </w:r>
          </w:p>
        </w:tc>
        <w:tc>
          <w:tcPr>
            <w:tcW w:w="11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24849D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86AFDE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68.78</w:t>
            </w:r>
          </w:p>
        </w:tc>
      </w:tr>
      <w:tr w14:paraId="30A724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9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8E0B8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w:t>
            </w:r>
          </w:p>
        </w:tc>
        <w:tc>
          <w:tcPr>
            <w:tcW w:w="22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5C893B">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回填方</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1.密实度要求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2.填方材料品种：细砂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3.填方粒径要求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4.填方来源、运距</w:t>
            </w:r>
          </w:p>
        </w:tc>
        <w:tc>
          <w:tcPr>
            <w:tcW w:w="11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B5902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D1CC6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136.89</w:t>
            </w:r>
          </w:p>
        </w:tc>
      </w:tr>
      <w:tr w14:paraId="2A7E10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9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3F62B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5</w:t>
            </w:r>
          </w:p>
        </w:tc>
        <w:tc>
          <w:tcPr>
            <w:tcW w:w="22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D9109F0">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垫层</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1.混凝土种类：商品混凝土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2.混凝土强度等级：C15</w:t>
            </w:r>
          </w:p>
        </w:tc>
        <w:tc>
          <w:tcPr>
            <w:tcW w:w="11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CEF30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C536E1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18.97</w:t>
            </w:r>
          </w:p>
        </w:tc>
      </w:tr>
      <w:tr w14:paraId="25F4E4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9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A5CFAC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6</w:t>
            </w:r>
          </w:p>
        </w:tc>
        <w:tc>
          <w:tcPr>
            <w:tcW w:w="22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E553C05">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独立基础</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1.混凝土种类：商品混凝土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2.混凝土强度等级：C30</w:t>
            </w:r>
          </w:p>
        </w:tc>
        <w:tc>
          <w:tcPr>
            <w:tcW w:w="11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4313E1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F97A4F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80.92</w:t>
            </w:r>
          </w:p>
        </w:tc>
      </w:tr>
      <w:tr w14:paraId="71862E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9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4F2B1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7</w:t>
            </w:r>
          </w:p>
        </w:tc>
        <w:tc>
          <w:tcPr>
            <w:tcW w:w="22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4727EB0">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矩形柱</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1.混凝土种类：商品混凝土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2.混凝土强度等级：C20</w:t>
            </w:r>
          </w:p>
        </w:tc>
        <w:tc>
          <w:tcPr>
            <w:tcW w:w="11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F3EC17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FAD991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2.97</w:t>
            </w:r>
          </w:p>
        </w:tc>
      </w:tr>
      <w:tr w14:paraId="027DD0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9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2B6FED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8</w:t>
            </w:r>
          </w:p>
        </w:tc>
        <w:tc>
          <w:tcPr>
            <w:tcW w:w="22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3DA4D39">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预埋铁件</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1.钢材种类:钢板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2.规格：14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3.铁件尺寸</w:t>
            </w:r>
          </w:p>
        </w:tc>
        <w:tc>
          <w:tcPr>
            <w:tcW w:w="11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E124A9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t</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55AD4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5.194</w:t>
            </w:r>
          </w:p>
        </w:tc>
      </w:tr>
      <w:tr w14:paraId="351F8A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9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79C90A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9</w:t>
            </w:r>
          </w:p>
        </w:tc>
        <w:tc>
          <w:tcPr>
            <w:tcW w:w="22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A86B20C">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现浇构件钢筋</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钢筋种类、规格:φ12</w:t>
            </w:r>
          </w:p>
        </w:tc>
        <w:tc>
          <w:tcPr>
            <w:tcW w:w="11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FD468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t</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13740C">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3.56</w:t>
            </w:r>
          </w:p>
        </w:tc>
      </w:tr>
      <w:tr w14:paraId="2EDAFA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9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5A4CC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10</w:t>
            </w:r>
          </w:p>
        </w:tc>
        <w:tc>
          <w:tcPr>
            <w:tcW w:w="22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D5BFBE4">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钢筋混凝土构件拆除</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1.构件名称:钢筋混凝土独立基础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2.拆除构件的厚度或规格尺寸：</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1.7*1.4*1.2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3.构件表面的附着物种类</w:t>
            </w:r>
          </w:p>
        </w:tc>
        <w:tc>
          <w:tcPr>
            <w:tcW w:w="11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7AFAD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F996D4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22.848</w:t>
            </w:r>
          </w:p>
        </w:tc>
      </w:tr>
      <w:tr w14:paraId="43536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9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52D7F6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11</w:t>
            </w:r>
          </w:p>
        </w:tc>
        <w:tc>
          <w:tcPr>
            <w:tcW w:w="22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FB27C78">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实心砖墙</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1.砖品种、规格、强度等级：机砖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2.墙体类型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3.砂浆强度等级、配合比：水泥砂浆M5</w:t>
            </w:r>
          </w:p>
        </w:tc>
        <w:tc>
          <w:tcPr>
            <w:tcW w:w="11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BA83BA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088B89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4.68</w:t>
            </w:r>
          </w:p>
        </w:tc>
      </w:tr>
      <w:tr w14:paraId="6A5FBC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5" w:hRule="atLeast"/>
        </w:trPr>
        <w:tc>
          <w:tcPr>
            <w:tcW w:w="9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8CEA83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12</w:t>
            </w:r>
          </w:p>
        </w:tc>
        <w:tc>
          <w:tcPr>
            <w:tcW w:w="22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D1E6C7">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墙面一般抹灰</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1.墙体类型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2.底层厚度、砂浆配合比:9mm,1:3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3.面层厚度、砂浆配合比:6mm,1:2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4.装饰面材料种类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5.分格缝宽度、材料种类</w:t>
            </w:r>
          </w:p>
        </w:tc>
        <w:tc>
          <w:tcPr>
            <w:tcW w:w="11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E7E592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m2</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F05B0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46.8</w:t>
            </w:r>
          </w:p>
        </w:tc>
      </w:tr>
      <w:tr w14:paraId="57C497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9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EF1B4C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13</w:t>
            </w:r>
          </w:p>
        </w:tc>
        <w:tc>
          <w:tcPr>
            <w:tcW w:w="22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8CB2D18">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块料墙面</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1.墙体类型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2.安装方式:水泥砂浆粘贴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3.面层材料品种、规格、颜色:瓷砖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200×300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4.缝宽、嵌缝材料种类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5.防护材料种类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6.磨光、酸洗、打蜡要求</w:t>
            </w:r>
          </w:p>
        </w:tc>
        <w:tc>
          <w:tcPr>
            <w:tcW w:w="11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D34312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m2</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67D55B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75.6</w:t>
            </w:r>
          </w:p>
        </w:tc>
      </w:tr>
      <w:tr w14:paraId="3A3D70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9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9AB1B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14</w:t>
            </w:r>
          </w:p>
        </w:tc>
        <w:tc>
          <w:tcPr>
            <w:tcW w:w="22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737BAC">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块料楼地面</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1.找平层厚度、砂浆配合比：刷素水泥浆一</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遍,1:2水泥砂浆20mm , 细石混凝土 40mm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2.结合层厚度、砂浆配合比:30mm 干硬性水</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泥砂浆 1:3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3.面层材料品种、规格、颜色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4.嵌缝材料种类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5.防护层材料种类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6.酸洗、打蜡要求</w:t>
            </w:r>
          </w:p>
        </w:tc>
        <w:tc>
          <w:tcPr>
            <w:tcW w:w="11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7281C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m2</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C19F1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445.5</w:t>
            </w:r>
          </w:p>
        </w:tc>
      </w:tr>
      <w:tr w14:paraId="0808DC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9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88AFB9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15</w:t>
            </w:r>
          </w:p>
        </w:tc>
        <w:tc>
          <w:tcPr>
            <w:tcW w:w="22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49831A">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块料踢脚线</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1.踢脚线高度:150mm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2.粘贴层厚度、材料种类:水泥砂浆1:1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3.面层材料品种、规格、颜色：瓷砖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4.防护材料种类</w:t>
            </w:r>
          </w:p>
        </w:tc>
        <w:tc>
          <w:tcPr>
            <w:tcW w:w="11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1BF8A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m2</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31CA3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7.2</w:t>
            </w:r>
          </w:p>
        </w:tc>
      </w:tr>
      <w:tr w14:paraId="446FA9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9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A9A16F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16</w:t>
            </w:r>
          </w:p>
        </w:tc>
        <w:tc>
          <w:tcPr>
            <w:tcW w:w="22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1F44A7">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成品格栅</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1.材料品种、规格： 树脂+玻璃钢</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500*1000*50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2.边框及立柱型钢品种、规格</w:t>
            </w:r>
          </w:p>
        </w:tc>
        <w:tc>
          <w:tcPr>
            <w:tcW w:w="11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EA5A7A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m2</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69DB4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16</w:t>
            </w:r>
          </w:p>
        </w:tc>
      </w:tr>
      <w:tr w14:paraId="75205B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9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B5C8D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17</w:t>
            </w:r>
          </w:p>
        </w:tc>
        <w:tc>
          <w:tcPr>
            <w:tcW w:w="22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558A41D">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拆除恢复保温</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拆除、恢复保温层，保护层，真石漆</w:t>
            </w:r>
          </w:p>
        </w:tc>
        <w:tc>
          <w:tcPr>
            <w:tcW w:w="11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2C927A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m2</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EAB73B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11.52</w:t>
            </w:r>
          </w:p>
        </w:tc>
      </w:tr>
    </w:tbl>
    <w:p w14:paraId="1501A23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3.2、安装工程量清单</w:t>
      </w:r>
    </w:p>
    <w:tbl>
      <w:tblPr>
        <w:tblStyle w:val="39"/>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678"/>
        <w:gridCol w:w="4114"/>
        <w:gridCol w:w="2091"/>
        <w:gridCol w:w="1396"/>
      </w:tblGrid>
      <w:tr w14:paraId="5FF88A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2822AE5">
            <w:pPr>
              <w:keepNext w:val="0"/>
              <w:keepLines w:val="0"/>
              <w:widowControl/>
              <w:suppressLineNumbers w:val="0"/>
              <w:jc w:val="center"/>
              <w:textAlignment w:val="center"/>
              <w:rPr>
                <w:rFonts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序号</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D584EC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项目名称</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项目特征</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C8AC4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计量单位</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DB146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工程量</w:t>
            </w:r>
          </w:p>
        </w:tc>
      </w:tr>
      <w:tr w14:paraId="773E46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A6D4D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5E97B3">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钢管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1.安装部位：室外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3.规格、压力等级：DN250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6.警示带形式</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6D3D51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E2DBC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340.67</w:t>
            </w:r>
          </w:p>
        </w:tc>
      </w:tr>
      <w:tr w14:paraId="64CE36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64C651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07B8AC9">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钢管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1.安装部位：室外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3.规格、压力等级：DN200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6.警示带形式</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F1879D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21A2B6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230.11</w:t>
            </w:r>
          </w:p>
        </w:tc>
      </w:tr>
      <w:tr w14:paraId="0CEBB0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E12B2C">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0E9B5EF">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钢管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1.安装部位：室外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3.规格、压力等级：DN150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6.警示带形式</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38B57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F9263C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151.28</w:t>
            </w:r>
          </w:p>
        </w:tc>
      </w:tr>
      <w:tr w14:paraId="2C7360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C02D8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695698D">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钢管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1.安装部位：室外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3.规格、压力等级：DN125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6.警示带形式</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51CA6E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E2E3DB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460.76</w:t>
            </w:r>
          </w:p>
        </w:tc>
      </w:tr>
      <w:tr w14:paraId="4FE87B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0F13B6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5</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D2FC3D1">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钢管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1.安装部位：室外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3.规格、压力等级：DN100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6.警示带形式</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6DA6F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8DD6E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418.07</w:t>
            </w:r>
          </w:p>
        </w:tc>
      </w:tr>
      <w:tr w14:paraId="2B0333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383CC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6</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3C0C816">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钢管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1.安装部位：室外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3.规格、压力等级：DN80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6.警示带形式</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E31EF9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7D96B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188.9</w:t>
            </w:r>
          </w:p>
        </w:tc>
      </w:tr>
      <w:tr w14:paraId="71BBB4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5"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C07C3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7</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375EB6C">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直埋式预制保温管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1.埋设深度：&gt;=1.5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3.管道材质、规格：DN300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5.接口保温材料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6.压力试验及吹、洗设计要求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7.警示带形式</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4BE9F4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C94353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150</w:t>
            </w:r>
          </w:p>
        </w:tc>
      </w:tr>
      <w:tr w14:paraId="3E9418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525DB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8</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2CEFB6A">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直埋式预制保温管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1.埋设深度：&gt;=1.5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3.管道材质、规格：DN200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5.接口保温材料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6.压力试验及吹、洗设计要求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7.警示带形式</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BDBD25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30D573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41</w:t>
            </w:r>
          </w:p>
        </w:tc>
      </w:tr>
      <w:tr w14:paraId="0E8932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91567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9</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AB5F7F1">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直埋式预制保温管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1.埋设深度：&gt;=1.5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3.管道材质、规格：DN150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5.接口保温材料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6.压力试验及吹、洗设计要求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7.警示带形式</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C6C7AC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2C553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59.64</w:t>
            </w:r>
          </w:p>
        </w:tc>
      </w:tr>
      <w:tr w14:paraId="47B8FB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52F9CD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10</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78E475">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直埋式预制保温管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1.埋设深度：&gt;=1.5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3.管道材质、规格：DN125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5.接口保温材料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6.压力试验及吹、洗设计要求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7.警示带形式</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B476F1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8373E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120.4</w:t>
            </w:r>
          </w:p>
        </w:tc>
      </w:tr>
      <w:tr w14:paraId="6DF220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863B98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11</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07D397F">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拆除架空管道</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架空管道DN300</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AC6C3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586C43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150</w:t>
            </w:r>
          </w:p>
        </w:tc>
      </w:tr>
      <w:tr w14:paraId="1F7F7A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96992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12</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3F138A">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拆除架空管道</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架空管道DN200</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E29121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11EAC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33</w:t>
            </w:r>
          </w:p>
        </w:tc>
      </w:tr>
      <w:tr w14:paraId="120495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CFC75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13</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EC2D7B">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压力仪表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 ：压力表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2.型号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4.压力表弯材质、规格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5.挠性管材质、规格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6.支架形式、材质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7.调试要求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8.脱脂要求</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4C4A8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台</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5003E2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45</w:t>
            </w:r>
          </w:p>
        </w:tc>
      </w:tr>
      <w:tr w14:paraId="41B0B6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D4A2A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14</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B93A629">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温度仪表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   ：温度计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2.型号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4.类型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5.套管材质、规格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6.挠性管材质、规格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7.支架形式、材质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8.调试要求</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AADE29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支</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E6A9C6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30</w:t>
            </w:r>
          </w:p>
        </w:tc>
      </w:tr>
      <w:tr w14:paraId="150B95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5"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0DC05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15</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A9BDCA">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焊接阀门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 ：焊接球阀DN125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 ：焊接球阀DN125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AD9496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28AE3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8</w:t>
            </w:r>
          </w:p>
        </w:tc>
      </w:tr>
      <w:tr w14:paraId="5A2C7B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3C293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16</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45D0B73">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焊接阀门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 ：焊接球阀DN100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 ：焊接球阀DN100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4977A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895FC9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24</w:t>
            </w:r>
          </w:p>
        </w:tc>
      </w:tr>
      <w:tr w14:paraId="5FAF54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86F5BE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17</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F241E72">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焊接阀门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 ：焊接球阀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 ：焊接球阀DN80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722FF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C04DCC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28</w:t>
            </w:r>
          </w:p>
        </w:tc>
      </w:tr>
      <w:tr w14:paraId="45C5F0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12443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18</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B2BF788">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焊接阀门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1.类型：过滤器DN125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3.规格、压力等级：过滤器DN125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8BFE8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8AF83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w:t>
            </w:r>
          </w:p>
        </w:tc>
      </w:tr>
      <w:tr w14:paraId="00C592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3DB68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19</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812D72">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焊接法兰阀门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1.类型：过滤器DN100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3.规格、压力等级：过滤器DN100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E36E9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5B499C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6</w:t>
            </w:r>
          </w:p>
        </w:tc>
      </w:tr>
      <w:tr w14:paraId="2D0F7B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37A5B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20</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D9B3154">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焊接法兰阀门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1.类型：过滤器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3.规格、压力等级：过滤器DN80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71925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51C47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7</w:t>
            </w:r>
          </w:p>
        </w:tc>
      </w:tr>
      <w:tr w14:paraId="55A480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56CB5A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21</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71BFB2F">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焊接法兰阀门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 ：动态平衡阀DN125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 ：动态平衡阀DN125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B39EAB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C4C40A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w:t>
            </w:r>
          </w:p>
        </w:tc>
      </w:tr>
      <w:tr w14:paraId="21F898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7F6D6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22</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7352DC5">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焊接法兰阀门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 ：动态平衡阀DN100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 ：动态平衡阀DN100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10ED9F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F21BF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6</w:t>
            </w:r>
          </w:p>
        </w:tc>
      </w:tr>
      <w:tr w14:paraId="569D8B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006711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23</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31E34D">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焊接法兰阀门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 ：动态平衡阀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 ：动态平衡阀DN65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215883C">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0B908F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7</w:t>
            </w:r>
          </w:p>
        </w:tc>
      </w:tr>
      <w:tr w14:paraId="5117D5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95"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1EA04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24</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D56613">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套管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1.名称、类型:刚性防水套管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2.材质:刚性防水套管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3.规格:DN125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4.填料材质</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C4F31D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B27167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w:t>
            </w:r>
          </w:p>
        </w:tc>
      </w:tr>
      <w:tr w14:paraId="2B9665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09FF6FC">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25</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5FC8107">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套管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1.名称、类型:刚性防水套管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2.材质:刚性防水套管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3.规格:DN100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4.填料材质</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B2D81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5C745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12</w:t>
            </w:r>
          </w:p>
        </w:tc>
      </w:tr>
      <w:tr w14:paraId="78787B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A4C4B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26</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B4163D">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套管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1.名称、类型:刚性防水套管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2.材质:刚性防水套管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3.规格:DN80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4.填料材质</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D29862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10579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14</w:t>
            </w:r>
          </w:p>
        </w:tc>
      </w:tr>
      <w:tr w14:paraId="2D4601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F8CD3A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27</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7BB4310">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螺纹阀门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    ：旁通阀DN50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    ：旁通阀DN50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8A37A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A7B51E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15</w:t>
            </w:r>
          </w:p>
        </w:tc>
      </w:tr>
      <w:tr w14:paraId="63C312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42256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28</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5C4DD9">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螺纹阀门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 ：泄水阀DN25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：铜制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 ：泄水阀DN25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9ADE3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5D1BC4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30</w:t>
            </w:r>
          </w:p>
        </w:tc>
      </w:tr>
      <w:tr w14:paraId="60CA11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EE82BC">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29</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8B611B">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管道支架</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1.材质 ：型钢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2.管架形式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3.含除锈、刷防锈漆2道、银粉2道</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61150C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Kg</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483E30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2041.24</w:t>
            </w:r>
          </w:p>
        </w:tc>
      </w:tr>
      <w:tr w14:paraId="3819B7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A5644E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30</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FC1F75A">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设备支架</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1.材质 ：镀锌钢管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2.管架形式：立柱支架</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A46873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Kg</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DBD0E3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6787.33</w:t>
            </w:r>
          </w:p>
        </w:tc>
      </w:tr>
      <w:tr w14:paraId="4C6D85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420B18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31</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2865F33">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螺纹阀门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1.类型：自动排气阀DN20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2.材质：铜制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3.规格、压力等级：自动排气阀DN20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B1498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EA9F9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6</w:t>
            </w:r>
          </w:p>
        </w:tc>
      </w:tr>
      <w:tr w14:paraId="247166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B2F6F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32</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FF65C7">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螺纹阀门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  ：铜球阀DN20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：铜球阀DN20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  ：铜球阀DN20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C5CBF7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7236B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6</w:t>
            </w:r>
          </w:p>
        </w:tc>
      </w:tr>
      <w:tr w14:paraId="1B9021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C2AC6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33</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1403F4">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管道刷油</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1.除锈级别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2.油漆品种:红丹防锈漆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3.涂刷遍数、漆膜厚度：2遍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4.标志色方式、品种</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279550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m2</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241B45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895.7</w:t>
            </w:r>
          </w:p>
        </w:tc>
      </w:tr>
      <w:tr w14:paraId="247BAE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5"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287A3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34</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9B5DC7">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管道绝热</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1.绝热材料品种  ：橡塑管壳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2.绝热厚度    ：40mm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3.管道外径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4.软木品种</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98DDA3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C02F2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20.9</w:t>
            </w:r>
          </w:p>
        </w:tc>
      </w:tr>
      <w:tr w14:paraId="0F4D79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18002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35</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F84C63">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管道绝热</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1.绝热材料品种  ：橡塑管壳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2.绝热厚度    :30mm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3.管道外径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4.软木品种</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31D619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261745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17.4</w:t>
            </w:r>
          </w:p>
        </w:tc>
      </w:tr>
      <w:tr w14:paraId="482701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F0520CC">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36</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4853121">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防潮层、保护层</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1.材料  ：铝皮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2.厚度    ：0.5mm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3.层数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4.对象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5.结构形式</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EFA5B6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m2</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D69B82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1290.2</w:t>
            </w:r>
          </w:p>
        </w:tc>
      </w:tr>
      <w:tr w14:paraId="1ADC6F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E990C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37</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668D23">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配管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 刚性阻燃管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刚性阻燃管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3.规格:De25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4.配置形式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5.接地要求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6.钢索材质、规格</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442D8B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62FDA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200</w:t>
            </w:r>
          </w:p>
        </w:tc>
      </w:tr>
      <w:tr w14:paraId="3D96C2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A3B758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38</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C25F329">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配线</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1.名称:绝缘电线BV2.5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2.配线形式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3.型号:绝缘电线BV2.5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4.规格:绝缘电线BV2.5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5.材质:绝缘电线BV2.5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6.配线部位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7.配线线制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8.钢索材质、规格</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101A16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2F149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400</w:t>
            </w:r>
          </w:p>
        </w:tc>
      </w:tr>
      <w:tr w14:paraId="5BBAF3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F76A0E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39</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4B5528">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荧光灯</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1.名称：荧光灯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2.型号：40W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4.安装形式:吊链式，双管</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6A73EB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套</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C7BD39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w:t>
            </w:r>
          </w:p>
        </w:tc>
      </w:tr>
      <w:tr w14:paraId="45BF1C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C7A14F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40</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AB95026">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工厂灯</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1.名称:应急灯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2.型号:36W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4.安装形式</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38FABF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套</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0527F8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w:t>
            </w:r>
          </w:p>
        </w:tc>
      </w:tr>
      <w:tr w14:paraId="168F11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FECCE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41</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D3137C6">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桥架</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1.名称:桥架100*100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2.型号:桥架100*100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3.规格:桥架100*100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4.材质:钢质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5.类型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6.接地方式</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05A57C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3DE74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25</w:t>
            </w:r>
          </w:p>
        </w:tc>
      </w:tr>
      <w:tr w14:paraId="5AA1C4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9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7FCD7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42</w:t>
            </w:r>
          </w:p>
        </w:tc>
        <w:tc>
          <w:tcPr>
            <w:tcW w:w="2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F0FF4D">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电力电缆</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1.名称：电缆3*50+1*25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2.型号：电缆3*50+1*25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3.规格：电缆3*50+1*25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4.材质：铜质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5.敷设方式、部位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6.电压等级（kV）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7.地形</w:t>
            </w:r>
          </w:p>
        </w:tc>
        <w:tc>
          <w:tcPr>
            <w:tcW w:w="112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94FF4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362F2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30</w:t>
            </w:r>
          </w:p>
        </w:tc>
      </w:tr>
    </w:tbl>
    <w:p w14:paraId="00233C7F">
      <w:pPr>
        <w:pageBreakBefore w:val="0"/>
        <w:kinsoku/>
        <w:wordWrap/>
        <w:overflowPunct/>
        <w:topLinePunct w:val="0"/>
        <w:autoSpaceDE/>
        <w:autoSpaceDN/>
        <w:bidi w:val="0"/>
        <w:adjustRightInd/>
        <w:snapToGrid/>
        <w:spacing w:line="360" w:lineRule="auto"/>
        <w:ind w:firstLine="482" w:firstLineChars="200"/>
        <w:textAlignment w:val="auto"/>
        <w:rPr>
          <w:rFonts w:hint="eastAsia" w:ascii="Times New Roman" w:hAnsi="Times New Roman" w:eastAsia="宋体" w:cs="宋体"/>
          <w:b/>
          <w:bCs/>
          <w:color w:val="auto"/>
          <w:sz w:val="24"/>
          <w:szCs w:val="24"/>
          <w:highlight w:val="none"/>
          <w:lang w:val="en-US" w:eastAsia="zh-CN" w:bidi="ar"/>
        </w:rPr>
      </w:pPr>
      <w:r>
        <w:rPr>
          <w:rFonts w:hint="eastAsia" w:ascii="Times New Roman" w:hAnsi="Times New Roman" w:eastAsia="宋体" w:cs="宋体"/>
          <w:b/>
          <w:bCs/>
          <w:color w:val="auto"/>
          <w:sz w:val="24"/>
          <w:szCs w:val="24"/>
          <w:highlight w:val="none"/>
          <w:lang w:val="en-US" w:eastAsia="zh-CN" w:bidi="ar"/>
        </w:rPr>
        <w:t>4、热力机组设备采购需求</w:t>
      </w:r>
    </w:p>
    <w:p w14:paraId="3CEB9C5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（1）、换热机组</w:t>
      </w:r>
    </w:p>
    <w:p w14:paraId="4695DE1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包含内容:换热机组、旋流除污器、配电柜、补水表、电度表等</w:t>
      </w:r>
    </w:p>
    <w:p w14:paraId="5D0B0BF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包含服务:设备</w:t>
      </w:r>
      <w:r>
        <w:rPr>
          <w:rFonts w:hint="eastAsia" w:asciiTheme="minorEastAsia" w:hAnsiTheme="minorEastAsia" w:cstheme="minorEastAsia"/>
          <w:color w:val="auto"/>
          <w:sz w:val="24"/>
          <w:szCs w:val="24"/>
          <w:lang w:val="en-US" w:eastAsia="zh-CN"/>
        </w:rPr>
        <w:t>供货</w:t>
      </w:r>
      <w:r>
        <w:rPr>
          <w:rFonts w:hint="eastAsia" w:asciiTheme="minorEastAsia" w:hAnsiTheme="minorEastAsia" w:eastAsiaTheme="minorEastAsia" w:cstheme="minorEastAsia"/>
          <w:color w:val="auto"/>
          <w:sz w:val="24"/>
          <w:szCs w:val="24"/>
          <w:lang w:val="en-US" w:eastAsia="zh-CN"/>
        </w:rPr>
        <w:t>、安装、调试、技术指导、协调验收等</w:t>
      </w:r>
    </w:p>
    <w:p w14:paraId="13B593BC">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热机组数量及参数一览表</w:t>
      </w:r>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25"/>
        <w:gridCol w:w="6154"/>
      </w:tblGrid>
      <w:tr w14:paraId="2DE3F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3625" w:type="dxa"/>
            <w:tcBorders>
              <w:top w:val="single" w:color="auto" w:sz="4" w:space="0"/>
              <w:left w:val="single" w:color="auto" w:sz="4" w:space="0"/>
              <w:bottom w:val="single" w:color="auto" w:sz="4" w:space="0"/>
              <w:right w:val="single" w:color="auto" w:sz="4" w:space="0"/>
              <w:tl2br w:val="single" w:color="auto" w:sz="4" w:space="0"/>
            </w:tcBorders>
            <w:noWrap w:val="0"/>
            <w:vAlign w:val="center"/>
          </w:tcPr>
          <w:p w14:paraId="37DDF5D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1080" w:firstLineChars="45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序号</w:t>
            </w:r>
          </w:p>
          <w:p w14:paraId="128E855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项目</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526AE8B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低区</w:t>
            </w:r>
          </w:p>
        </w:tc>
      </w:tr>
      <w:tr w14:paraId="26082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5D6807C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高温侧工作压力（Mpa）</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0DF0E3A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kern w:val="2"/>
                <w:sz w:val="24"/>
                <w:szCs w:val="24"/>
                <w:lang w:val="en-US" w:eastAsia="zh-CN"/>
              </w:rPr>
            </w:pPr>
            <w:r>
              <w:rPr>
                <w:rFonts w:hint="eastAsia" w:asciiTheme="minorEastAsia" w:hAnsiTheme="minorEastAsia" w:eastAsiaTheme="minorEastAsia" w:cstheme="minorEastAsia"/>
                <w:color w:val="auto"/>
                <w:sz w:val="24"/>
                <w:szCs w:val="24"/>
              </w:rPr>
              <w:t>2.5</w:t>
            </w:r>
          </w:p>
        </w:tc>
      </w:tr>
      <w:tr w14:paraId="6B039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6F95F5A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低温侧工作压力（Mpa）</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2F4A8DF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kern w:val="2"/>
                <w:sz w:val="24"/>
                <w:szCs w:val="24"/>
                <w:lang w:val="en-US" w:eastAsia="zh-CN"/>
              </w:rPr>
            </w:pPr>
            <w:r>
              <w:rPr>
                <w:rFonts w:hint="eastAsia" w:asciiTheme="minorEastAsia" w:hAnsiTheme="minorEastAsia" w:eastAsiaTheme="minorEastAsia" w:cstheme="minorEastAsia"/>
                <w:color w:val="auto"/>
                <w:sz w:val="24"/>
                <w:szCs w:val="24"/>
              </w:rPr>
              <w:t>1.6</w:t>
            </w:r>
          </w:p>
        </w:tc>
      </w:tr>
      <w:tr w14:paraId="073F9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7E66944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高温侧进出水温度（℃）</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2ABDC94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kern w:val="2"/>
                <w:sz w:val="24"/>
                <w:szCs w:val="24"/>
                <w:lang w:val="en-US" w:eastAsia="zh-CN"/>
              </w:rPr>
            </w:pPr>
            <w:r>
              <w:rPr>
                <w:rFonts w:hint="eastAsia" w:asciiTheme="minorEastAsia" w:hAnsiTheme="minorEastAsia" w:eastAsiaTheme="minorEastAsia" w:cstheme="minorEastAsia"/>
                <w:color w:val="auto"/>
                <w:sz w:val="24"/>
                <w:szCs w:val="24"/>
              </w:rPr>
              <w:t>100/</w:t>
            </w: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rPr>
              <w:t>0</w:t>
            </w:r>
          </w:p>
        </w:tc>
      </w:tr>
      <w:tr w14:paraId="61217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1A32CF1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低温侧进出水温度（℃）</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3AE3ECB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kern w:val="2"/>
                <w:sz w:val="24"/>
                <w:szCs w:val="24"/>
                <w:lang w:val="en-US" w:eastAsia="zh-CN"/>
              </w:rPr>
            </w:pPr>
            <w:r>
              <w:rPr>
                <w:rFonts w:hint="eastAsia" w:asciiTheme="minorEastAsia" w:hAnsiTheme="minorEastAsia" w:eastAsiaTheme="minorEastAsia" w:cstheme="minorEastAsia"/>
                <w:color w:val="auto"/>
                <w:sz w:val="24"/>
                <w:szCs w:val="24"/>
              </w:rPr>
              <w:t>45/37</w:t>
            </w:r>
          </w:p>
        </w:tc>
      </w:tr>
      <w:tr w14:paraId="676DB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346DCDF2">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工作介质</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71FD866C">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kern w:val="2"/>
                <w:sz w:val="24"/>
                <w:szCs w:val="24"/>
                <w:lang w:val="en-US" w:eastAsia="zh-CN"/>
              </w:rPr>
            </w:pPr>
            <w:r>
              <w:rPr>
                <w:rFonts w:hint="eastAsia" w:asciiTheme="minorEastAsia" w:hAnsiTheme="minorEastAsia" w:eastAsiaTheme="minorEastAsia" w:cstheme="minorEastAsia"/>
                <w:color w:val="auto"/>
                <w:sz w:val="24"/>
                <w:szCs w:val="24"/>
              </w:rPr>
              <w:t>软化水</w:t>
            </w:r>
          </w:p>
        </w:tc>
      </w:tr>
      <w:tr w14:paraId="33818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41AC6C0F">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换热量（MW）</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5884597B">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default" w:asciiTheme="minorEastAsia" w:hAnsiTheme="minorEastAsia" w:eastAsiaTheme="minorEastAsia" w:cstheme="minorEastAsia"/>
                <w:color w:val="auto"/>
                <w:kern w:val="2"/>
                <w:sz w:val="24"/>
                <w:szCs w:val="24"/>
                <w:lang w:val="en-US" w:eastAsia="zh-CN"/>
              </w:rPr>
            </w:pPr>
            <w:r>
              <w:rPr>
                <w:rFonts w:hint="eastAsia" w:asciiTheme="minorEastAsia" w:hAnsiTheme="minorEastAsia" w:cstheme="minorEastAsia"/>
                <w:b/>
                <w:bCs/>
                <w:color w:val="auto"/>
                <w:sz w:val="24"/>
                <w:szCs w:val="24"/>
                <w:lang w:val="en-US" w:eastAsia="zh-CN"/>
              </w:rPr>
              <w:t>3.0</w:t>
            </w:r>
          </w:p>
        </w:tc>
      </w:tr>
      <w:tr w14:paraId="0C1D2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551A6A91">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循环泵数量（台）</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483D1737">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kern w:val="2"/>
                <w:sz w:val="24"/>
                <w:szCs w:val="24"/>
                <w:lang w:val="en-US" w:eastAsia="zh-CN"/>
              </w:rPr>
            </w:pPr>
            <w:r>
              <w:rPr>
                <w:rFonts w:hint="eastAsia" w:asciiTheme="minorEastAsia" w:hAnsiTheme="minorEastAsia" w:eastAsiaTheme="minorEastAsia" w:cstheme="minorEastAsia"/>
                <w:color w:val="auto"/>
                <w:sz w:val="24"/>
                <w:szCs w:val="24"/>
              </w:rPr>
              <w:t>3</w:t>
            </w:r>
          </w:p>
        </w:tc>
      </w:tr>
      <w:tr w14:paraId="48A58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125E4FB6">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循环泵水量（m3/h）</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33AB55B8">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default" w:asciiTheme="minorEastAsia" w:hAnsiTheme="minorEastAsia" w:eastAsiaTheme="minorEastAsia" w:cstheme="minorEastAsia"/>
                <w:color w:val="auto"/>
                <w:kern w:val="2"/>
                <w:sz w:val="24"/>
                <w:szCs w:val="24"/>
                <w:lang w:val="en-US" w:eastAsia="zh-CN"/>
              </w:rPr>
            </w:pPr>
            <w:r>
              <w:rPr>
                <w:rFonts w:hint="eastAsia" w:asciiTheme="minorEastAsia" w:hAnsiTheme="minorEastAsia" w:cstheme="minorEastAsia"/>
                <w:color w:val="auto"/>
                <w:sz w:val="24"/>
                <w:szCs w:val="24"/>
                <w:lang w:val="en-US" w:eastAsia="zh-CN"/>
              </w:rPr>
              <w:t>230</w:t>
            </w:r>
          </w:p>
        </w:tc>
      </w:tr>
      <w:tr w14:paraId="44977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5B23E8FA">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循环泵扬程（m）</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591BC226">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kern w:val="2"/>
                <w:sz w:val="24"/>
                <w:szCs w:val="24"/>
                <w:lang w:val="en-US" w:eastAsia="zh-CN"/>
              </w:rPr>
            </w:pPr>
            <w:r>
              <w:rPr>
                <w:rFonts w:hint="eastAsia" w:asciiTheme="minorEastAsia" w:hAnsiTheme="minorEastAsia" w:eastAsiaTheme="minorEastAsia" w:cstheme="minorEastAsia"/>
                <w:color w:val="auto"/>
                <w:sz w:val="24"/>
                <w:szCs w:val="24"/>
              </w:rPr>
              <w:t>30</w:t>
            </w:r>
          </w:p>
        </w:tc>
      </w:tr>
      <w:tr w14:paraId="53638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0DA616A5">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泵配用电机功率（kW）</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44BC3C8E">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default" w:asciiTheme="minorEastAsia" w:hAnsiTheme="minorEastAsia" w:eastAsiaTheme="minorEastAsia" w:cstheme="minorEastAsia"/>
                <w:color w:val="auto"/>
                <w:kern w:val="2"/>
                <w:sz w:val="24"/>
                <w:szCs w:val="24"/>
                <w:lang w:val="en-US" w:eastAsia="zh-CN"/>
              </w:rPr>
            </w:pPr>
            <w:r>
              <w:rPr>
                <w:rFonts w:hint="eastAsia" w:asciiTheme="minorEastAsia" w:hAnsiTheme="minorEastAsia" w:cstheme="minorEastAsia"/>
                <w:color w:val="auto"/>
                <w:sz w:val="24"/>
                <w:szCs w:val="24"/>
                <w:lang w:val="en-US" w:eastAsia="zh-CN"/>
              </w:rPr>
              <w:t>30</w:t>
            </w:r>
          </w:p>
        </w:tc>
      </w:tr>
      <w:tr w14:paraId="4FF0D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3184335F">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系统定压方式</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654327FB">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kern w:val="2"/>
                <w:sz w:val="24"/>
                <w:szCs w:val="24"/>
                <w:lang w:val="en-US" w:eastAsia="zh-CN"/>
              </w:rPr>
            </w:pPr>
            <w:r>
              <w:rPr>
                <w:rFonts w:hint="eastAsia" w:asciiTheme="minorEastAsia" w:hAnsiTheme="minorEastAsia" w:eastAsiaTheme="minorEastAsia" w:cstheme="minorEastAsia"/>
                <w:color w:val="auto"/>
                <w:sz w:val="24"/>
                <w:szCs w:val="24"/>
              </w:rPr>
              <w:t>补水定压</w:t>
            </w:r>
          </w:p>
        </w:tc>
      </w:tr>
      <w:tr w14:paraId="12811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173BCA44">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系统定压压力（MPa）</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0F1BC145">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default" w:asciiTheme="minorEastAsia" w:hAnsiTheme="minorEastAsia" w:eastAsiaTheme="minorEastAsia" w:cstheme="minorEastAsia"/>
                <w:color w:val="auto"/>
                <w:kern w:val="2"/>
                <w:sz w:val="24"/>
                <w:szCs w:val="24"/>
                <w:lang w:val="en-US" w:eastAsia="zh-CN"/>
              </w:rPr>
            </w:pPr>
            <w:r>
              <w:rPr>
                <w:rFonts w:hint="eastAsia" w:asciiTheme="minorEastAsia" w:hAnsiTheme="minorEastAsia" w:cstheme="minorEastAsia"/>
                <w:color w:val="auto"/>
                <w:sz w:val="24"/>
                <w:szCs w:val="24"/>
                <w:lang w:val="en-US" w:eastAsia="zh-CN"/>
              </w:rPr>
              <w:t>3.5</w:t>
            </w:r>
          </w:p>
        </w:tc>
      </w:tr>
      <w:tr w14:paraId="464BB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1D168511">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补水泵数量（台）</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52533B77">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kern w:val="2"/>
                <w:sz w:val="24"/>
                <w:szCs w:val="24"/>
                <w:lang w:val="en-US" w:eastAsia="zh-CN"/>
              </w:rPr>
            </w:pPr>
            <w:r>
              <w:rPr>
                <w:rFonts w:hint="eastAsia" w:asciiTheme="minorEastAsia" w:hAnsiTheme="minorEastAsia" w:eastAsiaTheme="minorEastAsia" w:cstheme="minorEastAsia"/>
                <w:color w:val="auto"/>
                <w:sz w:val="24"/>
                <w:szCs w:val="24"/>
              </w:rPr>
              <w:t>2</w:t>
            </w:r>
          </w:p>
        </w:tc>
      </w:tr>
      <w:tr w14:paraId="1B652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55AC2900">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补水泵水量（m3/h）</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0156F77E">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kern w:val="2"/>
                <w:sz w:val="24"/>
                <w:szCs w:val="24"/>
                <w:lang w:val="en-US" w:eastAsia="zh-CN"/>
              </w:rPr>
            </w:pPr>
            <w:r>
              <w:rPr>
                <w:rFonts w:hint="eastAsia" w:asciiTheme="minorEastAsia" w:hAnsiTheme="minorEastAsia" w:eastAsiaTheme="minorEastAsia" w:cstheme="minorEastAsia"/>
                <w:color w:val="auto"/>
                <w:sz w:val="24"/>
                <w:szCs w:val="24"/>
                <w:lang w:val="en-US" w:eastAsia="zh-CN"/>
              </w:rPr>
              <w:t>6</w:t>
            </w:r>
          </w:p>
        </w:tc>
      </w:tr>
      <w:tr w14:paraId="11573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0664AD08">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补水泵扬程（m）</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5E42AE70">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kern w:val="2"/>
                <w:sz w:val="24"/>
                <w:szCs w:val="24"/>
                <w:lang w:val="en-US" w:eastAsia="zh-CN"/>
              </w:rPr>
            </w:pPr>
            <w:r>
              <w:rPr>
                <w:rFonts w:hint="eastAsia" w:asciiTheme="minorEastAsia" w:hAnsiTheme="minorEastAsia" w:eastAsiaTheme="minorEastAsia" w:cstheme="minorEastAsia"/>
                <w:color w:val="auto"/>
                <w:sz w:val="24"/>
                <w:szCs w:val="24"/>
                <w:lang w:val="en-US" w:eastAsia="zh-CN"/>
              </w:rPr>
              <w:t>45</w:t>
            </w:r>
          </w:p>
        </w:tc>
      </w:tr>
      <w:tr w14:paraId="6CB56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037A5D38">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泵配用电机功率（kW）</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7CEB1A1F">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kern w:val="2"/>
                <w:sz w:val="24"/>
                <w:szCs w:val="24"/>
                <w:lang w:val="en-US" w:eastAsia="zh-CN"/>
              </w:rPr>
            </w:pPr>
            <w:r>
              <w:rPr>
                <w:rFonts w:hint="eastAsia" w:asciiTheme="minorEastAsia" w:hAnsiTheme="minorEastAsia" w:cstheme="minorEastAsia"/>
                <w:color w:val="auto"/>
                <w:sz w:val="24"/>
                <w:szCs w:val="24"/>
                <w:lang w:val="en-US" w:eastAsia="zh-CN"/>
              </w:rPr>
              <w:t>3</w:t>
            </w:r>
          </w:p>
        </w:tc>
      </w:tr>
      <w:tr w14:paraId="3A042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3B588CC3">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低温侧接管管径（mm）</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64495F94">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default" w:asciiTheme="minorEastAsia" w:hAnsiTheme="minorEastAsia" w:eastAsiaTheme="minorEastAsia" w:cstheme="minorEastAsia"/>
                <w:color w:val="auto"/>
                <w:kern w:val="2"/>
                <w:sz w:val="24"/>
                <w:szCs w:val="24"/>
                <w:lang w:val="en-US" w:eastAsia="zh-CN"/>
              </w:rPr>
            </w:pPr>
            <w:r>
              <w:rPr>
                <w:rFonts w:hint="eastAsia" w:asciiTheme="minorEastAsia" w:hAnsiTheme="minorEastAsia" w:eastAsiaTheme="minorEastAsia" w:cstheme="minorEastAsia"/>
                <w:color w:val="auto"/>
                <w:sz w:val="24"/>
                <w:szCs w:val="24"/>
              </w:rPr>
              <w:t>DN</w:t>
            </w:r>
            <w:r>
              <w:rPr>
                <w:rFonts w:hint="eastAsia" w:asciiTheme="minorEastAsia" w:hAnsiTheme="minorEastAsia" w:cstheme="minorEastAsia"/>
                <w:color w:val="auto"/>
                <w:sz w:val="24"/>
                <w:szCs w:val="24"/>
                <w:lang w:val="en-US" w:eastAsia="zh-CN"/>
              </w:rPr>
              <w:t>250</w:t>
            </w:r>
          </w:p>
        </w:tc>
      </w:tr>
      <w:tr w14:paraId="00835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619004F7">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除污器旁通管管径（mm）</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794DB63A">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default" w:asciiTheme="minorEastAsia" w:hAnsiTheme="minorEastAsia" w:eastAsiaTheme="minorEastAsia" w:cstheme="minorEastAsia"/>
                <w:color w:val="auto"/>
                <w:kern w:val="2"/>
                <w:sz w:val="24"/>
                <w:szCs w:val="24"/>
                <w:lang w:val="en-US" w:eastAsia="zh-CN"/>
              </w:rPr>
            </w:pPr>
            <w:r>
              <w:rPr>
                <w:rFonts w:hint="eastAsia" w:asciiTheme="minorEastAsia" w:hAnsiTheme="minorEastAsia" w:eastAsiaTheme="minorEastAsia" w:cstheme="minorEastAsia"/>
                <w:color w:val="auto"/>
                <w:sz w:val="24"/>
                <w:szCs w:val="24"/>
              </w:rPr>
              <w:t>DN</w:t>
            </w:r>
            <w:r>
              <w:rPr>
                <w:rFonts w:hint="eastAsia" w:asciiTheme="minorEastAsia" w:hAnsiTheme="minorEastAsia" w:cstheme="minorEastAsia"/>
                <w:color w:val="auto"/>
                <w:sz w:val="24"/>
                <w:szCs w:val="24"/>
                <w:lang w:val="en-US" w:eastAsia="zh-CN"/>
              </w:rPr>
              <w:t>200</w:t>
            </w:r>
          </w:p>
        </w:tc>
      </w:tr>
      <w:tr w14:paraId="4E520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424A58F3">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高温侧接管管径（mm）</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0B3BB373">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default" w:asciiTheme="minorEastAsia" w:hAnsiTheme="minorEastAsia" w:eastAsiaTheme="minorEastAsia" w:cstheme="minorEastAsia"/>
                <w:color w:val="auto"/>
                <w:kern w:val="2"/>
                <w:sz w:val="24"/>
                <w:szCs w:val="24"/>
                <w:lang w:val="en-US" w:eastAsia="zh-CN"/>
              </w:rPr>
            </w:pPr>
            <w:r>
              <w:rPr>
                <w:rFonts w:hint="eastAsia" w:asciiTheme="minorEastAsia" w:hAnsiTheme="minorEastAsia" w:eastAsiaTheme="minorEastAsia" w:cstheme="minorEastAsia"/>
                <w:color w:val="auto"/>
                <w:sz w:val="24"/>
                <w:szCs w:val="24"/>
              </w:rPr>
              <w:t>DN</w:t>
            </w:r>
            <w:r>
              <w:rPr>
                <w:rFonts w:hint="eastAsia" w:asciiTheme="minorEastAsia" w:hAnsiTheme="minorEastAsia" w:cstheme="minorEastAsia"/>
                <w:color w:val="auto"/>
                <w:sz w:val="24"/>
                <w:szCs w:val="24"/>
                <w:lang w:val="en-US" w:eastAsia="zh-CN"/>
              </w:rPr>
              <w:t>125</w:t>
            </w:r>
          </w:p>
        </w:tc>
      </w:tr>
      <w:tr w14:paraId="09CED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2496C2A3">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电调门旁通管管径（mm）</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5C321EEC">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default" w:asciiTheme="minorEastAsia" w:hAnsiTheme="minorEastAsia" w:eastAsiaTheme="minorEastAsia" w:cstheme="minorEastAsia"/>
                <w:color w:val="auto"/>
                <w:kern w:val="2"/>
                <w:sz w:val="24"/>
                <w:szCs w:val="24"/>
                <w:lang w:val="en-US" w:eastAsia="zh-CN"/>
              </w:rPr>
            </w:pPr>
            <w:r>
              <w:rPr>
                <w:rFonts w:hint="eastAsia" w:asciiTheme="minorEastAsia" w:hAnsiTheme="minorEastAsia" w:eastAsiaTheme="minorEastAsia" w:cstheme="minorEastAsia"/>
                <w:color w:val="auto"/>
                <w:sz w:val="24"/>
                <w:szCs w:val="24"/>
              </w:rPr>
              <w:t>DN1</w:t>
            </w:r>
            <w:r>
              <w:rPr>
                <w:rFonts w:hint="eastAsia" w:asciiTheme="minorEastAsia" w:hAnsiTheme="minorEastAsia" w:cstheme="minorEastAsia"/>
                <w:color w:val="auto"/>
                <w:sz w:val="24"/>
                <w:szCs w:val="24"/>
                <w:lang w:val="en-US" w:eastAsia="zh-CN"/>
              </w:rPr>
              <w:t>00</w:t>
            </w:r>
          </w:p>
        </w:tc>
      </w:tr>
      <w:tr w14:paraId="4BDB9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56BC0723">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补水接管管径（mm）</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26CD8556">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default" w:asciiTheme="minorEastAsia" w:hAnsiTheme="minorEastAsia" w:eastAsiaTheme="minorEastAsia" w:cstheme="minorEastAsia"/>
                <w:color w:val="auto"/>
                <w:kern w:val="2"/>
                <w:sz w:val="24"/>
                <w:szCs w:val="24"/>
                <w:lang w:val="en-US" w:eastAsia="zh-CN"/>
              </w:rPr>
            </w:pPr>
            <w:r>
              <w:rPr>
                <w:rFonts w:hint="eastAsia" w:asciiTheme="minorEastAsia" w:hAnsiTheme="minorEastAsia" w:eastAsiaTheme="minorEastAsia" w:cstheme="minorEastAsia"/>
                <w:color w:val="auto"/>
                <w:sz w:val="24"/>
                <w:szCs w:val="24"/>
              </w:rPr>
              <w:t>DN</w:t>
            </w:r>
            <w:r>
              <w:rPr>
                <w:rFonts w:hint="eastAsia" w:asciiTheme="minorEastAsia" w:hAnsiTheme="minorEastAsia" w:cstheme="minorEastAsia"/>
                <w:color w:val="auto"/>
                <w:sz w:val="24"/>
                <w:szCs w:val="24"/>
                <w:lang w:val="en-US" w:eastAsia="zh-CN"/>
              </w:rPr>
              <w:t>65</w:t>
            </w:r>
          </w:p>
        </w:tc>
      </w:tr>
      <w:tr w14:paraId="6F140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5D55546E">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实际采暖建筑面积（平方米）</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31BE1C9F">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4.8 万</w:t>
            </w:r>
          </w:p>
        </w:tc>
      </w:tr>
      <w:tr w14:paraId="327D1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5B6672EB">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水处理一套</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6549C523">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8T/H</w:t>
            </w:r>
          </w:p>
        </w:tc>
      </w:tr>
      <w:tr w14:paraId="79C4E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3160FE6F">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层高</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70863B34">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1-8</w:t>
            </w:r>
          </w:p>
        </w:tc>
      </w:tr>
      <w:tr w14:paraId="62179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625" w:type="dxa"/>
            <w:tcBorders>
              <w:top w:val="single" w:color="auto" w:sz="4" w:space="0"/>
              <w:left w:val="single" w:color="auto" w:sz="4" w:space="0"/>
              <w:bottom w:val="single" w:color="auto" w:sz="4" w:space="0"/>
              <w:right w:val="single" w:color="auto" w:sz="4" w:space="0"/>
            </w:tcBorders>
            <w:noWrap w:val="0"/>
            <w:vAlign w:val="center"/>
          </w:tcPr>
          <w:p w14:paraId="0A16EF3A">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center"/>
              <w:textAlignment w:val="auto"/>
              <w:rPr>
                <w:rFonts w:hint="eastAsia" w:asciiTheme="minorEastAsia" w:hAnsi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其它要求</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18A41E5A">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left"/>
              <w:textAlignment w:val="auto"/>
              <w:rPr>
                <w:rFonts w:hint="eastAsia" w:asciiTheme="minorEastAsia" w:hAnsi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1、供应商交付设备时需同时提供以下备品：高低区换热板片、胶条各 10 片，循环泵、补水泵机械密封不同型号各一套，止回阀不同型号各一套。</w:t>
            </w:r>
          </w:p>
          <w:p w14:paraId="2EEF85CA">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left"/>
              <w:textAlignment w:val="auto"/>
              <w:rPr>
                <w:rFonts w:hint="eastAsia" w:asciiTheme="minorEastAsia" w:hAnsi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2、换热站内地面瓷砖，墙面瓷砖 1.5 米。</w:t>
            </w:r>
          </w:p>
          <w:p w14:paraId="3F6C7CD0">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left"/>
              <w:textAlignment w:val="auto"/>
              <w:rPr>
                <w:rFonts w:hint="eastAsia" w:asciiTheme="minorEastAsia" w:hAnsi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3、换热机组待试运正常后进行机组裸露部位保温。</w:t>
            </w:r>
          </w:p>
          <w:p w14:paraId="075E0495">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left"/>
              <w:textAlignment w:val="auto"/>
              <w:rPr>
                <w:rFonts w:hint="eastAsia" w:asciiTheme="minorEastAsia" w:hAnsi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4、供应商负责联系移动或联通公司敷设专用通讯光缆，负责开通两年通讯业务。</w:t>
            </w:r>
          </w:p>
          <w:p w14:paraId="7F774442">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left"/>
              <w:textAlignment w:val="auto"/>
              <w:rPr>
                <w:rFonts w:hint="eastAsia" w:asciiTheme="minorEastAsia" w:hAnsi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5、供应商负责联系进行机组数据组态、上传相关事宜。</w:t>
            </w:r>
          </w:p>
          <w:p w14:paraId="69BF91B4">
            <w:pPr>
              <w:keepNext w:val="0"/>
              <w:keepLines w:val="0"/>
              <w:pageBreakBefore w:val="0"/>
              <w:widowControl w:val="0"/>
              <w:suppressLineNumbers w:val="0"/>
              <w:kinsoku/>
              <w:wordWrap/>
              <w:overflowPunct/>
              <w:topLinePunct w:val="0"/>
              <w:bidi w:val="0"/>
              <w:adjustRightInd/>
              <w:spacing w:before="0" w:beforeAutospacing="0" w:after="0" w:afterAutospacing="0" w:line="360" w:lineRule="auto"/>
              <w:ind w:left="0" w:right="0"/>
              <w:jc w:val="left"/>
              <w:textAlignment w:val="auto"/>
              <w:rPr>
                <w:rFonts w:hint="eastAsia" w:asciiTheme="minorEastAsia" w:hAnsi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其他的参照华电最新验收规范</w:t>
            </w:r>
          </w:p>
        </w:tc>
      </w:tr>
    </w:tbl>
    <w:p w14:paraId="7700A2F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（2）、</w:t>
      </w:r>
      <w:r>
        <w:rPr>
          <w:rFonts w:hint="eastAsia" w:asciiTheme="minorEastAsia" w:hAnsiTheme="minorEastAsia" w:eastAsiaTheme="minorEastAsia" w:cstheme="minorEastAsia"/>
          <w:color w:val="auto"/>
          <w:sz w:val="24"/>
          <w:szCs w:val="24"/>
          <w:lang w:val="en-US" w:eastAsia="zh-CN"/>
        </w:rPr>
        <w:t>水处理系统</w:t>
      </w:r>
    </w:p>
    <w:p w14:paraId="110D2DE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规格：6T</w:t>
      </w:r>
      <w:r>
        <w:rPr>
          <w:rFonts w:hint="eastAsia" w:asciiTheme="minorEastAsia" w:hAnsiTheme="minorEastAsia" w:eastAsiaTheme="minorEastAsia" w:cstheme="minorEastAsia"/>
          <w:color w:val="auto"/>
          <w:sz w:val="24"/>
          <w:szCs w:val="24"/>
          <w:lang w:val="en-US" w:eastAsia="zh-CN"/>
        </w:rPr>
        <w:t>水处理系统</w:t>
      </w:r>
    </w:p>
    <w:p w14:paraId="6AA9DC6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包含内容:含盐箱、水箱、液位计等</w:t>
      </w:r>
    </w:p>
    <w:p w14:paraId="243DC04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包含服务:设备</w:t>
      </w:r>
      <w:r>
        <w:rPr>
          <w:rFonts w:hint="eastAsia" w:asciiTheme="minorEastAsia" w:hAnsiTheme="minorEastAsia" w:cstheme="minorEastAsia"/>
          <w:color w:val="auto"/>
          <w:sz w:val="24"/>
          <w:szCs w:val="24"/>
          <w:lang w:val="en-US" w:eastAsia="zh-CN"/>
        </w:rPr>
        <w:t>采购</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cstheme="minorEastAsia"/>
          <w:color w:val="auto"/>
          <w:sz w:val="24"/>
          <w:szCs w:val="24"/>
          <w:lang w:val="en-US" w:eastAsia="zh-CN"/>
        </w:rPr>
        <w:t>安装</w:t>
      </w:r>
      <w:r>
        <w:rPr>
          <w:rFonts w:hint="eastAsia" w:asciiTheme="minorEastAsia" w:hAnsiTheme="minorEastAsia" w:eastAsiaTheme="minorEastAsia" w:cstheme="minorEastAsia"/>
          <w:color w:val="auto"/>
          <w:sz w:val="24"/>
          <w:szCs w:val="24"/>
          <w:lang w:val="en-US" w:eastAsia="zh-CN"/>
        </w:rPr>
        <w:t>调试、技术指导、协调验收等</w:t>
      </w:r>
    </w:p>
    <w:p w14:paraId="7B6D68D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heme="minorEastAsia" w:hAnsi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（3）、换热站安装及配套项目</w:t>
      </w:r>
    </w:p>
    <w:p w14:paraId="103FA5E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color w:val="auto"/>
          <w:sz w:val="24"/>
          <w:szCs w:val="24"/>
        </w:rPr>
      </w:pPr>
      <w:r>
        <w:rPr>
          <w:rFonts w:hint="eastAsia" w:asciiTheme="minorEastAsia" w:hAnsiTheme="minorEastAsia" w:cstheme="minorEastAsia"/>
          <w:color w:val="auto"/>
          <w:sz w:val="24"/>
          <w:szCs w:val="24"/>
          <w:lang w:val="en-US" w:eastAsia="zh-CN"/>
        </w:rPr>
        <w:t>包含内容:设备拆分组装及吊装搬运就位；机组一次测安装、管路连接；机组二次侧安装、管路连接；机组站内管道保温、外护及标识；站内设备控制柜、变频柜等现场接线、桥脚、调试；水处理现场安装及连接；介质流向及设备标识；动力柜至机组等各设备电缆、桥架；能耗采集及上传；热表及安装；监控系统及站内网络通讯；照明、应急、消防。</w:t>
      </w:r>
    </w:p>
    <w:p w14:paraId="7BEEE2C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（4）其他要求:</w:t>
      </w:r>
      <w:r>
        <w:rPr>
          <w:rFonts w:hint="default" w:ascii="Calibri" w:hAnsi="Calibri" w:cs="Calibri"/>
          <w:color w:val="auto"/>
          <w:sz w:val="24"/>
          <w:szCs w:val="24"/>
          <w:lang w:val="en-US" w:eastAsia="zh-CN"/>
        </w:rPr>
        <w:t>①</w:t>
      </w:r>
      <w:r>
        <w:rPr>
          <w:rFonts w:hint="eastAsia" w:asciiTheme="minorEastAsia" w:hAnsiTheme="minorEastAsia" w:cstheme="minorEastAsia"/>
          <w:color w:val="auto"/>
          <w:sz w:val="24"/>
          <w:szCs w:val="24"/>
          <w:lang w:val="en-US" w:eastAsia="zh-CN"/>
        </w:rPr>
        <w:t>供应商应根据采购文件要求、项目现场实际情况、自身工作经验及热力公司有关要求，对项目所需设备及附属设施进行优化和细化配置，项目</w:t>
      </w:r>
      <w:r>
        <w:rPr>
          <w:rFonts w:hint="eastAsia" w:asciiTheme="minorEastAsia" w:hAnsiTheme="minorEastAsia" w:eastAsiaTheme="minorEastAsia" w:cstheme="minorEastAsia"/>
          <w:color w:val="auto"/>
          <w:sz w:val="24"/>
          <w:szCs w:val="24"/>
          <w:lang w:val="en-US" w:eastAsia="zh-CN"/>
        </w:rPr>
        <w:t>实施过程中如发现有缺项、</w:t>
      </w:r>
      <w:r>
        <w:rPr>
          <w:rFonts w:hint="eastAsia" w:asciiTheme="minorEastAsia" w:hAnsiTheme="minorEastAsia" w:cstheme="minorEastAsia"/>
          <w:color w:val="auto"/>
          <w:sz w:val="24"/>
          <w:szCs w:val="24"/>
          <w:lang w:val="en-US" w:eastAsia="zh-CN"/>
        </w:rPr>
        <w:t>漏项</w:t>
      </w:r>
      <w:r>
        <w:rPr>
          <w:rFonts w:hint="eastAsia" w:asciiTheme="minorEastAsia" w:hAnsiTheme="minorEastAsia" w:eastAsiaTheme="minorEastAsia" w:cstheme="minorEastAsia"/>
          <w:color w:val="auto"/>
          <w:sz w:val="24"/>
          <w:szCs w:val="24"/>
          <w:lang w:val="en-US" w:eastAsia="zh-CN"/>
        </w:rPr>
        <w:t>，供应商应无偿补齐，且并不能因此耽误项目进度、影响项目质量</w:t>
      </w:r>
      <w:r>
        <w:rPr>
          <w:rFonts w:hint="eastAsia" w:asciiTheme="minorEastAsia" w:hAnsiTheme="minorEastAsia" w:cstheme="minorEastAsia"/>
          <w:color w:val="auto"/>
          <w:sz w:val="24"/>
          <w:szCs w:val="24"/>
          <w:lang w:val="en-US" w:eastAsia="zh-CN"/>
        </w:rPr>
        <w:t>；</w:t>
      </w:r>
      <w:r>
        <w:rPr>
          <w:rFonts w:hint="default" w:ascii="Calibri" w:hAnsi="Calibri" w:cs="Calibri"/>
          <w:color w:val="auto"/>
          <w:sz w:val="24"/>
          <w:szCs w:val="24"/>
          <w:lang w:val="en-US" w:eastAsia="zh-CN"/>
        </w:rPr>
        <w:t>②</w:t>
      </w:r>
      <w:r>
        <w:rPr>
          <w:rFonts w:hint="eastAsia" w:asciiTheme="minorEastAsia" w:hAnsiTheme="minorEastAsia" w:cstheme="minorEastAsia"/>
          <w:color w:val="auto"/>
          <w:sz w:val="24"/>
          <w:szCs w:val="24"/>
          <w:lang w:val="en-US" w:eastAsia="zh-CN"/>
        </w:rPr>
        <w:t>供应商应承诺保证所供机组达到热力公司相应技术要求，并能通过热力公司验收，同时配合好换热站建设、保证自控及上位通讯良好，做好调试、试运行、供热、及验收相关工作。</w:t>
      </w:r>
    </w:p>
    <w:p w14:paraId="049B9DB1">
      <w:pPr>
        <w:widowControl/>
        <w:jc w:val="center"/>
        <w:outlineLvl w:val="0"/>
        <w:rPr>
          <w:rFonts w:ascii="宋体" w:hAnsi="宋体"/>
          <w:color w:val="auto"/>
          <w:sz w:val="32"/>
          <w:szCs w:val="32"/>
        </w:rPr>
      </w:pPr>
      <w:r>
        <w:rPr>
          <w:rFonts w:hint="eastAsia" w:ascii="宋体" w:hAnsi="宋体"/>
          <w:color w:val="auto"/>
          <w:sz w:val="32"/>
          <w:szCs w:val="32"/>
        </w:rPr>
        <w:br w:type="page"/>
      </w:r>
      <w:bookmarkStart w:id="27" w:name="_Toc16480"/>
      <w:bookmarkStart w:id="28" w:name="_Toc16799"/>
      <w:r>
        <w:rPr>
          <w:rStyle w:val="55"/>
          <w:rFonts w:hint="eastAsia" w:ascii="宋体" w:hAnsi="宋体" w:eastAsia="宋体" w:cs="宋体"/>
          <w:color w:val="auto"/>
        </w:rPr>
        <w:t>第五部分  合同授予</w:t>
      </w:r>
      <w:bookmarkEnd w:id="27"/>
      <w:bookmarkEnd w:id="28"/>
    </w:p>
    <w:p w14:paraId="3A27C396">
      <w:pPr>
        <w:widowControl/>
        <w:spacing w:line="360" w:lineRule="auto"/>
        <w:ind w:firstLine="482" w:firstLineChars="200"/>
        <w:rPr>
          <w:rFonts w:ascii="宋体" w:hAnsi="宋体" w:cs="宋体"/>
          <w:b/>
          <w:color w:val="auto"/>
          <w:kern w:val="0"/>
          <w:sz w:val="24"/>
        </w:rPr>
      </w:pPr>
      <w:r>
        <w:rPr>
          <w:rFonts w:hint="eastAsia" w:ascii="宋体" w:hAnsi="宋体" w:cs="宋体"/>
          <w:b/>
          <w:color w:val="auto"/>
          <w:kern w:val="0"/>
          <w:sz w:val="24"/>
        </w:rPr>
        <w:t>一、签订合同：</w:t>
      </w:r>
    </w:p>
    <w:p w14:paraId="03D3FACF">
      <w:pPr>
        <w:widowControl/>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采购人和成交供应商按成交通知书约定签订合同，合同签订的内容不能超出磋商文件、成交供应商的响应文件、</w:t>
      </w:r>
      <w:r>
        <w:rPr>
          <w:rFonts w:hint="eastAsia" w:ascii="宋体" w:hAnsi="宋体"/>
          <w:bCs/>
          <w:color w:val="auto"/>
          <w:sz w:val="24"/>
        </w:rPr>
        <w:t>磋商</w:t>
      </w:r>
      <w:r>
        <w:rPr>
          <w:rFonts w:hint="eastAsia" w:ascii="宋体" w:hAnsi="宋体" w:cs="宋体"/>
          <w:color w:val="auto"/>
          <w:kern w:val="0"/>
          <w:sz w:val="24"/>
        </w:rPr>
        <w:t>过程中的补充承诺、最终书面报价等的实质性内容。因供应商原因不能与采购人签订合同的，视为供应商放弃成交资格。</w:t>
      </w:r>
    </w:p>
    <w:p w14:paraId="60A0C33C">
      <w:pPr>
        <w:pStyle w:val="3"/>
        <w:keepNext w:val="0"/>
        <w:keepLines w:val="0"/>
        <w:spacing w:before="0" w:after="0" w:line="540" w:lineRule="exact"/>
        <w:jc w:val="center"/>
        <w:outlineLvl w:val="9"/>
        <w:rPr>
          <w:rFonts w:ascii="宋体" w:hAnsi="宋体" w:eastAsia="宋体" w:cs="宋体"/>
          <w:color w:val="auto"/>
          <w:sz w:val="24"/>
          <w:szCs w:val="24"/>
        </w:rPr>
      </w:pPr>
      <w:bookmarkStart w:id="29" w:name="_Toc17168"/>
      <w:bookmarkStart w:id="30" w:name="_Toc5213"/>
      <w:bookmarkStart w:id="31" w:name="_Toc457668115"/>
    </w:p>
    <w:p w14:paraId="4CBB062B">
      <w:pPr>
        <w:pStyle w:val="3"/>
        <w:keepNext w:val="0"/>
        <w:keepLines w:val="0"/>
        <w:spacing w:before="0" w:after="0" w:line="540" w:lineRule="exact"/>
        <w:jc w:val="center"/>
        <w:outlineLvl w:val="9"/>
        <w:rPr>
          <w:rFonts w:ascii="宋体" w:hAnsi="宋体" w:eastAsia="宋体" w:cs="宋体"/>
          <w:color w:val="auto"/>
          <w:sz w:val="24"/>
          <w:szCs w:val="24"/>
        </w:rPr>
      </w:pPr>
    </w:p>
    <w:p w14:paraId="01CAA83F">
      <w:pPr>
        <w:rPr>
          <w:rFonts w:ascii="宋体" w:hAnsi="宋体" w:eastAsia="宋体" w:cs="宋体"/>
          <w:color w:val="auto"/>
          <w:sz w:val="24"/>
          <w:szCs w:val="24"/>
        </w:rPr>
      </w:pPr>
    </w:p>
    <w:p w14:paraId="195C8046">
      <w:pPr>
        <w:rPr>
          <w:rFonts w:ascii="宋体" w:hAnsi="宋体" w:eastAsia="宋体" w:cs="宋体"/>
          <w:color w:val="auto"/>
          <w:sz w:val="24"/>
          <w:szCs w:val="24"/>
        </w:rPr>
      </w:pPr>
    </w:p>
    <w:p w14:paraId="24EC505C">
      <w:pPr>
        <w:pStyle w:val="3"/>
        <w:keepNext w:val="0"/>
        <w:keepLines w:val="0"/>
        <w:spacing w:before="0" w:after="0" w:line="540" w:lineRule="exact"/>
        <w:jc w:val="center"/>
        <w:outlineLvl w:val="9"/>
        <w:rPr>
          <w:rFonts w:ascii="宋体" w:hAnsi="宋体" w:eastAsia="宋体" w:cs="宋体"/>
          <w:color w:val="auto"/>
          <w:sz w:val="24"/>
          <w:szCs w:val="24"/>
        </w:rPr>
      </w:pPr>
    </w:p>
    <w:p w14:paraId="288ABFA6">
      <w:pPr>
        <w:pStyle w:val="3"/>
        <w:keepNext w:val="0"/>
        <w:keepLines w:val="0"/>
        <w:spacing w:before="0" w:after="0" w:line="540" w:lineRule="exact"/>
        <w:jc w:val="center"/>
        <w:outlineLvl w:val="9"/>
        <w:rPr>
          <w:rFonts w:ascii="宋体" w:hAnsi="宋体" w:eastAsia="宋体" w:cs="宋体"/>
          <w:color w:val="auto"/>
          <w:sz w:val="24"/>
          <w:szCs w:val="24"/>
        </w:rPr>
      </w:pPr>
    </w:p>
    <w:p w14:paraId="1A0B1F6F">
      <w:pPr>
        <w:pStyle w:val="3"/>
        <w:keepNext w:val="0"/>
        <w:keepLines w:val="0"/>
        <w:spacing w:before="0" w:after="0" w:line="540" w:lineRule="exact"/>
        <w:jc w:val="center"/>
        <w:outlineLvl w:val="9"/>
        <w:rPr>
          <w:rFonts w:ascii="宋体" w:hAnsi="宋体" w:eastAsia="宋体" w:cs="宋体"/>
          <w:color w:val="auto"/>
          <w:sz w:val="24"/>
          <w:szCs w:val="24"/>
        </w:rPr>
      </w:pPr>
    </w:p>
    <w:p w14:paraId="56F1AA89">
      <w:pPr>
        <w:pStyle w:val="3"/>
        <w:keepNext w:val="0"/>
        <w:keepLines w:val="0"/>
        <w:spacing w:before="0" w:after="0" w:line="540" w:lineRule="exact"/>
        <w:jc w:val="center"/>
        <w:outlineLvl w:val="9"/>
        <w:rPr>
          <w:rFonts w:ascii="宋体" w:hAnsi="宋体" w:eastAsia="宋体" w:cs="宋体"/>
          <w:color w:val="auto"/>
          <w:sz w:val="24"/>
          <w:szCs w:val="24"/>
        </w:rPr>
      </w:pPr>
    </w:p>
    <w:p w14:paraId="0E694B25">
      <w:pPr>
        <w:pStyle w:val="3"/>
        <w:keepNext w:val="0"/>
        <w:keepLines w:val="0"/>
        <w:spacing w:before="0" w:after="0" w:line="540" w:lineRule="exact"/>
        <w:jc w:val="center"/>
        <w:outlineLvl w:val="9"/>
        <w:rPr>
          <w:rFonts w:ascii="宋体" w:hAnsi="宋体" w:eastAsia="宋体" w:cs="宋体"/>
          <w:color w:val="auto"/>
          <w:sz w:val="24"/>
          <w:szCs w:val="24"/>
        </w:rPr>
      </w:pPr>
    </w:p>
    <w:p w14:paraId="0B233534">
      <w:pPr>
        <w:pStyle w:val="3"/>
        <w:keepNext w:val="0"/>
        <w:keepLines w:val="0"/>
        <w:spacing w:before="0" w:after="0" w:line="540" w:lineRule="exact"/>
        <w:jc w:val="both"/>
        <w:outlineLvl w:val="9"/>
        <w:rPr>
          <w:rFonts w:hint="eastAsia" w:ascii="宋体" w:hAnsi="宋体" w:eastAsia="宋体" w:cs="宋体"/>
          <w:color w:val="auto"/>
          <w:sz w:val="24"/>
          <w:szCs w:val="24"/>
          <w:lang w:eastAsia="zh-CN"/>
        </w:rPr>
      </w:pPr>
    </w:p>
    <w:p w14:paraId="7475526B">
      <w:pPr>
        <w:pStyle w:val="3"/>
        <w:keepNext w:val="0"/>
        <w:keepLines w:val="0"/>
        <w:spacing w:before="0" w:after="0" w:line="540" w:lineRule="exact"/>
        <w:jc w:val="center"/>
        <w:outlineLvl w:val="9"/>
        <w:rPr>
          <w:rFonts w:ascii="宋体" w:hAnsi="宋体" w:eastAsia="宋体" w:cs="宋体"/>
          <w:color w:val="auto"/>
          <w:sz w:val="24"/>
          <w:szCs w:val="24"/>
        </w:rPr>
      </w:pPr>
    </w:p>
    <w:p w14:paraId="523B664D">
      <w:pPr>
        <w:pStyle w:val="3"/>
        <w:keepNext w:val="0"/>
        <w:keepLines w:val="0"/>
        <w:spacing w:before="0" w:after="0" w:line="540" w:lineRule="exact"/>
        <w:jc w:val="center"/>
        <w:outlineLvl w:val="9"/>
        <w:rPr>
          <w:rFonts w:ascii="宋体" w:hAnsi="宋体" w:eastAsia="宋体" w:cs="宋体"/>
          <w:color w:val="auto"/>
          <w:sz w:val="24"/>
          <w:szCs w:val="24"/>
        </w:rPr>
      </w:pPr>
    </w:p>
    <w:p w14:paraId="69B3EF45">
      <w:pPr>
        <w:pStyle w:val="3"/>
        <w:keepNext w:val="0"/>
        <w:keepLines w:val="0"/>
        <w:spacing w:before="0" w:after="0" w:line="540" w:lineRule="exact"/>
        <w:jc w:val="center"/>
        <w:outlineLvl w:val="9"/>
        <w:rPr>
          <w:rFonts w:ascii="宋体" w:hAnsi="宋体" w:eastAsia="宋体" w:cs="宋体"/>
          <w:color w:val="auto"/>
          <w:sz w:val="24"/>
          <w:szCs w:val="24"/>
        </w:rPr>
      </w:pPr>
    </w:p>
    <w:p w14:paraId="7CC38B76">
      <w:pPr>
        <w:pStyle w:val="3"/>
        <w:keepNext w:val="0"/>
        <w:keepLines w:val="0"/>
        <w:spacing w:before="0" w:after="0" w:line="540" w:lineRule="exact"/>
        <w:jc w:val="center"/>
        <w:outlineLvl w:val="9"/>
        <w:rPr>
          <w:rFonts w:ascii="宋体" w:hAnsi="宋体" w:eastAsia="宋体" w:cs="宋体"/>
          <w:color w:val="auto"/>
          <w:sz w:val="24"/>
          <w:szCs w:val="24"/>
        </w:rPr>
      </w:pPr>
    </w:p>
    <w:p w14:paraId="522CE82C">
      <w:pPr>
        <w:pStyle w:val="3"/>
        <w:keepNext w:val="0"/>
        <w:keepLines w:val="0"/>
        <w:spacing w:before="0" w:after="0" w:line="540" w:lineRule="exact"/>
        <w:jc w:val="center"/>
        <w:outlineLvl w:val="9"/>
        <w:rPr>
          <w:rFonts w:ascii="宋体" w:hAnsi="宋体" w:eastAsia="宋体" w:cs="宋体"/>
          <w:color w:val="auto"/>
          <w:sz w:val="24"/>
          <w:szCs w:val="24"/>
        </w:rPr>
      </w:pPr>
    </w:p>
    <w:p w14:paraId="0C8ED60E">
      <w:pPr>
        <w:pStyle w:val="3"/>
        <w:keepNext w:val="0"/>
        <w:keepLines w:val="0"/>
        <w:spacing w:before="0" w:after="0" w:line="540" w:lineRule="exact"/>
        <w:jc w:val="center"/>
        <w:outlineLvl w:val="9"/>
        <w:rPr>
          <w:rFonts w:ascii="宋体" w:hAnsi="宋体" w:eastAsia="宋体" w:cs="宋体"/>
          <w:color w:val="auto"/>
          <w:sz w:val="24"/>
          <w:szCs w:val="24"/>
        </w:rPr>
      </w:pPr>
    </w:p>
    <w:p w14:paraId="4A8312FF">
      <w:pPr>
        <w:pStyle w:val="3"/>
        <w:keepNext w:val="0"/>
        <w:keepLines w:val="0"/>
        <w:spacing w:before="0" w:after="0" w:line="540" w:lineRule="exact"/>
        <w:jc w:val="center"/>
        <w:outlineLvl w:val="9"/>
        <w:rPr>
          <w:rFonts w:ascii="宋体" w:hAnsi="宋体" w:eastAsia="宋体" w:cs="宋体"/>
          <w:color w:val="auto"/>
          <w:sz w:val="24"/>
          <w:szCs w:val="24"/>
        </w:rPr>
      </w:pPr>
    </w:p>
    <w:p w14:paraId="70C61F41">
      <w:pPr>
        <w:pStyle w:val="3"/>
        <w:keepNext w:val="0"/>
        <w:keepLines w:val="0"/>
        <w:spacing w:before="0" w:after="0" w:line="540" w:lineRule="exact"/>
        <w:jc w:val="center"/>
        <w:outlineLvl w:val="9"/>
        <w:rPr>
          <w:rFonts w:ascii="宋体" w:hAnsi="宋体" w:eastAsia="宋体" w:cs="宋体"/>
          <w:color w:val="auto"/>
          <w:sz w:val="24"/>
          <w:szCs w:val="24"/>
        </w:rPr>
      </w:pPr>
    </w:p>
    <w:p w14:paraId="3CA6031A">
      <w:pPr>
        <w:pStyle w:val="3"/>
        <w:keepNext w:val="0"/>
        <w:keepLines w:val="0"/>
        <w:spacing w:before="0" w:after="0" w:line="540" w:lineRule="exact"/>
        <w:jc w:val="center"/>
        <w:outlineLvl w:val="9"/>
        <w:rPr>
          <w:rFonts w:ascii="宋体" w:hAnsi="宋体" w:eastAsia="宋体" w:cs="宋体"/>
          <w:color w:val="auto"/>
          <w:sz w:val="24"/>
          <w:szCs w:val="24"/>
        </w:rPr>
      </w:pPr>
    </w:p>
    <w:p w14:paraId="1D4AFF5A">
      <w:pPr>
        <w:pStyle w:val="3"/>
        <w:keepNext w:val="0"/>
        <w:keepLines w:val="0"/>
        <w:spacing w:before="0" w:after="0" w:line="540" w:lineRule="exact"/>
        <w:jc w:val="center"/>
        <w:outlineLvl w:val="9"/>
        <w:rPr>
          <w:rFonts w:ascii="宋体" w:hAnsi="宋体" w:eastAsia="宋体" w:cs="宋体"/>
          <w:color w:val="auto"/>
          <w:sz w:val="24"/>
          <w:szCs w:val="24"/>
        </w:rPr>
      </w:pPr>
    </w:p>
    <w:p w14:paraId="539BFCE5">
      <w:pPr>
        <w:pStyle w:val="3"/>
        <w:keepNext w:val="0"/>
        <w:keepLines w:val="0"/>
        <w:spacing w:before="0" w:after="0" w:line="540" w:lineRule="exact"/>
        <w:jc w:val="center"/>
        <w:outlineLvl w:val="9"/>
        <w:rPr>
          <w:rFonts w:ascii="宋体" w:hAnsi="宋体" w:eastAsia="宋体" w:cs="宋体"/>
          <w:color w:val="auto"/>
          <w:sz w:val="24"/>
          <w:szCs w:val="24"/>
        </w:rPr>
      </w:pPr>
    </w:p>
    <w:p w14:paraId="30C2AA91">
      <w:pPr>
        <w:pStyle w:val="3"/>
        <w:keepNext w:val="0"/>
        <w:keepLines w:val="0"/>
        <w:spacing w:before="0" w:after="0" w:line="540" w:lineRule="exact"/>
        <w:jc w:val="center"/>
        <w:outlineLvl w:val="9"/>
        <w:rPr>
          <w:rFonts w:ascii="宋体" w:hAnsi="宋体" w:eastAsia="宋体" w:cs="宋体"/>
          <w:color w:val="auto"/>
          <w:sz w:val="24"/>
          <w:szCs w:val="24"/>
        </w:rPr>
      </w:pPr>
    </w:p>
    <w:bookmarkEnd w:id="29"/>
    <w:bookmarkEnd w:id="30"/>
    <w:bookmarkEnd w:id="31"/>
    <w:p w14:paraId="64402218">
      <w:pPr>
        <w:adjustRightInd w:val="0"/>
        <w:snapToGrid w:val="0"/>
        <w:spacing w:line="360" w:lineRule="auto"/>
        <w:jc w:val="center"/>
        <w:rPr>
          <w:rFonts w:ascii="宋体" w:hAnsi="宋体" w:eastAsia="宋体" w:cs="宋体"/>
          <w:b/>
          <w:bCs/>
          <w:color w:val="auto"/>
          <w:sz w:val="52"/>
          <w:szCs w:val="52"/>
        </w:rPr>
      </w:pPr>
      <w:r>
        <w:rPr>
          <w:rFonts w:hint="eastAsia" w:ascii="宋体" w:hAnsi="宋体" w:cs="宋体"/>
          <w:b/>
          <w:bCs/>
          <w:color w:val="auto"/>
          <w:sz w:val="52"/>
          <w:szCs w:val="52"/>
          <w:lang w:eastAsia="zh-CN"/>
        </w:rPr>
        <w:t>邹城市钢山街道办事处钢山花园小区李官村三期热力工程</w:t>
      </w:r>
      <w:r>
        <w:rPr>
          <w:rFonts w:hint="eastAsia" w:ascii="宋体" w:hAnsi="宋体" w:eastAsia="宋体" w:cs="宋体"/>
          <w:b/>
          <w:bCs/>
          <w:color w:val="auto"/>
          <w:sz w:val="52"/>
          <w:szCs w:val="52"/>
        </w:rPr>
        <w:t>施工承包合同</w:t>
      </w:r>
    </w:p>
    <w:p w14:paraId="5147EC7B">
      <w:pPr>
        <w:widowControl/>
        <w:jc w:val="left"/>
        <w:rPr>
          <w:rFonts w:ascii="宋体" w:hAnsi="宋体" w:eastAsia="宋体" w:cs="宋体"/>
          <w:b/>
          <w:color w:val="auto"/>
          <w:kern w:val="0"/>
          <w:sz w:val="32"/>
          <w:szCs w:val="32"/>
          <w:lang w:bidi="ar"/>
        </w:rPr>
      </w:pPr>
    </w:p>
    <w:p w14:paraId="77823C20">
      <w:pPr>
        <w:widowControl/>
        <w:jc w:val="left"/>
        <w:rPr>
          <w:rFonts w:ascii="宋体" w:hAnsi="宋体" w:eastAsia="宋体" w:cs="宋体"/>
          <w:b/>
          <w:color w:val="auto"/>
          <w:kern w:val="0"/>
          <w:sz w:val="32"/>
          <w:szCs w:val="32"/>
          <w:lang w:bidi="ar"/>
        </w:rPr>
      </w:pPr>
    </w:p>
    <w:p w14:paraId="59269070">
      <w:pPr>
        <w:widowControl/>
        <w:jc w:val="left"/>
        <w:rPr>
          <w:rFonts w:ascii="宋体" w:hAnsi="宋体" w:eastAsia="宋体" w:cs="宋体"/>
          <w:b/>
          <w:color w:val="auto"/>
          <w:kern w:val="0"/>
          <w:sz w:val="32"/>
          <w:szCs w:val="32"/>
          <w:lang w:bidi="ar"/>
        </w:rPr>
      </w:pPr>
    </w:p>
    <w:p w14:paraId="29DCBF32">
      <w:pPr>
        <w:widowControl/>
        <w:jc w:val="left"/>
        <w:rPr>
          <w:rFonts w:ascii="宋体" w:hAnsi="宋体" w:eastAsia="宋体" w:cs="宋体"/>
          <w:b/>
          <w:color w:val="auto"/>
          <w:kern w:val="0"/>
          <w:sz w:val="32"/>
          <w:szCs w:val="32"/>
          <w:lang w:bidi="ar"/>
        </w:rPr>
      </w:pPr>
    </w:p>
    <w:p w14:paraId="2D05B066">
      <w:pPr>
        <w:widowControl/>
        <w:jc w:val="left"/>
        <w:rPr>
          <w:rFonts w:ascii="宋体" w:hAnsi="宋体" w:eastAsia="宋体" w:cs="宋体"/>
          <w:b/>
          <w:color w:val="auto"/>
          <w:kern w:val="0"/>
          <w:sz w:val="32"/>
          <w:szCs w:val="32"/>
          <w:lang w:bidi="ar"/>
        </w:rPr>
      </w:pPr>
    </w:p>
    <w:p w14:paraId="52E1E57C">
      <w:pPr>
        <w:widowControl/>
        <w:jc w:val="left"/>
        <w:rPr>
          <w:rFonts w:ascii="宋体" w:hAnsi="宋体" w:eastAsia="宋体" w:cs="宋体"/>
          <w:b/>
          <w:color w:val="auto"/>
          <w:kern w:val="0"/>
          <w:sz w:val="32"/>
          <w:szCs w:val="32"/>
          <w:lang w:bidi="ar"/>
        </w:rPr>
      </w:pPr>
    </w:p>
    <w:p w14:paraId="215C50E8">
      <w:pPr>
        <w:widowControl/>
        <w:jc w:val="left"/>
        <w:rPr>
          <w:rFonts w:ascii="宋体" w:hAnsi="宋体" w:eastAsia="宋体" w:cs="宋体"/>
          <w:b/>
          <w:color w:val="auto"/>
          <w:kern w:val="0"/>
          <w:sz w:val="32"/>
          <w:szCs w:val="32"/>
          <w:lang w:bidi="ar"/>
        </w:rPr>
      </w:pPr>
    </w:p>
    <w:p w14:paraId="0E6B4EBE">
      <w:pPr>
        <w:widowControl/>
        <w:jc w:val="left"/>
        <w:rPr>
          <w:rFonts w:ascii="宋体" w:hAnsi="宋体" w:eastAsia="宋体" w:cs="宋体"/>
          <w:b/>
          <w:color w:val="auto"/>
          <w:kern w:val="0"/>
          <w:sz w:val="32"/>
          <w:szCs w:val="32"/>
          <w:lang w:bidi="ar"/>
        </w:rPr>
      </w:pPr>
    </w:p>
    <w:p w14:paraId="0C2A0931">
      <w:pPr>
        <w:pStyle w:val="10"/>
        <w:rPr>
          <w:rFonts w:ascii="宋体" w:hAnsi="宋体" w:eastAsia="宋体" w:cs="宋体"/>
          <w:b/>
          <w:color w:val="auto"/>
          <w:kern w:val="0"/>
          <w:sz w:val="32"/>
          <w:szCs w:val="32"/>
          <w:lang w:bidi="ar"/>
        </w:rPr>
      </w:pPr>
    </w:p>
    <w:p w14:paraId="002F65E2">
      <w:pPr>
        <w:rPr>
          <w:rFonts w:ascii="宋体" w:hAnsi="宋体" w:eastAsia="宋体" w:cs="宋体"/>
          <w:b/>
          <w:color w:val="auto"/>
          <w:kern w:val="0"/>
          <w:sz w:val="32"/>
          <w:szCs w:val="32"/>
          <w:lang w:bidi="ar"/>
        </w:rPr>
      </w:pPr>
    </w:p>
    <w:p w14:paraId="1BB98C6F">
      <w:pPr>
        <w:pStyle w:val="10"/>
        <w:rPr>
          <w:rFonts w:ascii="宋体" w:hAnsi="宋体" w:eastAsia="宋体" w:cs="宋体"/>
          <w:b/>
          <w:color w:val="auto"/>
          <w:kern w:val="0"/>
          <w:sz w:val="32"/>
          <w:szCs w:val="32"/>
          <w:lang w:bidi="ar"/>
        </w:rPr>
      </w:pPr>
    </w:p>
    <w:p w14:paraId="307B2600">
      <w:pPr>
        <w:rPr>
          <w:rFonts w:ascii="宋体" w:hAnsi="宋体" w:eastAsia="宋体" w:cs="宋体"/>
          <w:b/>
          <w:color w:val="auto"/>
          <w:kern w:val="0"/>
          <w:sz w:val="32"/>
          <w:szCs w:val="32"/>
          <w:lang w:bidi="ar"/>
        </w:rPr>
      </w:pPr>
    </w:p>
    <w:p w14:paraId="21C63E2E">
      <w:pPr>
        <w:pStyle w:val="10"/>
        <w:rPr>
          <w:rFonts w:ascii="宋体" w:hAnsi="宋体" w:eastAsia="宋体" w:cs="宋体"/>
          <w:b/>
          <w:color w:val="auto"/>
          <w:kern w:val="0"/>
          <w:sz w:val="32"/>
          <w:szCs w:val="32"/>
          <w:lang w:bidi="ar"/>
        </w:rPr>
      </w:pPr>
    </w:p>
    <w:p w14:paraId="2AF604F5">
      <w:pPr>
        <w:rPr>
          <w:color w:val="auto"/>
        </w:rPr>
      </w:pPr>
    </w:p>
    <w:p w14:paraId="2130D793">
      <w:pPr>
        <w:widowControl/>
        <w:jc w:val="left"/>
        <w:rPr>
          <w:rFonts w:ascii="宋体" w:hAnsi="宋体" w:eastAsia="宋体" w:cs="宋体"/>
          <w:b/>
          <w:color w:val="auto"/>
          <w:kern w:val="0"/>
          <w:sz w:val="32"/>
          <w:szCs w:val="32"/>
          <w:lang w:bidi="ar"/>
        </w:rPr>
      </w:pPr>
    </w:p>
    <w:p w14:paraId="0BDC51F2">
      <w:pPr>
        <w:widowControl/>
        <w:jc w:val="left"/>
        <w:rPr>
          <w:rFonts w:ascii="宋体" w:hAnsi="宋体" w:eastAsia="宋体" w:cs="宋体"/>
          <w:b/>
          <w:color w:val="auto"/>
          <w:kern w:val="0"/>
          <w:sz w:val="32"/>
          <w:szCs w:val="32"/>
          <w:lang w:bidi="ar"/>
        </w:rPr>
      </w:pPr>
    </w:p>
    <w:p w14:paraId="65449B8F">
      <w:pPr>
        <w:widowControl/>
        <w:ind w:firstLine="643" w:firstLineChars="200"/>
        <w:jc w:val="left"/>
        <w:rPr>
          <w:rFonts w:hint="eastAsia" w:ascii="宋体" w:hAnsi="宋体" w:eastAsia="宋体" w:cs="宋体"/>
          <w:b/>
          <w:color w:val="auto"/>
          <w:kern w:val="0"/>
          <w:sz w:val="32"/>
          <w:szCs w:val="32"/>
          <w:lang w:bidi="ar"/>
        </w:rPr>
      </w:pPr>
      <w:r>
        <w:rPr>
          <w:rFonts w:hint="eastAsia" w:ascii="宋体" w:hAnsi="宋体" w:eastAsia="宋体" w:cs="宋体"/>
          <w:b/>
          <w:color w:val="auto"/>
          <w:kern w:val="0"/>
          <w:sz w:val="32"/>
          <w:szCs w:val="32"/>
          <w:lang w:bidi="ar"/>
        </w:rPr>
        <w:t>发包方（甲方）：</w:t>
      </w:r>
      <w:r>
        <w:rPr>
          <w:rFonts w:hint="eastAsia" w:ascii="宋体" w:hAnsi="宋体" w:eastAsia="宋体" w:cs="宋体"/>
          <w:b/>
          <w:color w:val="auto"/>
          <w:kern w:val="0"/>
          <w:sz w:val="32"/>
          <w:szCs w:val="32"/>
          <w:u w:val="single"/>
          <w:lang w:eastAsia="zh-CN" w:bidi="ar"/>
        </w:rPr>
        <w:t>邹城市钢山街道李官庄村村民委员会</w:t>
      </w:r>
      <w:r>
        <w:rPr>
          <w:rFonts w:hint="eastAsia" w:ascii="宋体" w:hAnsi="宋体" w:eastAsia="宋体" w:cs="宋体"/>
          <w:b/>
          <w:color w:val="auto"/>
          <w:kern w:val="0"/>
          <w:sz w:val="32"/>
          <w:szCs w:val="32"/>
          <w:lang w:bidi="ar"/>
        </w:rPr>
        <w:t xml:space="preserve"> </w:t>
      </w:r>
    </w:p>
    <w:p w14:paraId="76B265C1">
      <w:pPr>
        <w:widowControl/>
        <w:ind w:firstLine="643" w:firstLineChars="200"/>
        <w:jc w:val="left"/>
        <w:rPr>
          <w:rFonts w:hint="eastAsia" w:ascii="宋体" w:hAnsi="宋体" w:eastAsia="宋体" w:cs="宋体"/>
          <w:b/>
          <w:color w:val="auto"/>
          <w:kern w:val="0"/>
          <w:sz w:val="32"/>
          <w:szCs w:val="32"/>
          <w:lang w:bidi="ar"/>
        </w:rPr>
      </w:pPr>
    </w:p>
    <w:p w14:paraId="1E544FDA">
      <w:pPr>
        <w:widowControl/>
        <w:ind w:firstLine="643" w:firstLineChars="200"/>
        <w:jc w:val="left"/>
        <w:rPr>
          <w:rFonts w:hint="eastAsia" w:ascii="宋体" w:hAnsi="宋体" w:eastAsia="宋体" w:cs="宋体"/>
          <w:b/>
          <w:color w:val="auto"/>
          <w:kern w:val="0"/>
          <w:sz w:val="32"/>
          <w:szCs w:val="32"/>
          <w:u w:val="single"/>
          <w:lang w:bidi="ar"/>
        </w:rPr>
      </w:pPr>
      <w:r>
        <w:rPr>
          <w:rFonts w:hint="eastAsia" w:ascii="宋体" w:hAnsi="宋体" w:eastAsia="宋体" w:cs="宋体"/>
          <w:b/>
          <w:color w:val="auto"/>
          <w:kern w:val="0"/>
          <w:sz w:val="32"/>
          <w:szCs w:val="32"/>
          <w:lang w:bidi="ar"/>
        </w:rPr>
        <w:t>承包方（乙方）：</w:t>
      </w:r>
      <w:r>
        <w:rPr>
          <w:rFonts w:hint="eastAsia" w:ascii="宋体" w:hAnsi="宋体" w:eastAsia="宋体" w:cs="宋体"/>
          <w:b/>
          <w:color w:val="auto"/>
          <w:kern w:val="0"/>
          <w:sz w:val="32"/>
          <w:szCs w:val="32"/>
          <w:u w:val="single"/>
          <w:lang w:bidi="ar"/>
        </w:rPr>
        <w:t xml:space="preserve"> </w:t>
      </w:r>
      <w:r>
        <w:rPr>
          <w:rFonts w:hint="eastAsia" w:ascii="宋体" w:hAnsi="宋体" w:eastAsia="宋体" w:cs="宋体"/>
          <w:b/>
          <w:color w:val="auto"/>
          <w:kern w:val="0"/>
          <w:sz w:val="32"/>
          <w:szCs w:val="32"/>
          <w:u w:val="single"/>
          <w:lang w:eastAsia="zh-CN" w:bidi="ar"/>
        </w:rPr>
        <w:t xml:space="preserve">                    </w:t>
      </w:r>
      <w:r>
        <w:rPr>
          <w:rFonts w:hint="eastAsia" w:ascii="宋体" w:hAnsi="宋体" w:eastAsia="宋体" w:cs="宋体"/>
          <w:b/>
          <w:color w:val="auto"/>
          <w:kern w:val="0"/>
          <w:sz w:val="32"/>
          <w:szCs w:val="32"/>
          <w:u w:val="single"/>
          <w:lang w:val="en-US" w:eastAsia="zh-CN" w:bidi="ar"/>
        </w:rPr>
        <w:t xml:space="preserve">  </w:t>
      </w:r>
      <w:r>
        <w:rPr>
          <w:rFonts w:hint="eastAsia" w:ascii="宋体" w:hAnsi="宋体" w:eastAsia="宋体" w:cs="宋体"/>
          <w:b/>
          <w:color w:val="auto"/>
          <w:kern w:val="0"/>
          <w:sz w:val="32"/>
          <w:szCs w:val="32"/>
          <w:u w:val="single"/>
          <w:lang w:eastAsia="zh-CN" w:bidi="ar"/>
        </w:rPr>
        <w:t xml:space="preserve">       </w:t>
      </w:r>
      <w:r>
        <w:rPr>
          <w:rFonts w:hint="eastAsia" w:ascii="宋体" w:hAnsi="宋体" w:eastAsia="宋体" w:cs="宋体"/>
          <w:b/>
          <w:color w:val="auto"/>
          <w:kern w:val="0"/>
          <w:sz w:val="32"/>
          <w:szCs w:val="32"/>
          <w:u w:val="single"/>
          <w:lang w:bidi="ar"/>
        </w:rPr>
        <w:t xml:space="preserve"> </w:t>
      </w:r>
    </w:p>
    <w:p w14:paraId="207E58F2">
      <w:pPr>
        <w:widowControl/>
        <w:ind w:firstLine="643" w:firstLineChars="200"/>
        <w:jc w:val="left"/>
        <w:rPr>
          <w:rFonts w:hint="eastAsia" w:ascii="宋体" w:hAnsi="宋体" w:eastAsia="宋体" w:cs="宋体"/>
          <w:b/>
          <w:color w:val="auto"/>
          <w:kern w:val="0"/>
          <w:sz w:val="32"/>
          <w:szCs w:val="32"/>
          <w:lang w:bidi="ar"/>
        </w:rPr>
      </w:pPr>
    </w:p>
    <w:p w14:paraId="46A91973">
      <w:pPr>
        <w:widowControl/>
        <w:ind w:firstLine="643" w:firstLineChars="200"/>
        <w:jc w:val="left"/>
        <w:rPr>
          <w:rFonts w:hint="eastAsia" w:ascii="宋体" w:hAnsi="宋体" w:eastAsia="宋体" w:cs="宋体"/>
          <w:b/>
          <w:color w:val="auto"/>
          <w:kern w:val="0"/>
          <w:sz w:val="32"/>
          <w:szCs w:val="32"/>
          <w:lang w:bidi="ar"/>
        </w:rPr>
      </w:pPr>
      <w:r>
        <w:rPr>
          <w:rFonts w:hint="eastAsia" w:ascii="宋体" w:hAnsi="宋体" w:eastAsia="宋体" w:cs="宋体"/>
          <w:b/>
          <w:color w:val="auto"/>
          <w:kern w:val="0"/>
          <w:sz w:val="32"/>
          <w:szCs w:val="32"/>
          <w:lang w:bidi="ar"/>
        </w:rPr>
        <w:t>合同订立时间：</w:t>
      </w:r>
      <w:r>
        <w:rPr>
          <w:rFonts w:hint="eastAsia" w:ascii="宋体" w:hAnsi="宋体" w:cs="宋体"/>
          <w:b/>
          <w:color w:val="auto"/>
          <w:kern w:val="0"/>
          <w:sz w:val="32"/>
          <w:szCs w:val="32"/>
          <w:u w:val="single"/>
          <w:lang w:eastAsia="zh-CN" w:bidi="ar"/>
        </w:rPr>
        <w:t>2025</w:t>
      </w:r>
      <w:r>
        <w:rPr>
          <w:rFonts w:hint="eastAsia" w:ascii="宋体" w:hAnsi="宋体" w:eastAsia="宋体" w:cs="宋体"/>
          <w:b/>
          <w:color w:val="auto"/>
          <w:kern w:val="0"/>
          <w:sz w:val="32"/>
          <w:szCs w:val="32"/>
          <w:lang w:bidi="ar"/>
        </w:rPr>
        <w:t>年</w:t>
      </w:r>
      <w:r>
        <w:rPr>
          <w:rFonts w:hint="eastAsia" w:ascii="宋体" w:hAnsi="宋体" w:eastAsia="宋体" w:cs="宋体"/>
          <w:b/>
          <w:color w:val="auto"/>
          <w:kern w:val="0"/>
          <w:sz w:val="32"/>
          <w:szCs w:val="32"/>
          <w:u w:val="single"/>
          <w:lang w:bidi="ar"/>
        </w:rPr>
        <w:t xml:space="preserve">     </w:t>
      </w:r>
      <w:r>
        <w:rPr>
          <w:rFonts w:hint="eastAsia" w:ascii="宋体" w:hAnsi="宋体" w:eastAsia="宋体" w:cs="宋体"/>
          <w:b/>
          <w:color w:val="auto"/>
          <w:kern w:val="0"/>
          <w:sz w:val="32"/>
          <w:szCs w:val="32"/>
          <w:lang w:bidi="ar"/>
        </w:rPr>
        <w:t>月</w:t>
      </w:r>
      <w:r>
        <w:rPr>
          <w:rFonts w:hint="eastAsia" w:ascii="宋体" w:hAnsi="宋体" w:eastAsia="宋体" w:cs="宋体"/>
          <w:b/>
          <w:color w:val="auto"/>
          <w:kern w:val="0"/>
          <w:sz w:val="32"/>
          <w:szCs w:val="32"/>
          <w:u w:val="single"/>
          <w:lang w:bidi="ar"/>
        </w:rPr>
        <w:t xml:space="preserve">    </w:t>
      </w:r>
      <w:r>
        <w:rPr>
          <w:rFonts w:hint="eastAsia" w:ascii="宋体" w:hAnsi="宋体" w:eastAsia="宋体" w:cs="宋体"/>
          <w:b/>
          <w:color w:val="auto"/>
          <w:kern w:val="0"/>
          <w:sz w:val="32"/>
          <w:szCs w:val="32"/>
          <w:lang w:bidi="ar"/>
        </w:rPr>
        <w:t xml:space="preserve">日  </w:t>
      </w:r>
    </w:p>
    <w:p w14:paraId="3D769E58">
      <w:pPr>
        <w:widowControl/>
        <w:ind w:firstLine="643" w:firstLineChars="200"/>
        <w:jc w:val="left"/>
        <w:rPr>
          <w:rFonts w:hint="eastAsia" w:ascii="宋体" w:hAnsi="宋体" w:eastAsia="宋体" w:cs="宋体"/>
          <w:b/>
          <w:color w:val="auto"/>
          <w:kern w:val="0"/>
          <w:sz w:val="32"/>
          <w:szCs w:val="32"/>
          <w:lang w:bidi="ar"/>
        </w:rPr>
      </w:pPr>
    </w:p>
    <w:p w14:paraId="6AB875AB">
      <w:pPr>
        <w:widowControl/>
        <w:ind w:firstLine="643" w:firstLineChars="200"/>
        <w:jc w:val="left"/>
        <w:rPr>
          <w:rFonts w:ascii="宋体" w:hAnsi="宋体" w:eastAsia="宋体" w:cs="宋体"/>
          <w:color w:val="auto"/>
          <w:kern w:val="0"/>
          <w:sz w:val="24"/>
          <w:u w:val="single"/>
          <w:lang w:bidi="ar"/>
        </w:rPr>
      </w:pPr>
      <w:r>
        <w:rPr>
          <w:rFonts w:hint="eastAsia" w:ascii="宋体" w:hAnsi="宋体" w:eastAsia="宋体" w:cs="宋体"/>
          <w:b/>
          <w:color w:val="auto"/>
          <w:kern w:val="0"/>
          <w:sz w:val="32"/>
          <w:szCs w:val="32"/>
          <w:lang w:bidi="ar"/>
        </w:rPr>
        <w:t>合同订立地点：</w:t>
      </w:r>
      <w:r>
        <w:rPr>
          <w:rFonts w:hint="eastAsia" w:ascii="宋体" w:hAnsi="宋体" w:eastAsia="宋体" w:cs="宋体"/>
          <w:b/>
          <w:color w:val="auto"/>
          <w:kern w:val="0"/>
          <w:sz w:val="32"/>
          <w:szCs w:val="32"/>
          <w:u w:val="single"/>
          <w:lang w:eastAsia="zh-CN" w:bidi="ar"/>
        </w:rPr>
        <w:t>邹城市钢山街道李官庄村村民委员会</w:t>
      </w:r>
      <w:r>
        <w:rPr>
          <w:rFonts w:hint="eastAsia" w:ascii="宋体" w:hAnsi="宋体" w:eastAsia="宋体" w:cs="宋体"/>
          <w:b/>
          <w:color w:val="auto"/>
          <w:kern w:val="0"/>
          <w:sz w:val="32"/>
          <w:szCs w:val="32"/>
          <w:u w:val="single"/>
          <w:lang w:bidi="ar"/>
        </w:rPr>
        <w:t xml:space="preserve"> </w:t>
      </w:r>
    </w:p>
    <w:p w14:paraId="423B692B">
      <w:pPr>
        <w:pStyle w:val="3"/>
        <w:rPr>
          <w:rFonts w:ascii="宋体" w:hAnsi="宋体" w:eastAsia="宋体" w:cs="宋体"/>
          <w:color w:val="auto"/>
          <w:sz w:val="24"/>
        </w:rPr>
        <w:sectPr>
          <w:headerReference r:id="rId9" w:type="default"/>
          <w:footerReference r:id="rId10" w:type="default"/>
          <w:footerReference r:id="rId11" w:type="even"/>
          <w:pgSz w:w="11906" w:h="16838"/>
          <w:pgMar w:top="1418" w:right="1418" w:bottom="1304" w:left="1418" w:header="851" w:footer="851" w:gutter="0"/>
          <w:pgNumType w:fmt="decimal"/>
          <w:cols w:space="720" w:num="1"/>
          <w:docGrid w:linePitch="312" w:charSpace="0"/>
        </w:sectPr>
      </w:pPr>
    </w:p>
    <w:p w14:paraId="2DBD4F11">
      <w:pPr>
        <w:pStyle w:val="3"/>
        <w:rPr>
          <w:rFonts w:ascii="宋体" w:hAnsi="宋体" w:eastAsia="宋体" w:cs="宋体"/>
          <w:color w:val="auto"/>
          <w:sz w:val="24"/>
        </w:rPr>
      </w:pPr>
    </w:p>
    <w:p w14:paraId="49DB66C1">
      <w:pPr>
        <w:pStyle w:val="3"/>
        <w:ind w:firstLine="482" w:firstLineChars="200"/>
        <w:jc w:val="center"/>
        <w:rPr>
          <w:rFonts w:ascii="宋体" w:hAnsi="宋体" w:eastAsia="宋体" w:cs="宋体"/>
          <w:color w:val="auto"/>
          <w:sz w:val="24"/>
        </w:rPr>
        <w:sectPr>
          <w:footerReference r:id="rId12" w:type="default"/>
          <w:type w:val="continuous"/>
          <w:pgSz w:w="11906" w:h="16838"/>
          <w:pgMar w:top="1418" w:right="1418" w:bottom="1304" w:left="1418" w:header="851" w:footer="851" w:gutter="0"/>
          <w:pgNumType w:fmt="decimal"/>
          <w:cols w:space="720" w:num="1"/>
          <w:docGrid w:linePitch="312" w:charSpace="0"/>
        </w:sectPr>
      </w:pPr>
    </w:p>
    <w:p w14:paraId="061E8433">
      <w:pPr>
        <w:pStyle w:val="3"/>
        <w:widowControl w:val="0"/>
        <w:kinsoku/>
        <w:wordWrap/>
        <w:overflowPunct/>
        <w:topLinePunct w:val="0"/>
        <w:autoSpaceDE/>
        <w:autoSpaceDN/>
        <w:bidi w:val="0"/>
        <w:spacing w:line="360" w:lineRule="auto"/>
        <w:ind w:firstLine="482" w:firstLineChars="20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第一节 合同协议书</w:t>
      </w:r>
    </w:p>
    <w:p w14:paraId="19876404">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u w:val="single"/>
        </w:rPr>
      </w:pPr>
      <w:r>
        <w:rPr>
          <w:rFonts w:hint="eastAsia" w:ascii="宋体" w:hAnsi="宋体" w:eastAsia="宋体" w:cs="宋体"/>
          <w:b/>
          <w:color w:val="auto"/>
          <w:sz w:val="24"/>
          <w:szCs w:val="24"/>
        </w:rPr>
        <w:t>发包人（全称）：</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u w:val="single"/>
          <w:lang w:eastAsia="zh-CN"/>
        </w:rPr>
        <w:t>邹城市钢山街道李官庄村村民委员会</w:t>
      </w:r>
      <w:r>
        <w:rPr>
          <w:rFonts w:hint="eastAsia" w:ascii="宋体" w:hAnsi="宋体" w:eastAsia="宋体" w:cs="宋体"/>
          <w:b/>
          <w:color w:val="auto"/>
          <w:sz w:val="24"/>
          <w:szCs w:val="24"/>
          <w:u w:val="single"/>
        </w:rPr>
        <w:t xml:space="preserve"> （以下简称发包人）</w:t>
      </w:r>
      <w:r>
        <w:rPr>
          <w:rFonts w:hint="eastAsia" w:ascii="宋体" w:hAnsi="宋体" w:eastAsia="宋体" w:cs="宋体"/>
          <w:b/>
          <w:color w:val="auto"/>
          <w:sz w:val="24"/>
          <w:szCs w:val="24"/>
        </w:rPr>
        <w:t xml:space="preserve">       </w:t>
      </w:r>
    </w:p>
    <w:p w14:paraId="2DA2FFBF">
      <w:pPr>
        <w:widowControl w:val="0"/>
        <w:kinsoku/>
        <w:wordWrap/>
        <w:overflowPunct/>
        <w:topLinePunct w:val="0"/>
        <w:autoSpaceDE/>
        <w:autoSpaceDN/>
        <w:bidi w:val="0"/>
        <w:spacing w:line="360" w:lineRule="auto"/>
        <w:textAlignment w:val="auto"/>
        <w:rPr>
          <w:rFonts w:hint="eastAsia" w:ascii="宋体" w:hAnsi="宋体" w:eastAsia="宋体" w:cs="宋体"/>
          <w:b/>
          <w:color w:val="auto"/>
          <w:spacing w:val="10"/>
          <w:sz w:val="24"/>
          <w:szCs w:val="24"/>
        </w:rPr>
      </w:pPr>
      <w:r>
        <w:rPr>
          <w:rFonts w:hint="eastAsia" w:ascii="宋体" w:hAnsi="宋体" w:eastAsia="宋体" w:cs="宋体"/>
          <w:b/>
          <w:color w:val="auto"/>
          <w:spacing w:val="30"/>
          <w:sz w:val="24"/>
          <w:szCs w:val="24"/>
        </w:rPr>
        <w:t>法定代表人</w:t>
      </w:r>
      <w:r>
        <w:rPr>
          <w:rFonts w:hint="eastAsia" w:ascii="宋体" w:hAnsi="宋体" w:eastAsia="宋体" w:cs="宋体"/>
          <w:b/>
          <w:color w:val="auto"/>
          <w:spacing w:val="10"/>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u w:val="single"/>
          <w:lang w:val="en-US" w:eastAsia="zh-CN"/>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 xml:space="preserve">           </w:t>
      </w:r>
    </w:p>
    <w:p w14:paraId="797A27B8">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u w:val="single"/>
        </w:rPr>
      </w:pPr>
      <w:r>
        <w:rPr>
          <w:rFonts w:hint="eastAsia" w:ascii="宋体" w:hAnsi="宋体" w:eastAsia="宋体" w:cs="宋体"/>
          <w:b/>
          <w:color w:val="auto"/>
          <w:spacing w:val="10"/>
          <w:sz w:val="24"/>
          <w:szCs w:val="24"/>
        </w:rPr>
        <w:t>法定注册地址：</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u w:val="single"/>
          <w:lang w:val="en-US" w:eastAsia="zh-CN"/>
        </w:rPr>
        <w:t xml:space="preserve">              </w:t>
      </w:r>
      <w:r>
        <w:rPr>
          <w:rFonts w:hint="eastAsia" w:ascii="宋体" w:hAnsi="宋体" w:eastAsia="宋体" w:cs="宋体"/>
          <w:b/>
          <w:color w:val="auto"/>
          <w:sz w:val="24"/>
          <w:szCs w:val="24"/>
          <w:u w:val="single"/>
        </w:rPr>
        <w:t xml:space="preserve">    </w:t>
      </w:r>
    </w:p>
    <w:p w14:paraId="38DABA0F">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承包人(全称）</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u w:val="single"/>
          <w:lang w:eastAsia="zh-CN"/>
        </w:rPr>
        <w:t xml:space="preserve">                                      </w:t>
      </w:r>
      <w:r>
        <w:rPr>
          <w:rFonts w:hint="eastAsia" w:ascii="宋体" w:hAnsi="宋体" w:eastAsia="宋体" w:cs="宋体"/>
          <w:b/>
          <w:color w:val="auto"/>
          <w:sz w:val="24"/>
          <w:szCs w:val="24"/>
          <w:u w:val="single"/>
        </w:rPr>
        <w:t>（以下简称承包人）</w:t>
      </w:r>
    </w:p>
    <w:p w14:paraId="093EEFAF">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pacing w:val="30"/>
          <w:sz w:val="24"/>
          <w:szCs w:val="24"/>
        </w:rPr>
        <w:t>法定代表人：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u w:val="single"/>
          <w:lang w:val="en-US" w:eastAsia="zh-CN"/>
        </w:rPr>
        <w:t xml:space="preserve">                            </w:t>
      </w:r>
      <w:r>
        <w:rPr>
          <w:rFonts w:hint="eastAsia" w:ascii="宋体" w:hAnsi="宋体" w:eastAsia="宋体" w:cs="宋体"/>
          <w:b/>
          <w:color w:val="auto"/>
          <w:sz w:val="24"/>
          <w:szCs w:val="24"/>
          <w:u w:val="single"/>
        </w:rPr>
        <w:t xml:space="preserve">   </w:t>
      </w:r>
    </w:p>
    <w:p w14:paraId="26BA0EFB">
      <w:pPr>
        <w:widowControl w:val="0"/>
        <w:kinsoku/>
        <w:wordWrap/>
        <w:overflowPunct/>
        <w:topLinePunct w:val="0"/>
        <w:autoSpaceDE/>
        <w:autoSpaceDN/>
        <w:bidi w:val="0"/>
        <w:spacing w:after="120" w:afterLines="50"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pacing w:val="10"/>
          <w:sz w:val="24"/>
          <w:szCs w:val="24"/>
        </w:rPr>
        <w:t>法定注册地址：</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u w:val="single"/>
          <w:lang w:val="en-US" w:eastAsia="zh-CN"/>
        </w:rPr>
        <w:t xml:space="preserve">                                     </w:t>
      </w:r>
      <w:r>
        <w:rPr>
          <w:rFonts w:hint="eastAsia" w:ascii="宋体" w:hAnsi="宋体" w:eastAsia="宋体" w:cs="宋体"/>
          <w:b/>
          <w:color w:val="auto"/>
          <w:sz w:val="24"/>
          <w:szCs w:val="24"/>
          <w:u w:val="single"/>
        </w:rPr>
        <w:t xml:space="preserve">      </w:t>
      </w:r>
    </w:p>
    <w:p w14:paraId="1796700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发包人为建设</w:t>
      </w:r>
      <w:r>
        <w:rPr>
          <w:rFonts w:hint="eastAsia" w:ascii="宋体" w:hAnsi="宋体" w:cs="宋体"/>
          <w:color w:val="auto"/>
          <w:sz w:val="24"/>
          <w:szCs w:val="24"/>
          <w:u w:val="single"/>
          <w:lang w:eastAsia="zh-CN"/>
        </w:rPr>
        <w:t>邹城市钢山街道办事处钢山花园小区李官村三期热力工程</w:t>
      </w:r>
      <w:r>
        <w:rPr>
          <w:rFonts w:hint="eastAsia" w:ascii="宋体" w:hAnsi="宋体" w:eastAsia="宋体" w:cs="宋体"/>
          <w:color w:val="auto"/>
          <w:sz w:val="24"/>
          <w:szCs w:val="24"/>
          <w:u w:val="single"/>
        </w:rPr>
        <w:t>施工</w:t>
      </w:r>
      <w:r>
        <w:rPr>
          <w:rFonts w:hint="eastAsia" w:ascii="宋体" w:hAnsi="宋体" w:eastAsia="宋体" w:cs="宋体"/>
          <w:color w:val="auto"/>
          <w:sz w:val="24"/>
          <w:szCs w:val="24"/>
        </w:rPr>
        <w:t>(以下简称“本工程”)，已接受承包人提出的承担本工程的施工、竣工、交付并维修其任何缺陷的投标。根据国家及地方有关法律、行政法规的规定、遵循平等、自愿、公平和诚实信用的原则，双方共同达成并订立如下协议。</w:t>
      </w:r>
    </w:p>
    <w:p w14:paraId="73F48ADE">
      <w:pPr>
        <w:widowControl w:val="0"/>
        <w:kinsoku/>
        <w:wordWrap/>
        <w:overflowPunct/>
        <w:topLinePunct w:val="0"/>
        <w:autoSpaceDE/>
        <w:autoSpaceDN/>
        <w:bidi w:val="0"/>
        <w:spacing w:line="360" w:lineRule="auto"/>
        <w:ind w:firstLine="241" w:firstLineChars="1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一、工程概况</w:t>
      </w:r>
    </w:p>
    <w:p w14:paraId="324AA4C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工程名称：</w:t>
      </w:r>
      <w:r>
        <w:rPr>
          <w:rFonts w:hint="eastAsia" w:ascii="宋体" w:hAnsi="宋体" w:cs="宋体"/>
          <w:color w:val="auto"/>
          <w:sz w:val="24"/>
          <w:szCs w:val="24"/>
          <w:u w:val="single"/>
          <w:lang w:eastAsia="zh-CN"/>
        </w:rPr>
        <w:t>邹城市钢山街道办事处钢山花园小区李官村三期热力工程</w:t>
      </w:r>
      <w:r>
        <w:rPr>
          <w:rFonts w:hint="eastAsia" w:ascii="宋体" w:hAnsi="宋体" w:eastAsia="宋体" w:cs="宋体"/>
          <w:color w:val="auto"/>
          <w:sz w:val="24"/>
          <w:szCs w:val="24"/>
          <w:u w:val="single"/>
        </w:rPr>
        <w:t>施工</w:t>
      </w:r>
    </w:p>
    <w:p w14:paraId="0682C24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工程地点：</w:t>
      </w:r>
      <w:r>
        <w:rPr>
          <w:rFonts w:hint="eastAsia" w:ascii="宋体" w:hAnsi="宋体" w:eastAsia="宋体" w:cs="宋体"/>
          <w:color w:val="auto"/>
          <w:sz w:val="24"/>
          <w:szCs w:val="24"/>
          <w:u w:val="single"/>
          <w:lang w:eastAsia="zh-CN"/>
        </w:rPr>
        <w:t>邹城市钢山花园小区</w:t>
      </w:r>
    </w:p>
    <w:p w14:paraId="6BF1F10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工程内容：</w:t>
      </w:r>
      <w:r>
        <w:rPr>
          <w:rFonts w:hint="eastAsia" w:ascii="宋体" w:hAnsi="宋体" w:eastAsia="宋体" w:cs="宋体"/>
          <w:color w:val="auto"/>
          <w:sz w:val="24"/>
          <w:szCs w:val="24"/>
          <w:u w:val="single"/>
        </w:rPr>
        <w:t>邹城市钢山街道办事处钢山花园小区李官村三期热力工程图纸范围内（以施工界面划分为准）的全部施工内容及配套热力机组设备的供货、安装和调试等，主要包括：各类管道沟槽开挖、回填、余土弃置，管道支架安装，管道、阀门安装及配套电气设备（电力电缆、灯具、桥架、配管）安装。本项目施工范围包括：本项目施工范围包括：换热站砖墙砌筑及墙面抹灰，换热站墙面瓷砖铺贴，踢脚线铺贴及地面瓷砖铺贴，换热站格栅板更换，换热站灯具、支架及配套电缆安装；换热站外墙至各住宅楼热力小室热力管道铺设（配套阀门安装等）及相关的管沟开挖、配套土建工程。换热站外墙至商业楼及综合楼热力小室处，接口装置等做法同住宅楼</w:t>
      </w:r>
      <w:r>
        <w:rPr>
          <w:rFonts w:hint="eastAsia" w:ascii="宋体" w:hAnsi="宋体" w:eastAsia="宋体" w:cs="宋体"/>
          <w:color w:val="auto"/>
          <w:sz w:val="24"/>
          <w:szCs w:val="24"/>
          <w:u w:val="single"/>
          <w:lang w:eastAsia="zh-CN"/>
        </w:rPr>
        <w:t>。</w:t>
      </w:r>
    </w:p>
    <w:p w14:paraId="7E7C4B8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群体工程应附“承包人承揽工程项目一览表”(附件1)</w:t>
      </w:r>
    </w:p>
    <w:p w14:paraId="089D24E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工程立项批准文号：</w:t>
      </w:r>
      <w:r>
        <w:rPr>
          <w:rFonts w:hint="eastAsia" w:ascii="宋体" w:hAnsi="宋体" w:eastAsia="宋体" w:cs="宋体"/>
          <w:color w:val="auto"/>
          <w:sz w:val="24"/>
          <w:szCs w:val="24"/>
          <w:u w:val="single"/>
        </w:rPr>
        <w:t xml:space="preserve">                                         </w:t>
      </w:r>
    </w:p>
    <w:p w14:paraId="6AE2791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资金来源：</w:t>
      </w:r>
      <w:r>
        <w:rPr>
          <w:rFonts w:hint="eastAsia" w:ascii="宋体" w:hAnsi="宋体" w:eastAsia="宋体" w:cs="宋体"/>
          <w:color w:val="auto"/>
          <w:sz w:val="24"/>
          <w:szCs w:val="24"/>
          <w:u w:val="single"/>
        </w:rPr>
        <w:t xml:space="preserve">   自筹                                              </w:t>
      </w:r>
    </w:p>
    <w:p w14:paraId="119960FF">
      <w:pPr>
        <w:widowControl w:val="0"/>
        <w:kinsoku/>
        <w:wordWrap/>
        <w:overflowPunct/>
        <w:topLinePunct w:val="0"/>
        <w:autoSpaceDE/>
        <w:autoSpaceDN/>
        <w:bidi w:val="0"/>
        <w:spacing w:line="360" w:lineRule="auto"/>
        <w:ind w:firstLine="241" w:firstLineChars="1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二、工程承包范围</w:t>
      </w:r>
    </w:p>
    <w:p w14:paraId="362B82A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承包范围：</w:t>
      </w:r>
      <w:r>
        <w:rPr>
          <w:rFonts w:hint="eastAsia" w:ascii="宋体" w:hAnsi="宋体" w:eastAsia="宋体" w:cs="宋体"/>
          <w:color w:val="auto"/>
          <w:sz w:val="24"/>
          <w:szCs w:val="24"/>
          <w:u w:val="single"/>
        </w:rPr>
        <w:t xml:space="preserve"> 邹城市钢山街道办事处钢山花园小区李官村三期热力工程图纸范围内（以施工界面划分为准）的全部施工内容及配套热力机组设备的供货、安装和调试等，主要包括：各类管道沟槽开挖、回填、余土弃置，管道支架安装，管道、阀门安装及配套电气设备（电力电缆、灯具、桥架、配管）安装。本项目施工范围包括：本项目施工范围包括：换热站砖墙砌筑及墙面抹灰，换热站墙面瓷砖铺贴，踢脚线铺贴及地面瓷砖铺贴，换热站格栅板更换，换热站灯具、支架及配套电缆安装；换热站外墙至各住宅楼热力小室热力管道铺设（配套阀门安装等）及相关的管沟开挖、配套土建工程。换热站外墙至商业楼及综合楼热力小室处，接口装置等做法同住宅楼。</w:t>
      </w:r>
    </w:p>
    <w:p w14:paraId="38473F6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u w:val="single"/>
        </w:rPr>
        <w:t>所有施工的项目工程质量</w:t>
      </w:r>
      <w:r>
        <w:rPr>
          <w:rFonts w:hint="eastAsia" w:ascii="宋体" w:hAnsi="宋体" w:cs="宋体"/>
          <w:color w:val="auto"/>
          <w:sz w:val="24"/>
          <w:szCs w:val="24"/>
          <w:u w:val="single"/>
          <w:lang w:eastAsia="zh-CN"/>
        </w:rPr>
        <w:t>及供货设备质量</w:t>
      </w:r>
      <w:r>
        <w:rPr>
          <w:rFonts w:hint="eastAsia" w:ascii="宋体" w:hAnsi="宋体" w:eastAsia="宋体" w:cs="宋体"/>
          <w:color w:val="auto"/>
          <w:sz w:val="24"/>
          <w:szCs w:val="24"/>
          <w:u w:val="single"/>
        </w:rPr>
        <w:t>必须一次性满足设计图纸中的规定及要求，并达到一次性验收合格；否则，承包人无偿返工至验收合格为止。</w:t>
      </w:r>
    </w:p>
    <w:p w14:paraId="253061D8">
      <w:pPr>
        <w:widowControl w:val="0"/>
        <w:kinsoku/>
        <w:wordWrap/>
        <w:overflowPunct/>
        <w:topLinePunct w:val="0"/>
        <w:autoSpaceDE/>
        <w:autoSpaceDN/>
        <w:bidi w:val="0"/>
        <w:spacing w:line="360" w:lineRule="auto"/>
        <w:ind w:firstLine="241" w:firstLineChars="1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三、合同工期</w:t>
      </w:r>
    </w:p>
    <w:p w14:paraId="4411EF4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cs="宋体"/>
          <w:color w:val="auto"/>
          <w:sz w:val="24"/>
          <w:szCs w:val="24"/>
          <w:u w:val="single"/>
          <w:lang w:val="en-US" w:eastAsia="zh-CN"/>
        </w:rPr>
        <w:t>2025</w:t>
      </w:r>
      <w:r>
        <w:rPr>
          <w:rFonts w:hint="eastAsia" w:ascii="宋体" w:hAnsi="宋体" w:eastAsia="宋体" w:cs="宋体"/>
          <w:color w:val="auto"/>
          <w:sz w:val="24"/>
          <w:szCs w:val="24"/>
          <w:u w:val="single"/>
        </w:rPr>
        <w:t>年</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月</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日至</w:t>
      </w:r>
      <w:r>
        <w:rPr>
          <w:rFonts w:hint="eastAsia" w:ascii="宋体" w:hAnsi="宋体" w:cs="宋体"/>
          <w:color w:val="auto"/>
          <w:sz w:val="24"/>
          <w:szCs w:val="24"/>
          <w:u w:val="single"/>
          <w:lang w:val="en-US" w:eastAsia="zh-CN"/>
        </w:rPr>
        <w:t>2025</w:t>
      </w:r>
      <w:r>
        <w:rPr>
          <w:rFonts w:hint="eastAsia" w:ascii="宋体" w:hAnsi="宋体" w:eastAsia="宋体" w:cs="宋体"/>
          <w:color w:val="auto"/>
          <w:sz w:val="24"/>
          <w:szCs w:val="24"/>
          <w:u w:val="single"/>
        </w:rPr>
        <w:t>年</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月</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日。</w:t>
      </w:r>
    </w:p>
    <w:p w14:paraId="2140FC4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工程期限：共计</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日历天。实际开工日期以发包人签署的开工指令为准；竣工日期以发包人及监理等五方共同书面确认的全部工程竣工验收通过日期为准。承包人须根据发包人进度要求进行施工，除发包人书面调整外，无论何种原因，竣工日期不变。以上工期总日历天数的约定已考虑施工期间的节假日、以及城市创卫、环保扬尘治理、冬雨季施工、施工现场场地条件和环境条件、农忙及恶劣气候（包括但不限于大风、沙尘、冰雹、持续高温等）、疫情、政府部门政治性会议或其他事件对施工的限制、设计变更导致工程量的增加或工程的返工工期等因素（一次性设计变更超过合同价款的5%并经发包人书面签证的除外）。</w:t>
      </w:r>
    </w:p>
    <w:p w14:paraId="4E8F46D1">
      <w:pPr>
        <w:widowControl w:val="0"/>
        <w:kinsoku/>
        <w:wordWrap/>
        <w:overflowPunct/>
        <w:topLinePunct w:val="0"/>
        <w:autoSpaceDE/>
        <w:autoSpaceDN/>
        <w:bidi w:val="0"/>
        <w:spacing w:line="360" w:lineRule="auto"/>
        <w:ind w:firstLine="241" w:firstLineChars="1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四、质量标准</w:t>
      </w:r>
    </w:p>
    <w:p w14:paraId="36875084">
      <w:pPr>
        <w:widowControl w:val="0"/>
        <w:kinsoku/>
        <w:wordWrap/>
        <w:overflowPunct/>
        <w:topLinePunct w:val="0"/>
        <w:autoSpaceDE/>
        <w:autoSpaceDN/>
        <w:bidi w:val="0"/>
        <w:spacing w:line="360" w:lineRule="auto"/>
        <w:ind w:firstLine="240" w:firstLineChars="100"/>
        <w:textAlignment w:val="auto"/>
        <w:rPr>
          <w:rFonts w:hint="eastAsia" w:ascii="宋体" w:hAnsi="宋体" w:eastAsia="宋体" w:cs="宋体"/>
          <w:color w:val="auto"/>
          <w:sz w:val="24"/>
          <w:szCs w:val="24"/>
        </w:rPr>
      </w:pPr>
      <w:r>
        <w:rPr>
          <w:rFonts w:hint="eastAsia" w:ascii="宋体" w:hAnsi="宋体" w:eastAsia="宋体" w:cs="宋体"/>
          <w:color w:val="auto"/>
          <w:sz w:val="24"/>
          <w:szCs w:val="24"/>
          <w:u w:val="single"/>
        </w:rPr>
        <w:t>工程质量标准：合格</w:t>
      </w:r>
      <w:r>
        <w:rPr>
          <w:rFonts w:hint="eastAsia" w:ascii="宋体" w:hAnsi="宋体" w:eastAsia="宋体" w:cs="宋体"/>
          <w:color w:val="auto"/>
          <w:sz w:val="24"/>
          <w:szCs w:val="24"/>
        </w:rPr>
        <w:t xml:space="preserve">      </w:t>
      </w:r>
    </w:p>
    <w:p w14:paraId="657DF70F">
      <w:pPr>
        <w:widowControl w:val="0"/>
        <w:kinsoku/>
        <w:wordWrap/>
        <w:overflowPunct/>
        <w:topLinePunct w:val="0"/>
        <w:autoSpaceDE/>
        <w:autoSpaceDN/>
        <w:bidi w:val="0"/>
        <w:spacing w:line="360" w:lineRule="auto"/>
        <w:ind w:firstLine="241" w:firstLineChars="1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u w:val="single"/>
          <w:lang w:val="en-US" w:eastAsia="zh-CN"/>
        </w:rPr>
        <w:t>供应商应保证其所施工全部内容及所供机组达到热力公司相应技术要求，并能通过热力公司验收，同时配合好换热站建设、保证自控及上位通讯良好，做好调试、试运行、供热、及验收相关工作。</w:t>
      </w:r>
    </w:p>
    <w:p w14:paraId="21037E01">
      <w:pPr>
        <w:widowControl w:val="0"/>
        <w:kinsoku/>
        <w:wordWrap/>
        <w:overflowPunct/>
        <w:topLinePunct w:val="0"/>
        <w:autoSpaceDE/>
        <w:autoSpaceDN/>
        <w:bidi w:val="0"/>
        <w:spacing w:line="360" w:lineRule="auto"/>
        <w:ind w:firstLine="241" w:firstLineChars="1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 xml:space="preserve">五、合同形式 </w:t>
      </w:r>
    </w:p>
    <w:p w14:paraId="2CA184CE">
      <w:pPr>
        <w:widowControl/>
        <w:shd w:val="clear" w:color="auto" w:fill="FFFFFF"/>
        <w:spacing w:line="360" w:lineRule="auto"/>
        <w:ind w:firstLine="480"/>
        <w:jc w:val="left"/>
        <w:rPr>
          <w:rFonts w:hint="eastAsia" w:ascii="宋体" w:hAnsi="宋体" w:cs="黑体"/>
          <w:b/>
          <w:bCs/>
          <w:color w:val="auto"/>
          <w:kern w:val="0"/>
          <w:sz w:val="24"/>
        </w:rPr>
      </w:pPr>
      <w:r>
        <w:rPr>
          <w:rFonts w:hint="eastAsia" w:ascii="宋体" w:hAnsi="宋体" w:cs="黑体"/>
          <w:b/>
          <w:bCs/>
          <w:color w:val="auto"/>
          <w:kern w:val="0"/>
          <w:sz w:val="24"/>
          <w:lang w:val="en-US" w:eastAsia="zh-CN"/>
        </w:rPr>
        <w:t>1</w:t>
      </w:r>
      <w:r>
        <w:rPr>
          <w:rFonts w:hint="eastAsia" w:ascii="宋体" w:hAnsi="宋体" w:cs="黑体"/>
          <w:b/>
          <w:bCs/>
          <w:color w:val="auto"/>
          <w:kern w:val="0"/>
          <w:sz w:val="24"/>
        </w:rPr>
        <w:t>、本项目</w:t>
      </w:r>
      <w:r>
        <w:rPr>
          <w:rFonts w:hint="eastAsia" w:ascii="宋体" w:hAnsi="宋体" w:cs="黑体"/>
          <w:b/>
          <w:bCs/>
          <w:color w:val="auto"/>
          <w:kern w:val="0"/>
          <w:sz w:val="24"/>
          <w:lang w:eastAsia="zh-CN"/>
        </w:rPr>
        <w:t>施工部分，</w:t>
      </w:r>
      <w:r>
        <w:rPr>
          <w:rFonts w:hint="eastAsia" w:ascii="宋体" w:hAnsi="宋体" w:cs="黑体"/>
          <w:b/>
          <w:bCs/>
          <w:color w:val="auto"/>
          <w:kern w:val="0"/>
          <w:sz w:val="24"/>
        </w:rPr>
        <w:t>采用固定含税全费用综合单价合同形式。</w:t>
      </w:r>
    </w:p>
    <w:p w14:paraId="1860CA0F">
      <w:pPr>
        <w:widowControl/>
        <w:shd w:val="clear" w:color="auto" w:fill="FFFFFF"/>
        <w:spacing w:line="360" w:lineRule="auto"/>
        <w:ind w:firstLine="480"/>
        <w:jc w:val="left"/>
        <w:rPr>
          <w:rFonts w:ascii="宋体" w:hAnsi="宋体" w:cs="黑体"/>
          <w:b/>
          <w:bCs/>
          <w:color w:val="auto"/>
          <w:kern w:val="0"/>
          <w:sz w:val="24"/>
        </w:rPr>
      </w:pPr>
      <w:r>
        <w:rPr>
          <w:rFonts w:hint="eastAsia" w:ascii="宋体" w:hAnsi="宋体" w:cs="黑体"/>
          <w:b/>
          <w:bCs/>
          <w:color w:val="auto"/>
          <w:kern w:val="0"/>
          <w:sz w:val="24"/>
        </w:rPr>
        <w:t>各</w:t>
      </w:r>
      <w:r>
        <w:rPr>
          <w:rFonts w:hint="eastAsia" w:ascii="宋体" w:hAnsi="宋体" w:cs="黑体"/>
          <w:b/>
          <w:bCs/>
          <w:color w:val="auto"/>
          <w:kern w:val="0"/>
          <w:sz w:val="24"/>
          <w:lang w:eastAsia="zh-CN"/>
        </w:rPr>
        <w:t>供应商</w:t>
      </w:r>
      <w:r>
        <w:rPr>
          <w:rFonts w:hint="eastAsia" w:ascii="宋体" w:hAnsi="宋体" w:cs="黑体"/>
          <w:b/>
          <w:bCs/>
          <w:color w:val="auto"/>
          <w:kern w:val="0"/>
          <w:sz w:val="24"/>
        </w:rPr>
        <w:t>应根据</w:t>
      </w:r>
      <w:r>
        <w:rPr>
          <w:rFonts w:hint="eastAsia" w:ascii="宋体" w:hAnsi="宋体" w:cs="黑体"/>
          <w:b/>
          <w:bCs/>
          <w:color w:val="auto"/>
          <w:kern w:val="0"/>
          <w:sz w:val="24"/>
          <w:lang w:eastAsia="zh-CN"/>
        </w:rPr>
        <w:t>采购文件</w:t>
      </w:r>
      <w:r>
        <w:rPr>
          <w:rFonts w:hint="eastAsia" w:ascii="宋体" w:hAnsi="宋体" w:cs="黑体"/>
          <w:b/>
          <w:bCs/>
          <w:color w:val="auto"/>
          <w:kern w:val="0"/>
          <w:sz w:val="24"/>
        </w:rPr>
        <w:t>给定的工程量清单逐项填报单价和合价，并以此汇总计算总价，供应商的报价包括施工设备、劳务、材料（含辅材）、安装、运输、维护、保险（含劳动保险等）、管理费、</w:t>
      </w:r>
      <w:r>
        <w:rPr>
          <w:rFonts w:hint="eastAsia" w:ascii="宋体" w:hAnsi="宋体" w:cs="黑体"/>
          <w:b/>
          <w:bCs/>
          <w:color w:val="auto"/>
          <w:kern w:val="0"/>
          <w:sz w:val="24"/>
          <w:lang w:eastAsia="zh-CN"/>
        </w:rPr>
        <w:t>利润及税金、</w:t>
      </w:r>
      <w:r>
        <w:rPr>
          <w:rFonts w:hint="eastAsia" w:ascii="宋体" w:hAnsi="宋体" w:cs="黑体"/>
          <w:b/>
          <w:bCs/>
          <w:color w:val="auto"/>
          <w:kern w:val="0"/>
          <w:sz w:val="24"/>
        </w:rPr>
        <w:t>安全文明施工费、规费、调试费、措施费、扬尘治理、安全、工期、质量、垃圾清理及外运、分批次进出场产生的费用（不因现场情况机械进出多少次，只计算一次机械进出场费用）、二次搬运费、材料的保管费、检验费、验收费、总包配合费用、社群关系协调费、意外伤害、伤亡事故、政策性文件规定、不明地质变化及合同实施期内包含的所有风险、责任等各项应有费用，并考虑所有风险及包含律师费、诉讼费、保全费、公告费、鉴定费、交通食宿费、预期的市场价格的涨跌引起的费用、政策性文件规定以及施工期间政策调整而发生的风险、在限定的工期内完成施工项目及整项工程并达到合同约定的质量标准所需要的费用、隐含的为完成该项目而必须发生的费用、在合同实施期间不因市场变化因素而变动。除固定含税全费用综合单价外，承包人无权再向发包人主张任何价款及费用。</w:t>
      </w:r>
    </w:p>
    <w:p w14:paraId="4CCDC400">
      <w:pPr>
        <w:pageBreakBefore w:val="0"/>
        <w:kinsoku/>
        <w:wordWrap/>
        <w:overflowPunct/>
        <w:topLinePunct w:val="0"/>
        <w:autoSpaceDE/>
        <w:autoSpaceDN/>
        <w:bidi w:val="0"/>
        <w:adjustRightInd/>
        <w:snapToGrid/>
        <w:spacing w:line="360" w:lineRule="auto"/>
        <w:ind w:firstLine="482" w:firstLineChars="200"/>
        <w:textAlignment w:val="auto"/>
        <w:rPr>
          <w:rFonts w:hint="eastAsia" w:ascii="Times New Roman" w:hAnsi="Times New Roman" w:eastAsia="宋体" w:cs="宋体"/>
          <w:b/>
          <w:bCs/>
          <w:color w:val="auto"/>
          <w:sz w:val="24"/>
          <w:szCs w:val="24"/>
          <w:highlight w:val="none"/>
          <w:lang w:eastAsia="zh-CN" w:bidi="ar"/>
        </w:rPr>
      </w:pPr>
      <w:r>
        <w:rPr>
          <w:rFonts w:hint="eastAsia" w:ascii="Times New Roman" w:hAnsi="Times New Roman" w:eastAsia="宋体" w:cs="宋体"/>
          <w:b/>
          <w:bCs/>
          <w:color w:val="auto"/>
          <w:sz w:val="24"/>
          <w:szCs w:val="24"/>
          <w:highlight w:val="none"/>
          <w:lang w:eastAsia="zh-CN" w:bidi="ar"/>
        </w:rPr>
        <w:t>各</w:t>
      </w:r>
      <w:r>
        <w:rPr>
          <w:rFonts w:hint="eastAsia" w:ascii="Times New Roman" w:hAnsi="Times New Roman" w:cs="宋体"/>
          <w:b/>
          <w:bCs/>
          <w:color w:val="auto"/>
          <w:sz w:val="24"/>
          <w:szCs w:val="24"/>
          <w:highlight w:val="none"/>
          <w:lang w:eastAsia="zh-CN" w:bidi="ar"/>
        </w:rPr>
        <w:t>供应商</w:t>
      </w:r>
      <w:r>
        <w:rPr>
          <w:rFonts w:hint="eastAsia" w:ascii="Times New Roman" w:hAnsi="Times New Roman" w:eastAsia="宋体" w:cs="宋体"/>
          <w:b/>
          <w:bCs/>
          <w:color w:val="auto"/>
          <w:sz w:val="24"/>
          <w:szCs w:val="24"/>
          <w:highlight w:val="none"/>
          <w:lang w:eastAsia="zh-CN" w:bidi="ar"/>
        </w:rPr>
        <w:t>不得对清单中的“项目名称项目特征”、“计量单位”及“工程量”做任何变动，否则，评标委员会应否决其投标。</w:t>
      </w:r>
    </w:p>
    <w:p w14:paraId="73889F00">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color w:val="auto"/>
          <w:sz w:val="24"/>
          <w:szCs w:val="24"/>
        </w:rPr>
      </w:pPr>
      <w:r>
        <w:rPr>
          <w:rFonts w:hint="eastAsia" w:ascii="宋体" w:hAnsi="宋体" w:eastAsia="宋体" w:cs="黑体"/>
          <w:b/>
          <w:bCs/>
          <w:color w:val="auto"/>
          <w:kern w:val="0"/>
          <w:sz w:val="24"/>
          <w:lang w:val="en-US" w:eastAsia="zh-CN"/>
        </w:rPr>
        <w:t>2、本项目热力机组设备的报价</w:t>
      </w:r>
      <w:r>
        <w:rPr>
          <w:rFonts w:hint="eastAsia" w:ascii="宋体" w:hAnsi="宋体" w:eastAsia="宋体" w:cs="黑体"/>
          <w:b/>
          <w:bCs/>
          <w:color w:val="auto"/>
          <w:kern w:val="0"/>
          <w:sz w:val="24"/>
          <w:lang w:eastAsia="zh-CN"/>
        </w:rPr>
        <w:t>包</w:t>
      </w:r>
      <w:r>
        <w:rPr>
          <w:rFonts w:hint="eastAsia" w:ascii="宋体" w:hAnsi="宋体" w:cs="黑体"/>
          <w:b/>
          <w:bCs/>
          <w:color w:val="auto"/>
          <w:kern w:val="0"/>
          <w:sz w:val="24"/>
        </w:rPr>
        <w:t>括</w:t>
      </w:r>
      <w:r>
        <w:rPr>
          <w:rFonts w:hint="eastAsia" w:ascii="宋体" w:hAnsi="宋体" w:cs="黑体"/>
          <w:b/>
          <w:bCs/>
          <w:color w:val="auto"/>
          <w:kern w:val="0"/>
          <w:sz w:val="24"/>
          <w:lang w:eastAsia="zh-CN"/>
        </w:rPr>
        <w:t>但不限于：货物费</w:t>
      </w:r>
      <w:r>
        <w:rPr>
          <w:rFonts w:hint="eastAsia" w:ascii="宋体" w:hAnsi="宋体" w:cs="黑体"/>
          <w:b/>
          <w:bCs/>
          <w:color w:val="auto"/>
          <w:kern w:val="0"/>
          <w:sz w:val="24"/>
        </w:rPr>
        <w:t>，装卸</w:t>
      </w:r>
      <w:r>
        <w:rPr>
          <w:rFonts w:hint="eastAsia" w:ascii="宋体" w:hAnsi="宋体" w:cs="黑体"/>
          <w:b/>
          <w:bCs/>
          <w:color w:val="auto"/>
          <w:kern w:val="0"/>
          <w:sz w:val="24"/>
          <w:lang w:eastAsia="zh-CN"/>
        </w:rPr>
        <w:t>费，</w:t>
      </w:r>
      <w:r>
        <w:rPr>
          <w:rFonts w:hint="eastAsia" w:ascii="宋体" w:hAnsi="宋体" w:cs="黑体"/>
          <w:b/>
          <w:bCs/>
          <w:color w:val="auto"/>
          <w:kern w:val="0"/>
          <w:sz w:val="24"/>
        </w:rPr>
        <w:t>运输</w:t>
      </w:r>
      <w:r>
        <w:rPr>
          <w:rFonts w:hint="eastAsia" w:ascii="宋体" w:hAnsi="宋体" w:cs="黑体"/>
          <w:b/>
          <w:bCs/>
          <w:color w:val="auto"/>
          <w:kern w:val="0"/>
          <w:sz w:val="24"/>
          <w:lang w:eastAsia="zh-CN"/>
        </w:rPr>
        <w:t>费，</w:t>
      </w:r>
      <w:r>
        <w:rPr>
          <w:rFonts w:hint="eastAsia" w:ascii="宋体" w:hAnsi="宋体" w:cs="黑体"/>
          <w:b/>
          <w:bCs/>
          <w:color w:val="auto"/>
          <w:kern w:val="0"/>
          <w:sz w:val="24"/>
        </w:rPr>
        <w:t>现场保管费</w:t>
      </w:r>
      <w:r>
        <w:rPr>
          <w:rFonts w:hint="eastAsia" w:ascii="宋体" w:hAnsi="宋体" w:cs="黑体"/>
          <w:b/>
          <w:bCs/>
          <w:color w:val="auto"/>
          <w:kern w:val="0"/>
          <w:sz w:val="24"/>
          <w:lang w:eastAsia="zh-CN"/>
        </w:rPr>
        <w:t>，现场</w:t>
      </w:r>
      <w:r>
        <w:rPr>
          <w:rFonts w:hint="eastAsia" w:ascii="宋体" w:hAnsi="宋体" w:cs="黑体"/>
          <w:b/>
          <w:bCs/>
          <w:color w:val="auto"/>
          <w:kern w:val="0"/>
          <w:sz w:val="24"/>
        </w:rPr>
        <w:t>协调</w:t>
      </w:r>
      <w:r>
        <w:rPr>
          <w:rFonts w:hint="eastAsia" w:ascii="宋体" w:hAnsi="宋体" w:cs="黑体"/>
          <w:b/>
          <w:bCs/>
          <w:color w:val="auto"/>
          <w:kern w:val="0"/>
          <w:sz w:val="24"/>
          <w:lang w:eastAsia="zh-CN"/>
        </w:rPr>
        <w:t>费，配合施工费，</w:t>
      </w:r>
      <w:r>
        <w:rPr>
          <w:rFonts w:hint="eastAsia" w:ascii="宋体" w:hAnsi="宋体" w:cs="黑体"/>
          <w:b/>
          <w:bCs/>
          <w:color w:val="auto"/>
          <w:kern w:val="0"/>
          <w:sz w:val="24"/>
        </w:rPr>
        <w:t>配合验收</w:t>
      </w:r>
      <w:r>
        <w:rPr>
          <w:rFonts w:hint="eastAsia" w:ascii="宋体" w:hAnsi="宋体" w:cs="黑体"/>
          <w:b/>
          <w:bCs/>
          <w:color w:val="auto"/>
          <w:kern w:val="0"/>
          <w:sz w:val="24"/>
          <w:lang w:eastAsia="zh-CN"/>
        </w:rPr>
        <w:t>费，</w:t>
      </w:r>
      <w:r>
        <w:rPr>
          <w:rFonts w:hint="eastAsia" w:ascii="宋体" w:hAnsi="宋体" w:cs="黑体"/>
          <w:b/>
          <w:bCs/>
          <w:color w:val="auto"/>
          <w:kern w:val="0"/>
          <w:sz w:val="24"/>
        </w:rPr>
        <w:t>资料编制费</w:t>
      </w:r>
      <w:r>
        <w:rPr>
          <w:rFonts w:hint="eastAsia" w:ascii="宋体" w:hAnsi="宋体" w:cs="黑体"/>
          <w:b/>
          <w:bCs/>
          <w:color w:val="auto"/>
          <w:kern w:val="0"/>
          <w:sz w:val="24"/>
          <w:lang w:eastAsia="zh-CN"/>
        </w:rPr>
        <w:t>，</w:t>
      </w:r>
      <w:r>
        <w:rPr>
          <w:rFonts w:hint="eastAsia" w:ascii="宋体" w:hAnsi="宋体" w:cs="黑体"/>
          <w:b/>
          <w:bCs/>
          <w:color w:val="auto"/>
          <w:kern w:val="0"/>
          <w:sz w:val="24"/>
        </w:rPr>
        <w:t>检验试验费</w:t>
      </w:r>
      <w:r>
        <w:rPr>
          <w:rFonts w:hint="eastAsia" w:ascii="宋体" w:hAnsi="宋体" w:cs="黑体"/>
          <w:b/>
          <w:bCs/>
          <w:color w:val="auto"/>
          <w:kern w:val="0"/>
          <w:sz w:val="24"/>
          <w:lang w:eastAsia="zh-CN"/>
        </w:rPr>
        <w:t>，</w:t>
      </w:r>
      <w:r>
        <w:rPr>
          <w:rFonts w:hint="eastAsia" w:ascii="宋体" w:hAnsi="宋体" w:cs="黑体"/>
          <w:b/>
          <w:bCs/>
          <w:color w:val="auto"/>
          <w:kern w:val="0"/>
          <w:sz w:val="24"/>
        </w:rPr>
        <w:t>材料二次搬运</w:t>
      </w:r>
      <w:r>
        <w:rPr>
          <w:rFonts w:hint="eastAsia" w:ascii="宋体" w:hAnsi="宋体" w:cs="黑体"/>
          <w:b/>
          <w:bCs/>
          <w:color w:val="auto"/>
          <w:kern w:val="0"/>
          <w:sz w:val="24"/>
          <w:lang w:eastAsia="zh-CN"/>
        </w:rPr>
        <w:t>费，</w:t>
      </w:r>
      <w:r>
        <w:rPr>
          <w:rFonts w:hint="eastAsia" w:ascii="宋体" w:hAnsi="宋体" w:cs="黑体"/>
          <w:b/>
          <w:bCs/>
          <w:color w:val="auto"/>
          <w:kern w:val="0"/>
          <w:sz w:val="24"/>
        </w:rPr>
        <w:t>成品保护</w:t>
      </w:r>
      <w:r>
        <w:rPr>
          <w:rFonts w:hint="eastAsia" w:ascii="宋体" w:hAnsi="宋体" w:cs="黑体"/>
          <w:b/>
          <w:bCs/>
          <w:color w:val="auto"/>
          <w:kern w:val="0"/>
          <w:sz w:val="24"/>
          <w:lang w:eastAsia="zh-CN"/>
        </w:rPr>
        <w:t>费，</w:t>
      </w:r>
      <w:r>
        <w:rPr>
          <w:rFonts w:hint="eastAsia" w:ascii="宋体" w:hAnsi="宋体" w:cs="黑体"/>
          <w:b/>
          <w:bCs/>
          <w:color w:val="auto"/>
          <w:kern w:val="0"/>
          <w:sz w:val="24"/>
        </w:rPr>
        <w:t>管理费</w:t>
      </w:r>
      <w:r>
        <w:rPr>
          <w:rFonts w:hint="eastAsia" w:ascii="宋体" w:hAnsi="宋体" w:cs="黑体"/>
          <w:b/>
          <w:bCs/>
          <w:color w:val="auto"/>
          <w:kern w:val="0"/>
          <w:sz w:val="24"/>
          <w:lang w:eastAsia="zh-CN"/>
        </w:rPr>
        <w:t>，</w:t>
      </w:r>
      <w:r>
        <w:rPr>
          <w:rFonts w:hint="eastAsia" w:ascii="宋体" w:hAnsi="宋体" w:cs="黑体"/>
          <w:b/>
          <w:bCs/>
          <w:color w:val="auto"/>
          <w:kern w:val="0"/>
          <w:sz w:val="24"/>
        </w:rPr>
        <w:t>利润</w:t>
      </w:r>
      <w:r>
        <w:rPr>
          <w:rFonts w:hint="eastAsia" w:ascii="宋体" w:hAnsi="宋体" w:cs="黑体"/>
          <w:b/>
          <w:bCs/>
          <w:color w:val="auto"/>
          <w:kern w:val="0"/>
          <w:sz w:val="24"/>
          <w:lang w:eastAsia="zh-CN"/>
        </w:rPr>
        <w:t>，</w:t>
      </w:r>
      <w:r>
        <w:rPr>
          <w:rFonts w:hint="eastAsia" w:ascii="宋体" w:hAnsi="宋体" w:cs="黑体"/>
          <w:b/>
          <w:bCs/>
          <w:color w:val="auto"/>
          <w:kern w:val="0"/>
          <w:sz w:val="24"/>
        </w:rPr>
        <w:t>安全风险费</w:t>
      </w:r>
      <w:r>
        <w:rPr>
          <w:rFonts w:hint="eastAsia" w:ascii="宋体" w:hAnsi="宋体" w:cs="黑体"/>
          <w:b/>
          <w:bCs/>
          <w:color w:val="auto"/>
          <w:kern w:val="0"/>
          <w:sz w:val="24"/>
          <w:lang w:eastAsia="zh-CN"/>
        </w:rPr>
        <w:t>，保险费，各类</w:t>
      </w:r>
      <w:r>
        <w:rPr>
          <w:rFonts w:hint="eastAsia" w:ascii="宋体" w:hAnsi="宋体" w:cs="黑体"/>
          <w:b/>
          <w:bCs/>
          <w:color w:val="auto"/>
          <w:kern w:val="0"/>
          <w:sz w:val="24"/>
        </w:rPr>
        <w:t>税</w:t>
      </w:r>
      <w:r>
        <w:rPr>
          <w:rFonts w:hint="eastAsia" w:ascii="宋体" w:hAnsi="宋体" w:cs="黑体"/>
          <w:b/>
          <w:bCs/>
          <w:color w:val="auto"/>
          <w:kern w:val="0"/>
          <w:sz w:val="24"/>
          <w:lang w:eastAsia="zh-CN"/>
        </w:rPr>
        <w:t>费，及</w:t>
      </w:r>
      <w:r>
        <w:rPr>
          <w:rFonts w:hint="eastAsia" w:ascii="宋体" w:hAnsi="宋体" w:cs="黑体"/>
          <w:b/>
          <w:bCs/>
          <w:color w:val="auto"/>
          <w:kern w:val="0"/>
          <w:sz w:val="24"/>
        </w:rPr>
        <w:t>一切风险、责任和义务等的费用，如上述描述不到位，但乙方为完成本项目应支付的费用也包含在合同内，甲方无须再向乙方支付其他任何价款及费用，乙方也不得再向甲方提出任何价款及费用的请求。此价款不因市场和政策性变动而变动</w:t>
      </w:r>
      <w:r>
        <w:rPr>
          <w:rFonts w:hint="eastAsia" w:ascii="宋体" w:hAnsi="宋体" w:eastAsia="宋体" w:cs="宋体"/>
          <w:color w:val="auto"/>
          <w:sz w:val="24"/>
          <w:szCs w:val="24"/>
        </w:rPr>
        <w:t>。</w:t>
      </w:r>
    </w:p>
    <w:p w14:paraId="10201CC3">
      <w:pPr>
        <w:widowControl w:val="0"/>
        <w:kinsoku/>
        <w:wordWrap/>
        <w:overflowPunct/>
        <w:topLinePunct w:val="0"/>
        <w:autoSpaceDE/>
        <w:autoSpaceDN/>
        <w:bidi w:val="0"/>
        <w:spacing w:line="360" w:lineRule="auto"/>
        <w:ind w:firstLine="241" w:firstLineChars="1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六、签约合同价</w:t>
      </w:r>
    </w:p>
    <w:p w14:paraId="0E0718A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rPr>
        <w:t>含税合同金额（小写）</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u w:val="single"/>
        </w:rPr>
        <w:t xml:space="preserve"> </w:t>
      </w:r>
      <w:r>
        <w:rPr>
          <w:rFonts w:hint="eastAsia" w:ascii="宋体" w:hAnsi="宋体" w:eastAsia="宋体" w:cs="宋体"/>
          <w:b w:val="0"/>
          <w:bCs w:val="0"/>
          <w:color w:val="auto"/>
          <w:sz w:val="24"/>
          <w:szCs w:val="24"/>
          <w:u w:val="single"/>
          <w:lang w:val="en-US" w:eastAsia="zh-CN"/>
        </w:rPr>
        <w:t xml:space="preserve">    </w:t>
      </w:r>
      <w:r>
        <w:rPr>
          <w:rFonts w:hint="eastAsia" w:ascii="宋体" w:hAnsi="宋体" w:eastAsia="宋体" w:cs="宋体"/>
          <w:b w:val="0"/>
          <w:bCs w:val="0"/>
          <w:color w:val="auto"/>
          <w:sz w:val="24"/>
          <w:szCs w:val="24"/>
          <w:u w:val="none"/>
        </w:rPr>
        <w:t>；</w:t>
      </w:r>
      <w:r>
        <w:rPr>
          <w:rFonts w:hint="eastAsia" w:ascii="宋体" w:hAnsi="宋体" w:eastAsia="宋体" w:cs="宋体"/>
          <w:b w:val="0"/>
          <w:bCs w:val="0"/>
          <w:color w:val="auto"/>
          <w:sz w:val="24"/>
          <w:szCs w:val="24"/>
        </w:rPr>
        <w:t xml:space="preserve"> (大写）：</w:t>
      </w:r>
      <w:r>
        <w:rPr>
          <w:rFonts w:hint="eastAsia" w:ascii="宋体" w:hAnsi="宋体" w:eastAsia="宋体" w:cs="宋体"/>
          <w:b w:val="0"/>
          <w:bCs w:val="0"/>
          <w:color w:val="auto"/>
          <w:sz w:val="24"/>
          <w:szCs w:val="24"/>
          <w:u w:val="single"/>
        </w:rPr>
        <w:t xml:space="preserve"> </w:t>
      </w:r>
      <w:r>
        <w:rPr>
          <w:rFonts w:hint="eastAsia" w:ascii="宋体" w:hAnsi="宋体" w:eastAsia="宋体" w:cs="宋体"/>
          <w:b w:val="0"/>
          <w:bCs w:val="0"/>
          <w:color w:val="auto"/>
          <w:sz w:val="24"/>
          <w:szCs w:val="24"/>
          <w:u w:val="single"/>
          <w:lang w:val="en-US" w:eastAsia="zh-CN"/>
        </w:rPr>
        <w:t xml:space="preserve">                  </w:t>
      </w:r>
      <w:r>
        <w:rPr>
          <w:rFonts w:hint="eastAsia" w:ascii="宋体" w:hAnsi="宋体" w:eastAsia="宋体" w:cs="宋体"/>
          <w:b w:val="0"/>
          <w:bCs w:val="0"/>
          <w:color w:val="auto"/>
          <w:sz w:val="24"/>
          <w:szCs w:val="24"/>
          <w:u w:val="none"/>
        </w:rPr>
        <w:t>。</w:t>
      </w:r>
    </w:p>
    <w:p w14:paraId="7F538E35">
      <w:pPr>
        <w:widowControl w:val="0"/>
        <w:kinsoku/>
        <w:wordWrap/>
        <w:overflowPunct/>
        <w:topLinePunct w:val="0"/>
        <w:autoSpaceDE/>
        <w:autoSpaceDN/>
        <w:bidi w:val="0"/>
        <w:spacing w:line="360" w:lineRule="auto"/>
        <w:ind w:firstLine="241" w:firstLineChars="100"/>
        <w:textAlignment w:val="auto"/>
        <w:rPr>
          <w:rFonts w:hint="default" w:ascii="宋体" w:hAnsi="宋体" w:eastAsia="宋体" w:cs="宋体"/>
          <w:b/>
          <w:bCs/>
          <w:color w:val="auto"/>
          <w:sz w:val="24"/>
          <w:szCs w:val="24"/>
          <w:u w:val="single"/>
          <w:lang w:val="en-US" w:eastAsia="zh-CN"/>
        </w:rPr>
      </w:pPr>
      <w:r>
        <w:rPr>
          <w:rFonts w:hint="eastAsia" w:ascii="宋体" w:hAnsi="宋体" w:cs="宋体"/>
          <w:b/>
          <w:bCs/>
          <w:color w:val="auto"/>
          <w:sz w:val="24"/>
          <w:szCs w:val="24"/>
          <w:lang w:val="en-US" w:eastAsia="zh-CN"/>
        </w:rPr>
        <w:t xml:space="preserve">  其中：施工签约合同价为：</w:t>
      </w:r>
      <w:r>
        <w:rPr>
          <w:rFonts w:hint="eastAsia" w:ascii="宋体" w:hAnsi="宋体" w:cs="宋体"/>
          <w:b/>
          <w:bCs/>
          <w:color w:val="auto"/>
          <w:sz w:val="24"/>
          <w:szCs w:val="24"/>
          <w:u w:val="single"/>
          <w:lang w:val="en-US" w:eastAsia="zh-CN"/>
        </w:rPr>
        <w:t xml:space="preserve">        </w:t>
      </w:r>
      <w:r>
        <w:rPr>
          <w:rFonts w:hint="eastAsia" w:ascii="宋体" w:hAnsi="宋体" w:cs="宋体"/>
          <w:b/>
          <w:bCs/>
          <w:color w:val="auto"/>
          <w:sz w:val="24"/>
          <w:szCs w:val="24"/>
          <w:lang w:val="en-US" w:eastAsia="zh-CN"/>
        </w:rPr>
        <w:t>，设备签约合同价为：</w:t>
      </w:r>
      <w:r>
        <w:rPr>
          <w:rFonts w:hint="eastAsia" w:ascii="宋体" w:hAnsi="宋体" w:cs="宋体"/>
          <w:b/>
          <w:bCs/>
          <w:color w:val="auto"/>
          <w:sz w:val="24"/>
          <w:szCs w:val="24"/>
          <w:u w:val="single"/>
          <w:lang w:val="en-US" w:eastAsia="zh-CN"/>
        </w:rPr>
        <w:t xml:space="preserve">        </w:t>
      </w:r>
    </w:p>
    <w:p w14:paraId="265B9F6D">
      <w:pPr>
        <w:widowControl w:val="0"/>
        <w:kinsoku/>
        <w:wordWrap/>
        <w:overflowPunct/>
        <w:topLinePunct w:val="0"/>
        <w:autoSpaceDE/>
        <w:autoSpaceDN/>
        <w:bidi w:val="0"/>
        <w:spacing w:line="360" w:lineRule="auto"/>
        <w:ind w:firstLine="241" w:firstLineChars="1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七、承包人项目经理：</w:t>
      </w:r>
    </w:p>
    <w:p w14:paraId="16174D9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姓名：</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建造师注册证书号：</w:t>
      </w:r>
      <w:r>
        <w:rPr>
          <w:rFonts w:hint="eastAsia" w:ascii="宋体" w:hAnsi="宋体" w:eastAsia="宋体" w:cs="宋体"/>
          <w:color w:val="auto"/>
          <w:sz w:val="24"/>
          <w:szCs w:val="24"/>
          <w:u w:val="single"/>
          <w:lang w:val="en-US" w:eastAsia="zh-CN"/>
        </w:rPr>
        <w:t xml:space="preserve">     </w:t>
      </w:r>
      <w:r>
        <w:rPr>
          <w:rFonts w:hint="eastAsia" w:ascii="宋体" w:hAnsi="宋体" w:cs="宋体"/>
          <w:color w:val="auto"/>
          <w:sz w:val="24"/>
          <w:szCs w:val="24"/>
          <w:u w:val="none"/>
          <w:lang w:val="en-US" w:eastAsia="zh-CN"/>
        </w:rPr>
        <w:t>。</w:t>
      </w:r>
    </w:p>
    <w:p w14:paraId="4E059D39">
      <w:pPr>
        <w:widowControl w:val="0"/>
        <w:kinsoku/>
        <w:wordWrap/>
        <w:overflowPunct/>
        <w:topLinePunct w:val="0"/>
        <w:autoSpaceDE/>
        <w:autoSpaceDN/>
        <w:bidi w:val="0"/>
        <w:spacing w:line="360" w:lineRule="auto"/>
        <w:ind w:firstLine="241" w:firstLineChars="1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八、合同文件的组成</w:t>
      </w:r>
    </w:p>
    <w:p w14:paraId="3A54B98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下列文件共同构成合同文件：</w:t>
      </w:r>
    </w:p>
    <w:p w14:paraId="0525AB5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1、本协议书；</w:t>
      </w:r>
    </w:p>
    <w:p w14:paraId="5A9F831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2、中标通知书；</w:t>
      </w:r>
    </w:p>
    <w:p w14:paraId="5F20FE2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3、投标函及投标函附录、投标报价文件；</w:t>
      </w:r>
    </w:p>
    <w:p w14:paraId="2130947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4、专用合同条款；</w:t>
      </w:r>
    </w:p>
    <w:p w14:paraId="1F47902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5、通用合同条款；</w:t>
      </w:r>
    </w:p>
    <w:p w14:paraId="6C0D53A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6、技术标准和要求；</w:t>
      </w:r>
    </w:p>
    <w:p w14:paraId="7E66CBC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7、图纸；</w:t>
      </w:r>
    </w:p>
    <w:p w14:paraId="560C208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b/>
          <w:bCs/>
          <w:color w:val="auto"/>
          <w:sz w:val="24"/>
          <w:szCs w:val="24"/>
        </w:rPr>
      </w:pPr>
      <w:r>
        <w:rPr>
          <w:rFonts w:hint="eastAsia" w:ascii="宋体" w:hAnsi="宋体" w:eastAsia="宋体" w:cs="宋体"/>
          <w:color w:val="auto"/>
          <w:sz w:val="24"/>
          <w:szCs w:val="24"/>
        </w:rPr>
        <w:t>8、其他合同文件。</w:t>
      </w:r>
    </w:p>
    <w:p w14:paraId="28BDDC4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上述文件互相补充和解释，如有不明确或不一致之处，以合同约定次序在先者为准。</w:t>
      </w:r>
    </w:p>
    <w:p w14:paraId="26685CC2">
      <w:pPr>
        <w:widowControl w:val="0"/>
        <w:kinsoku/>
        <w:wordWrap/>
        <w:overflowPunct/>
        <w:topLinePunct w:val="0"/>
        <w:autoSpaceDE/>
        <w:autoSpaceDN/>
        <w:bidi w:val="0"/>
        <w:spacing w:line="360" w:lineRule="auto"/>
        <w:ind w:firstLine="241" w:firstLineChars="1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九、本协议书中有关词语定义与合同条款中的定义相同。</w:t>
      </w:r>
    </w:p>
    <w:p w14:paraId="1985BB2E">
      <w:pPr>
        <w:widowControl w:val="0"/>
        <w:kinsoku/>
        <w:wordWrap/>
        <w:overflowPunct/>
        <w:topLinePunct w:val="0"/>
        <w:autoSpaceDE/>
        <w:autoSpaceDN/>
        <w:bidi w:val="0"/>
        <w:spacing w:line="360" w:lineRule="auto"/>
        <w:ind w:firstLine="241" w:firstLineChars="1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十、承包人承诺按照合同约定进行施工、竣工、交付并在缺陷责任期内对工程缺陷承担维修责任。</w:t>
      </w:r>
    </w:p>
    <w:p w14:paraId="4DFFA714">
      <w:pPr>
        <w:widowControl w:val="0"/>
        <w:kinsoku/>
        <w:wordWrap/>
        <w:overflowPunct/>
        <w:topLinePunct w:val="0"/>
        <w:autoSpaceDE/>
        <w:autoSpaceDN/>
        <w:bidi w:val="0"/>
        <w:spacing w:line="360" w:lineRule="auto"/>
        <w:ind w:firstLine="241" w:firstLineChars="1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十一、发包人承诺按照合同约定的条件、期限和方式向承包人支付合同价款。</w:t>
      </w:r>
    </w:p>
    <w:p w14:paraId="4EF83881">
      <w:pPr>
        <w:widowControl w:val="0"/>
        <w:kinsoku/>
        <w:wordWrap/>
        <w:overflowPunct/>
        <w:topLinePunct w:val="0"/>
        <w:autoSpaceDE/>
        <w:autoSpaceDN/>
        <w:bidi w:val="0"/>
        <w:spacing w:line="360" w:lineRule="auto"/>
        <w:ind w:firstLine="241" w:firstLineChars="1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 xml:space="preserve">十二、本协议书连同其他合同文件正本一式 </w:t>
      </w:r>
      <w:r>
        <w:rPr>
          <w:rFonts w:hint="eastAsia" w:ascii="宋体" w:hAnsi="宋体" w:eastAsia="宋体" w:cs="宋体"/>
          <w:b/>
          <w:bCs/>
          <w:color w:val="auto"/>
          <w:sz w:val="24"/>
          <w:szCs w:val="24"/>
          <w:u w:val="single"/>
        </w:rPr>
        <w:t xml:space="preserve">两 </w:t>
      </w:r>
      <w:r>
        <w:rPr>
          <w:rFonts w:hint="eastAsia" w:ascii="宋体" w:hAnsi="宋体" w:eastAsia="宋体" w:cs="宋体"/>
          <w:b/>
          <w:bCs/>
          <w:color w:val="auto"/>
          <w:sz w:val="24"/>
          <w:szCs w:val="24"/>
        </w:rPr>
        <w:t>份，合同双方各执一份；副本一式</w:t>
      </w:r>
      <w:r>
        <w:rPr>
          <w:rFonts w:hint="eastAsia" w:ascii="宋体" w:hAnsi="宋体" w:eastAsia="宋体" w:cs="宋体"/>
          <w:b/>
          <w:bCs/>
          <w:color w:val="auto"/>
          <w:sz w:val="24"/>
          <w:szCs w:val="24"/>
          <w:u w:val="single"/>
        </w:rPr>
        <w:t xml:space="preserve"> 陆 </w:t>
      </w:r>
      <w:r>
        <w:rPr>
          <w:rFonts w:hint="eastAsia" w:ascii="宋体" w:hAnsi="宋体" w:eastAsia="宋体" w:cs="宋体"/>
          <w:b/>
          <w:bCs/>
          <w:color w:val="auto"/>
          <w:sz w:val="24"/>
          <w:szCs w:val="24"/>
        </w:rPr>
        <w:t>份，发包人</w:t>
      </w:r>
      <w:r>
        <w:rPr>
          <w:rFonts w:hint="eastAsia" w:ascii="宋体" w:hAnsi="宋体" w:eastAsia="宋体" w:cs="宋体"/>
          <w:b/>
          <w:bCs/>
          <w:color w:val="auto"/>
          <w:sz w:val="24"/>
          <w:szCs w:val="24"/>
          <w:u w:val="single"/>
        </w:rPr>
        <w:t xml:space="preserve"> 肆 </w:t>
      </w:r>
      <w:r>
        <w:rPr>
          <w:rFonts w:hint="eastAsia" w:ascii="宋体" w:hAnsi="宋体" w:eastAsia="宋体" w:cs="宋体"/>
          <w:b/>
          <w:bCs/>
          <w:color w:val="auto"/>
          <w:sz w:val="24"/>
          <w:szCs w:val="24"/>
        </w:rPr>
        <w:t>份，承包人</w:t>
      </w:r>
      <w:r>
        <w:rPr>
          <w:rFonts w:hint="eastAsia" w:ascii="宋体" w:hAnsi="宋体" w:eastAsia="宋体" w:cs="宋体"/>
          <w:b/>
          <w:bCs/>
          <w:color w:val="auto"/>
          <w:sz w:val="24"/>
          <w:szCs w:val="24"/>
          <w:u w:val="single"/>
        </w:rPr>
        <w:t xml:space="preserve"> 贰 </w:t>
      </w:r>
      <w:r>
        <w:rPr>
          <w:rFonts w:hint="eastAsia" w:ascii="宋体" w:hAnsi="宋体" w:eastAsia="宋体" w:cs="宋体"/>
          <w:b/>
          <w:bCs/>
          <w:color w:val="auto"/>
          <w:sz w:val="24"/>
          <w:szCs w:val="24"/>
        </w:rPr>
        <w:t>份其中一份在合同报送建设行政主管部门备案时留存。</w:t>
      </w:r>
    </w:p>
    <w:p w14:paraId="1FB8E608">
      <w:pPr>
        <w:widowControl w:val="0"/>
        <w:kinsoku/>
        <w:wordWrap/>
        <w:overflowPunct/>
        <w:topLinePunct w:val="0"/>
        <w:autoSpaceDE/>
        <w:autoSpaceDN/>
        <w:bidi w:val="0"/>
        <w:spacing w:line="360" w:lineRule="auto"/>
        <w:ind w:firstLine="241" w:firstLineChars="1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十三、合同未尽事宜，双方另行签订补充协议，即成为原合同不可分割的组成部分，与原合同具有同等法律效力，与原合同冲突时，已补充协议为准。</w:t>
      </w:r>
    </w:p>
    <w:p w14:paraId="5EC33EE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p w14:paraId="400D348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发包人：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(盖单位章)     承包人：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(盖单位章)</w:t>
      </w:r>
    </w:p>
    <w:p w14:paraId="04855B4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p w14:paraId="1B85FDB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p w14:paraId="6CB070B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法定代表人或其                        法定代表人或其</w:t>
      </w:r>
    </w:p>
    <w:p w14:paraId="6541FDC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委托代理人：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(签字)      委托代理人：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(签字)</w:t>
      </w:r>
    </w:p>
    <w:p w14:paraId="599C42C2">
      <w:pPr>
        <w:pStyle w:val="3"/>
        <w:widowControl w:val="0"/>
        <w:kinsoku/>
        <w:wordWrap/>
        <w:overflowPunct/>
        <w:topLinePunct w:val="0"/>
        <w:autoSpaceDE/>
        <w:autoSpaceDN/>
        <w:bidi w:val="0"/>
        <w:spacing w:after="0"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u w:val="single"/>
        </w:rPr>
        <w:br w:type="page"/>
      </w:r>
      <w:bookmarkStart w:id="32" w:name="_Toc2029"/>
      <w:r>
        <w:rPr>
          <w:rFonts w:hint="eastAsia" w:ascii="宋体" w:hAnsi="宋体" w:eastAsia="宋体" w:cs="宋体"/>
          <w:color w:val="auto"/>
          <w:sz w:val="24"/>
          <w:szCs w:val="24"/>
        </w:rPr>
        <w:t>第二节  通用合同条款</w:t>
      </w:r>
      <w:bookmarkEnd w:id="32"/>
    </w:p>
    <w:p w14:paraId="4734FB36">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33" w:name="_Toc196637413"/>
      <w:bookmarkStart w:id="34" w:name="_Toc224699375"/>
      <w:bookmarkStart w:id="35" w:name="_Toc184635098"/>
      <w:bookmarkStart w:id="36" w:name="_Toc196637767"/>
      <w:bookmarkStart w:id="37" w:name="_Toc196637649"/>
      <w:r>
        <w:rPr>
          <w:rFonts w:hint="eastAsia" w:ascii="宋体" w:hAnsi="宋体" w:eastAsia="宋体" w:cs="宋体"/>
          <w:color w:val="auto"/>
          <w:sz w:val="24"/>
          <w:szCs w:val="24"/>
        </w:rPr>
        <w:t>1、一般约定</w:t>
      </w:r>
      <w:bookmarkEnd w:id="33"/>
      <w:bookmarkEnd w:id="34"/>
      <w:bookmarkEnd w:id="35"/>
      <w:bookmarkEnd w:id="36"/>
      <w:bookmarkEnd w:id="37"/>
    </w:p>
    <w:p w14:paraId="3C466FF4">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1.1 词语定义</w:t>
      </w:r>
    </w:p>
    <w:p w14:paraId="37DB803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通用合同条款、专用合同条款中的下列词语应具有本款所赋予的含义。</w:t>
      </w:r>
    </w:p>
    <w:p w14:paraId="716DE6A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1.1.1 合同</w:t>
      </w:r>
    </w:p>
    <w:p w14:paraId="1084545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1.1.1.1 合同文件（或称合同）：指合同协议书、中标通知书、投标函及投标函附录、专用合同条款、通用合同条款、技术标准和要求、图纸、投标报价文件，以及其他合同文件。</w:t>
      </w:r>
    </w:p>
    <w:p w14:paraId="1DD84B9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1.1.1.2 合同协议书：指第1.5 款所指的合同协议书。</w:t>
      </w:r>
    </w:p>
    <w:p w14:paraId="215E318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1.1.1.3 中标通知书：指发包人通知承包人中标的函件。</w:t>
      </w:r>
    </w:p>
    <w:p w14:paraId="728D47A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1.1.1.4 投标函：指构成合同文件组成部分的由承包人填写并签署的投标函。</w:t>
      </w:r>
    </w:p>
    <w:p w14:paraId="1C1E825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1.1.1.5 投标函附录：指附在投标函后构成合同文件的投标函附录。</w:t>
      </w:r>
    </w:p>
    <w:p w14:paraId="254CAA5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1.1.1.6 技术标准和要求：指构成合同文件组成部分的名为技术标准和要求的文件，包括合同双方当事人约定对其所作的修改或补充。</w:t>
      </w:r>
    </w:p>
    <w:p w14:paraId="124E1AD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1.1.1.7 图纸：指包含在合同中的工程图纸，以及由发包人按合同约定提供的任何补充和修改的图纸，包括配套的说明。</w:t>
      </w:r>
    </w:p>
    <w:p w14:paraId="3EE0DF2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1.1.1.8其他合同文件：指经合同双方当事人确认构成合同文件的其他文件。</w:t>
      </w:r>
    </w:p>
    <w:p w14:paraId="523BF47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1.1.2 合同当事人和人员</w:t>
      </w:r>
    </w:p>
    <w:p w14:paraId="6983EE6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1.1.2.1 合同当事人：指发包人和（或）承包人。</w:t>
      </w:r>
    </w:p>
    <w:p w14:paraId="66FC121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1.1.2.2 发包人：指专用合同条款中指明并与承包人在合同协议书中签字的当事人。</w:t>
      </w:r>
    </w:p>
    <w:p w14:paraId="1B42A07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1.1.2.3 承包人：指与发包人签订合同协议书的当事人。</w:t>
      </w:r>
    </w:p>
    <w:p w14:paraId="53506D9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1.1.2.4 承包人项目经理：指承包人派驻施工场地的全权负责人。</w:t>
      </w:r>
    </w:p>
    <w:p w14:paraId="703E53B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1.1.2.5 分包人：指从承包人处分包合同中某一部分工程，并与其签订分包合同的分包人。</w:t>
      </w:r>
    </w:p>
    <w:p w14:paraId="6C2DE0C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1.1.2.6 监理人：指在专用合同条款中指明的，受发包人委托对合同履行实施管理的法人或其他组织。</w:t>
      </w:r>
    </w:p>
    <w:p w14:paraId="0AEB083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1.1.2.7 总监理工程师（总监）：指由监理人委派常驻施工场地对合同履行实施管理的全权负责人。</w:t>
      </w:r>
    </w:p>
    <w:p w14:paraId="1759735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 工程和设备</w:t>
      </w:r>
    </w:p>
    <w:p w14:paraId="6BDD3CE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1.1.3.1 工程：指永久工程和（或）临时工程。</w:t>
      </w:r>
    </w:p>
    <w:p w14:paraId="3FA49B6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1.1.3.2 永久工程：指按合同约定建造并移交给发包人的工程，包括工程设备。</w:t>
      </w:r>
    </w:p>
    <w:p w14:paraId="68094A2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1.1.3.3 临时工程：指为完成合同约定的永久工程所修建的各类临时性工程，不包括施工设备。</w:t>
      </w:r>
    </w:p>
    <w:p w14:paraId="45EEA3D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1.1.3.4 单位工程：指专用合同条款中指明特定范围的永久工程。</w:t>
      </w:r>
    </w:p>
    <w:p w14:paraId="66717F5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1.1.3.5 工程设备：指构成或计划构成永久工程一部分的机电设备、金属结构设备、仪器装置及其他类似的设备和装置。</w:t>
      </w:r>
    </w:p>
    <w:p w14:paraId="53C06E5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1.1.3.6 施工设备：指为完成合同约定的各项工作所需的设备、器具和其他物品，不包括临时工程和材料。</w:t>
      </w:r>
    </w:p>
    <w:p w14:paraId="4217B6C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1.1.3.7 临时设施：指为完成合同约定的各项工作所服务的临时性生产和生活设施。</w:t>
      </w:r>
    </w:p>
    <w:p w14:paraId="18A1739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1.1.3.8 承包人设备：指承包人自带的施工设备。</w:t>
      </w:r>
    </w:p>
    <w:p w14:paraId="5DB941F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1.1.3.9 施工场地（或称工地、现场）：指用于合同工程施工的场所，以及在合同中指定作为施工场地组成部分的其他场所，包括永久占地和临时占地。</w:t>
      </w:r>
    </w:p>
    <w:p w14:paraId="2A84AAE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1.1.3.10 永久占地：指专用合同条款中指明为实施合同工程需永久占用的土地。</w:t>
      </w:r>
    </w:p>
    <w:p w14:paraId="7B4B885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1.1.3.11 临时占地：指专用合同条款中指明为实施合同工程需临时占用的土地。</w:t>
      </w:r>
    </w:p>
    <w:p w14:paraId="69A29AB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1.1.4 日期</w:t>
      </w:r>
    </w:p>
    <w:p w14:paraId="2FF66FC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1.1.4.1 开工通知：指监理人按第11.1 款通知承包人开工的函件。</w:t>
      </w:r>
    </w:p>
    <w:p w14:paraId="507AB3B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1.1.4.2 开工日期：指监理人按第11.1 款发出的开工通知中写明的开工日期。</w:t>
      </w:r>
    </w:p>
    <w:p w14:paraId="1B97B13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1.1.4.3 工期：指承包人在投标函中承诺的完成合同工程所需的期限，包括按第11.3 款、第11.4 款和第11.6 款约定所作的变更。</w:t>
      </w:r>
    </w:p>
    <w:p w14:paraId="6D53774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1.1.4.4 竣工日期：指第1.1.4.3 目约定工期届满时的日期。实际竣工日期以工程接收证书中写明的日期为准。</w:t>
      </w:r>
    </w:p>
    <w:p w14:paraId="7A72004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1.1.4.5 缺陷责任期：指履行第19.2 款约定的缺陷责任的期限，具体期限由专用合同条款约定，包括根据第19.3 款约定所作的延长。</w:t>
      </w:r>
    </w:p>
    <w:p w14:paraId="223862D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1.1.4.6 基准日期：指投标截止时间前28 天的日期。</w:t>
      </w:r>
    </w:p>
    <w:p w14:paraId="5A921A5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1.1.4.7 天：除特别指明外，指日历天。合同中按天计算时间的，开始当天不计入，从次日开始计算。期限最后一天的截止时间为当天24:00。</w:t>
      </w:r>
    </w:p>
    <w:p w14:paraId="14FD8EE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1.1.5 合同价格和费用</w:t>
      </w:r>
    </w:p>
    <w:p w14:paraId="7CF3EFC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1.1.5.1 签约合同价：指签定合同时合同协议书中写明的，包括了暂估价的合同总金额。</w:t>
      </w:r>
    </w:p>
    <w:p w14:paraId="19A2C13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1.1.5.2 合同价格：指承包人按合同约定完成了包括缺陷责任期内的全部承包工作后，发包人应付给承包人的金额，包括在履行合同过程中按合同约定进行的变更和调整。</w:t>
      </w:r>
    </w:p>
    <w:p w14:paraId="3B70070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1.1.5.3 费用：指为履行合同所发生的或将要发生的所有合理开支，包括管理费和应分摊的其他费用，但不包括利润。</w:t>
      </w:r>
    </w:p>
    <w:p w14:paraId="0DDF2FC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1.1.5.4 质量保证金（或称保留金）：指按第17. 4.1项约定用于保证在缺陷责任期内履行缺陷修复义务的金额。</w:t>
      </w:r>
    </w:p>
    <w:p w14:paraId="475AB26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1.1.6 其他</w:t>
      </w:r>
    </w:p>
    <w:p w14:paraId="6870EFB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1.1.6.1 书面形式：指合同文件、信函、电报、传真等可以有形地表现所载内容的形式。</w:t>
      </w:r>
    </w:p>
    <w:p w14:paraId="4F4F74EF">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1.2 语言文字</w:t>
      </w:r>
    </w:p>
    <w:p w14:paraId="6C72128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除专用术语外，合同使用的语言文字为中文。必要时专用术语应附有中文注释。</w:t>
      </w:r>
    </w:p>
    <w:p w14:paraId="3883756B">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1.3 法律</w:t>
      </w:r>
    </w:p>
    <w:p w14:paraId="00D0491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适用于合同的法律包括中华人民共和国法律、行政法规、部门规章，以及工程所在地的地方法规、自治条例、单行条例和地方政府规章。</w:t>
      </w:r>
    </w:p>
    <w:p w14:paraId="12DBDD70">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1.4 合同文件的优先顺序</w:t>
      </w:r>
    </w:p>
    <w:p w14:paraId="2B5CC11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组成合同的各项文件应互相解释，互为说明。除专用合同条款另有约定外，解释合同文件的优先顺序如下：</w:t>
      </w:r>
    </w:p>
    <w:p w14:paraId="69F5A3E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(l）合同协议书；</w:t>
      </w:r>
    </w:p>
    <w:p w14:paraId="698D2C8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(2）中标通知书；</w:t>
      </w:r>
    </w:p>
    <w:p w14:paraId="45B4070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(3）投标函及投标函附录；</w:t>
      </w:r>
    </w:p>
    <w:p w14:paraId="75FED00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(4）专用合同条款；</w:t>
      </w:r>
    </w:p>
    <w:p w14:paraId="7E23DDA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(5）通用合同条款；</w:t>
      </w:r>
    </w:p>
    <w:p w14:paraId="248BBF0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(6）技术标准和要求；</w:t>
      </w:r>
    </w:p>
    <w:p w14:paraId="43BA24F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(7）图纸；</w:t>
      </w:r>
    </w:p>
    <w:p w14:paraId="07328A1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(8）投标报价文件；</w:t>
      </w:r>
    </w:p>
    <w:p w14:paraId="7973996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(9）其他合同文件。</w:t>
      </w:r>
    </w:p>
    <w:p w14:paraId="23EEF9CF">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1.5 合同协议书</w:t>
      </w:r>
    </w:p>
    <w:p w14:paraId="70732DF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承包人按中标通知书规定的时间与发包人签订合同协议书。除法律另有规定或合同另有约定外，发包人和承包人的法定代表人或其委托代理人在合同协议书上签字并盖单位章后，合同生效。</w:t>
      </w:r>
    </w:p>
    <w:p w14:paraId="2ACE47FE">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1.6 图纸和承包人文件</w:t>
      </w:r>
    </w:p>
    <w:p w14:paraId="456AB3D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1.6.1 图纸的提供</w:t>
      </w:r>
    </w:p>
    <w:p w14:paraId="43BABB9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除专用合同条款另有约定外，图纸应在合理的期限内按照合同约定的数量提供给承包人。由于发包人未按时提供图纸造成工期延误的，按第11.3 款的约定办理。</w:t>
      </w:r>
    </w:p>
    <w:p w14:paraId="7A9DDA4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1.6.2 承包人提供的文件</w:t>
      </w:r>
    </w:p>
    <w:p w14:paraId="415A895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按专用合同条款约定由承包人提供的文件，包括部分工程的大样图、加工图等，承包人应按约定的数量和期限报送监理人。监理人应在专用合同条款约定的期限内批复。</w:t>
      </w:r>
    </w:p>
    <w:p w14:paraId="5E9F931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 6.3 图纸的修改</w:t>
      </w:r>
    </w:p>
    <w:p w14:paraId="0B6EF51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图纸需要修改和补充的，应由监理人取得发包人同意后，在该工程或工程相应部位施工前的合理期限内签发图纸修改图给承包人，具体签发期限在专用合同条款中约定。承包人应按修改后的图纸施工。</w:t>
      </w:r>
    </w:p>
    <w:p w14:paraId="2D3405B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1.6.4 图纸的错误</w:t>
      </w:r>
    </w:p>
    <w:p w14:paraId="2961DE2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承包人发现发包人提供的图纸存在明显错误或疏忽，应及时通知监理人。</w:t>
      </w:r>
    </w:p>
    <w:p w14:paraId="7431DC8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1.6.5 图纸和承包人文件的保管</w:t>
      </w:r>
    </w:p>
    <w:p w14:paraId="24E34D5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监理人和承包人均应在施工场地各保存一套完整的包含第1.6.1 项、第1.6.2 项、第1.6.3 项约定内容的图纸和承包人文件。</w:t>
      </w:r>
    </w:p>
    <w:p w14:paraId="2925FB02">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1.7 联络</w:t>
      </w:r>
    </w:p>
    <w:p w14:paraId="51FAD36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1.7.1 与合同有关的通知、批准、证明、证书、指示、要求、请求、同意、意见、确定和决定等，均应采用书面形式。</w:t>
      </w:r>
    </w:p>
    <w:p w14:paraId="5BAB2EE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1.7.2 第1.7.1 项中的通知、批准、证明、证书、指示、要求、请求、同意、意见、确定和决定等来往函件，均应在合同约定的期限内送达指定地点和接收人，并办理签收手续。</w:t>
      </w:r>
    </w:p>
    <w:p w14:paraId="300A740B">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1.8 转让</w:t>
      </w:r>
    </w:p>
    <w:p w14:paraId="263CCA7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除合同另有约定外，未经对方当事人同意，一方当事人不得将合同权利全部或部分转让给第三人，也不得全部或部分转移合同义务。</w:t>
      </w:r>
    </w:p>
    <w:p w14:paraId="4416361A">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1.9 严禁贿赂</w:t>
      </w:r>
    </w:p>
    <w:p w14:paraId="0F99A55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合同双方当事人不得以贿赂或变相贿赂的方式，谋取不当利益或损害对方权益。因贿赂造成对方损失的，行为人应赔偿损失，并承担相应的法律责任。</w:t>
      </w:r>
    </w:p>
    <w:p w14:paraId="3AE0E079">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1.10 化石、文物</w:t>
      </w:r>
    </w:p>
    <w:p w14:paraId="3AB4153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64BF5D0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1.10.2 承包人发现文物后不及时报告或隐瞒不报，致使文物丢失或损坏的，应赔偿损失，并承担相应的法律责任。</w:t>
      </w:r>
    </w:p>
    <w:p w14:paraId="5D3F3209">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1.11 专利技术</w:t>
      </w:r>
    </w:p>
    <w:p w14:paraId="4D5ACA2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1.11.1 承包人在使用任何材料、承包人设备、工程设备或采用施工工艺时，因侵犯专利权或其他知识产权所引起的责任，由承包人承担，但由于遵照发包人提供的设计或技术标准和要求引起的除外。</w:t>
      </w:r>
    </w:p>
    <w:p w14:paraId="07C3C70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1.11.2 承包人在投标文件中采用专利技术的，专利技术的使用费包含在投标报价内。</w:t>
      </w:r>
    </w:p>
    <w:p w14:paraId="676D12B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1.11.3 承包人的技术秘密和声明需要保密的资料和信息，发包人和监理人不得为合同以外的目的泄露给他人。</w:t>
      </w:r>
    </w:p>
    <w:p w14:paraId="54928506">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1.12 图纸和文件的保密</w:t>
      </w:r>
    </w:p>
    <w:p w14:paraId="3EE2B71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1.12.1 发包人提供的图纸和文件，未经发包人同意，承包人不得为合同以外的目的泄露给他人或公开发表与引用。</w:t>
      </w:r>
    </w:p>
    <w:p w14:paraId="1F371D9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1.12.2 承包人提供的文件，未经承包人同意，发包人和监理人不得为合同以外的目的泄露给他人或公开发表与引用。</w:t>
      </w:r>
    </w:p>
    <w:p w14:paraId="0373593B">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38" w:name="_Toc196637768"/>
      <w:bookmarkStart w:id="39" w:name="_Toc184635099"/>
      <w:bookmarkStart w:id="40" w:name="_Toc196637650"/>
      <w:bookmarkStart w:id="41" w:name="_Toc196637414"/>
      <w:bookmarkStart w:id="42" w:name="_Toc224699376"/>
      <w:r>
        <w:rPr>
          <w:rFonts w:hint="eastAsia" w:ascii="宋体" w:hAnsi="宋体" w:eastAsia="宋体" w:cs="宋体"/>
          <w:color w:val="auto"/>
          <w:sz w:val="24"/>
          <w:szCs w:val="24"/>
        </w:rPr>
        <w:t>2．发包人义务</w:t>
      </w:r>
      <w:bookmarkEnd w:id="38"/>
      <w:bookmarkEnd w:id="39"/>
      <w:bookmarkEnd w:id="40"/>
      <w:bookmarkEnd w:id="41"/>
      <w:bookmarkEnd w:id="42"/>
    </w:p>
    <w:p w14:paraId="6C26335E">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2.1 遵守法律</w:t>
      </w:r>
    </w:p>
    <w:p w14:paraId="568ED2E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发包人在履行合同过程中应遵守法律，并保证承包人免于承担因发包人违反法律而引起的任何责任。</w:t>
      </w:r>
    </w:p>
    <w:p w14:paraId="641B3071">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2.2 发出开工通知</w:t>
      </w:r>
    </w:p>
    <w:p w14:paraId="38AE729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发包人应委托监理人按第11.1 款的约定向承包人发出开工通知。</w:t>
      </w:r>
    </w:p>
    <w:p w14:paraId="170378BD">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2.3 提供施工场地</w:t>
      </w:r>
    </w:p>
    <w:p w14:paraId="39043EA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发包人应按专用合同条款约定向承包人提供施工场地，以及施工场地内地下管线和地下设施等有关资料，并保证资料的真实、准确、完整。</w:t>
      </w:r>
    </w:p>
    <w:p w14:paraId="364AF7A3">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2.4 协助承包人办理证件和批件</w:t>
      </w:r>
    </w:p>
    <w:p w14:paraId="1CD34E1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发包人应协助承包人办理法律规定的有关施工证件和批件。</w:t>
      </w:r>
    </w:p>
    <w:p w14:paraId="24F71DD6">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2.5 组织设计交底</w:t>
      </w:r>
    </w:p>
    <w:p w14:paraId="44FF226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发包人应根据合同进度计划，组织设计单位向承包人进行设计交底。</w:t>
      </w:r>
    </w:p>
    <w:p w14:paraId="190A8EE0">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2.6 支付合同价款</w:t>
      </w:r>
    </w:p>
    <w:p w14:paraId="4EB44BE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发包人应按合同约定向承包人及时支付合同价款。</w:t>
      </w:r>
    </w:p>
    <w:p w14:paraId="79691AD5">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2.7 组织竣工验收</w:t>
      </w:r>
    </w:p>
    <w:p w14:paraId="40C2D3E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发包人应按合同约定及时组织竣工验收。</w:t>
      </w:r>
    </w:p>
    <w:p w14:paraId="283C8AAD">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2.8 其他义务</w:t>
      </w:r>
    </w:p>
    <w:p w14:paraId="545562A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发包人应履行合同约定的其他义务。</w:t>
      </w:r>
    </w:p>
    <w:p w14:paraId="04A166A7">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43" w:name="_Toc184635100"/>
      <w:bookmarkStart w:id="44" w:name="_Toc196637769"/>
      <w:bookmarkStart w:id="45" w:name="_Toc224699377"/>
      <w:bookmarkStart w:id="46" w:name="_Toc196637415"/>
      <w:bookmarkStart w:id="47" w:name="_Toc196637651"/>
      <w:r>
        <w:rPr>
          <w:rFonts w:hint="eastAsia" w:ascii="宋体" w:hAnsi="宋体" w:eastAsia="宋体" w:cs="宋体"/>
          <w:color w:val="auto"/>
          <w:sz w:val="24"/>
          <w:szCs w:val="24"/>
        </w:rPr>
        <w:t>3、监理人</w:t>
      </w:r>
      <w:bookmarkEnd w:id="43"/>
      <w:bookmarkEnd w:id="44"/>
      <w:bookmarkEnd w:id="45"/>
      <w:bookmarkEnd w:id="46"/>
      <w:bookmarkEnd w:id="47"/>
    </w:p>
    <w:p w14:paraId="77C48A73">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3.1 监理人的职责和权力</w:t>
      </w:r>
    </w:p>
    <w:p w14:paraId="079520D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3.1.1 监理人受发包人委托，享有合同约定的权力。监理人在行使某项权力前需要经发</w:t>
      </w:r>
    </w:p>
    <w:p w14:paraId="0BCE772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包人事先批准而通用合同条款没有指明的，应在专用合同条款中指明。</w:t>
      </w:r>
    </w:p>
    <w:p w14:paraId="1C691C5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3.1.2 监理人发出的任何指示应视为已得到发包人的批准，但监理人无权免除或变更合同约定的发包人和承包人的权利、义务和责任。</w:t>
      </w:r>
    </w:p>
    <w:p w14:paraId="6D1E329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3.1.3 合同约定应由承包人承担的义务和责任，不因监理人对承包人提交文件的审查或批准，对工程、材料和设备的检查和检验，以及为实施监理作出的指示等职务行为而减轻或解除。</w:t>
      </w:r>
    </w:p>
    <w:p w14:paraId="611B7BA6">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3.2 总监理工程师</w:t>
      </w:r>
    </w:p>
    <w:p w14:paraId="080402F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发包人应在发出开工通知前将总监理工程师的任命通知承包人。总监理工程师更换时，应在调离14 天前通知承包人。总监理工程师短期离开施工场地的，应委派代表代行其职责，并通知承包人。</w:t>
      </w:r>
    </w:p>
    <w:p w14:paraId="56A5F1C3">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3.3 监理人员</w:t>
      </w:r>
    </w:p>
    <w:p w14:paraId="05263F7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14:paraId="15EAF8C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3.3.2 监理人员对承包人的任何工作、工程或其采用的材料和工程设备未在约定的或合理的期限内提出否定意见的，视为已获批准，但不影响监理人在以后拒绝该项工作、工程、材料或工程设备的权利。</w:t>
      </w:r>
    </w:p>
    <w:p w14:paraId="47301ED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3.3.3 承包人对总监理工程师授权的监理人员发出的指示有疑问的，可向总监理工程师提出书面异议，总监理工程师应在48小时内对该指示予以确认、更改或撤销。</w:t>
      </w:r>
    </w:p>
    <w:p w14:paraId="0BB10AC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3.3.4 除专用合同条款另有约定外，总监理工程师不应将第3.5 款约定应由总监理工程师作出确定的权力授权或委托给其他监理人员。</w:t>
      </w:r>
    </w:p>
    <w:p w14:paraId="00864403">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3.4 监理人的指示</w:t>
      </w:r>
    </w:p>
    <w:p w14:paraId="50FDD2E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3.4.1 监理人应按第3.1 款的约定向承包人发出指示，监理人的指示应盖有监理人授权的施工场地机构章，并由总监理工程师或总监理工程师按第3.3.1 项约定授权的监理人员签字。</w:t>
      </w:r>
    </w:p>
    <w:p w14:paraId="501ACCA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3.4.2 承包人收到监理人按第3.4.1 项作出的指示后应遵照执行。指示构成变更的，应按第15条处理。</w:t>
      </w:r>
    </w:p>
    <w:p w14:paraId="1C9D991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4B6934A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3.4.4 除合同另有约定外，承包人只从总监理工程师或按第3.3.1 项被授权的监理人员处取得指示。</w:t>
      </w:r>
    </w:p>
    <w:p w14:paraId="248F394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3.4.5 由于监理人未能按合同约定发出指示、指示延误或指示错误而导致承包人费用增加和（或）工期延误的，由发包人承担赔偿责任。</w:t>
      </w:r>
    </w:p>
    <w:p w14:paraId="27380439">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3.5 商定或确定</w:t>
      </w:r>
    </w:p>
    <w:p w14:paraId="4ACF48B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3.5.1 合同约定总监理工程师应按照本款对任何事项进行商定或确定时，总监理工程师应与合同当事人协商，尽量达成一致。不能达成一致的，总监理工程师应认真研究后审慎确定。</w:t>
      </w:r>
    </w:p>
    <w:p w14:paraId="1B900F4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3.5.2 总监理工程师应将商定或确定的事项通知合同当事人，并附详细依据。对总监理工程师的确定有异议的，构成争议，按照第24 条的约定处理。在争议解决前，双方应暂按总监理工程师的确定执行，按照第24 条的约定对总监理工程师的确定作出修改的，按修改后的结果执行。</w:t>
      </w:r>
    </w:p>
    <w:p w14:paraId="7C8B9C8C">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48" w:name="_Toc184635101"/>
      <w:bookmarkStart w:id="49" w:name="_Toc196637416"/>
      <w:bookmarkStart w:id="50" w:name="_Toc224699378"/>
      <w:bookmarkStart w:id="51" w:name="_Toc196637770"/>
      <w:bookmarkStart w:id="52" w:name="_Toc196637652"/>
      <w:r>
        <w:rPr>
          <w:rFonts w:hint="eastAsia" w:ascii="宋体" w:hAnsi="宋体" w:eastAsia="宋体" w:cs="宋体"/>
          <w:color w:val="auto"/>
          <w:sz w:val="24"/>
          <w:szCs w:val="24"/>
        </w:rPr>
        <w:t>4、承包人</w:t>
      </w:r>
      <w:bookmarkEnd w:id="48"/>
      <w:bookmarkEnd w:id="49"/>
      <w:bookmarkEnd w:id="50"/>
      <w:bookmarkEnd w:id="51"/>
      <w:bookmarkEnd w:id="52"/>
    </w:p>
    <w:p w14:paraId="2A8D1A14">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4.1 承包人的一般义务</w:t>
      </w:r>
    </w:p>
    <w:p w14:paraId="569FF59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4.1.1 遵守法律</w:t>
      </w:r>
    </w:p>
    <w:p w14:paraId="7BE3AE3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承包人在履行合同过程中应遵守法律，并保证发包人免于承担因承包人违反法律而引起的任何责任。</w:t>
      </w:r>
    </w:p>
    <w:p w14:paraId="3D9EE0A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4.1.2 依法纳税</w:t>
      </w:r>
    </w:p>
    <w:p w14:paraId="2B6C03B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承包人应按有关法律规定纳税，应缴纳的税金包括在合同价格内。</w:t>
      </w:r>
    </w:p>
    <w:p w14:paraId="51C24DE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4.1.3 完成各项承包工作</w:t>
      </w:r>
    </w:p>
    <w:p w14:paraId="79D770F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承包人应按合同约定以及监理人根据第3.4 款作出的指示，实施、完成全部工程，并修补工程中的任何缺陷。除专用合同条款另有约定外，承包人应提供为完成合同工作所需的劳务、材料、施工设备、工程设备和其他物品，并按合同约定负责临时设施的设计、建造、运行、维护、管理和拆除。</w:t>
      </w:r>
    </w:p>
    <w:p w14:paraId="2364A12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4.1.4 对施工作业和施工方法的完备性负责</w:t>
      </w:r>
    </w:p>
    <w:p w14:paraId="6A12EB0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承包人应按合同约定的工作内容和施工进度要求，编制施工组织设计和施工措施计划，并对所有施工作业和施工方法的完备性和安全可靠性负责。</w:t>
      </w:r>
    </w:p>
    <w:p w14:paraId="59DB479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4.1.5 保证工程施工和人员的安全</w:t>
      </w:r>
    </w:p>
    <w:p w14:paraId="358F1BA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承包人应按第9.2 款约定采取施工安全措施，确保工程及其人员、材料、设备和设施的安全，防止因工程施工造成的人身伤害和财产损失。</w:t>
      </w:r>
    </w:p>
    <w:p w14:paraId="6BE2E98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4.1.6 负责施工场地及其周边环境与生态的保护工作</w:t>
      </w:r>
    </w:p>
    <w:p w14:paraId="28B2B02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承包人应按照第9.4 款约定负责施工场地及其周边环境与生态的保护工作。</w:t>
      </w:r>
    </w:p>
    <w:p w14:paraId="2C76886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4.1.7 避免施工对公众与他人的利益造成损害</w:t>
      </w:r>
    </w:p>
    <w:p w14:paraId="77A4540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69DC61B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4.1.8 为他人提供方便</w:t>
      </w:r>
    </w:p>
    <w:p w14:paraId="7A2CA39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承包人应按监理人的指示为他人在施工场地或附近实施与工程有关的其他各项工作提供可能的条件。除合同另有约定外，提供有关条件的内容和可能发生的费用，由监理人按第3.5 款商定或确定。</w:t>
      </w:r>
    </w:p>
    <w:p w14:paraId="33F26A2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4.1.9 工程的维护和照管</w:t>
      </w:r>
    </w:p>
    <w:p w14:paraId="2AA6763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工程接收证书颁发前，承包人应负责照管和维护工程。工程接收证书颁发时尚有部分未竣工工程的，承包人还应负责该未竣工工程的照管和维护工作，直至竣工后移交给发包人为止。</w:t>
      </w:r>
    </w:p>
    <w:p w14:paraId="726812F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4.1.10 其他义务</w:t>
      </w:r>
    </w:p>
    <w:p w14:paraId="16FCADE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承包人应履行合同约定的其他义务。</w:t>
      </w:r>
    </w:p>
    <w:p w14:paraId="01290625">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4.2 履约担保</w:t>
      </w:r>
    </w:p>
    <w:p w14:paraId="2F76645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承包人应保证其履约担保在发包人颁发工程接收证书前一直有效。发包人应在工程接收证书颁发后28 天内把履约担保退还给承包人。</w:t>
      </w:r>
    </w:p>
    <w:p w14:paraId="1D2A45E7">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4.3 分包</w:t>
      </w:r>
    </w:p>
    <w:p w14:paraId="263B2D7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4.3.1 承包人不得将其承包的全部工程转包给第三人，或将其承包的全部工程肢解后以分包的名义转包给第三人。</w:t>
      </w:r>
    </w:p>
    <w:p w14:paraId="397F3CA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4.3.2 承包人不得将工程主体、关键性工作分包给第三人。除专用合同条款另有约定外，未经发包人同意，承包人不得将工程的其他部分或工作分包给第三人。</w:t>
      </w:r>
    </w:p>
    <w:p w14:paraId="1C6B089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4.3.3 分包人的资格能力应与其分包工程的标准和规模相适应。</w:t>
      </w:r>
    </w:p>
    <w:p w14:paraId="6E09671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4.3.4 按投标函附录约定分包工程的，承包人应向发包人和监理人提交分包合同副本。</w:t>
      </w:r>
    </w:p>
    <w:p w14:paraId="0F9B86D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4.3.5 承包人应与分包人就分包工程向发包人承担连带责任。</w:t>
      </w:r>
    </w:p>
    <w:p w14:paraId="09FD4A96">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4.4 联合体</w:t>
      </w:r>
    </w:p>
    <w:p w14:paraId="2CEEFD5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4.4.1 联合体各方应共同与发包人签订合同协议书。联合体各方应为履行合同承担连带责任。</w:t>
      </w:r>
    </w:p>
    <w:p w14:paraId="7DD0C08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4.4.2 联合体协议经发包人确认后作为合同附件。在履行合同过程中，未经发包人同意，不得修改联合体协议。</w:t>
      </w:r>
    </w:p>
    <w:p w14:paraId="7D4B625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4.4.3 联合体牵头人负责与发包人和监理人联系，并接受指示，负责组织联合体各成员全面履行合同。</w:t>
      </w:r>
    </w:p>
    <w:p w14:paraId="464EBCD2">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4.5 承包人项目经理</w:t>
      </w:r>
    </w:p>
    <w:p w14:paraId="7046AE2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4.5.1 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0F75463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4.5.2 承包人项目经理应按合同约定以及监理人按第3.4 款作出的指示，负责组织合同工程的实施。在情况紧急且无法与监理人取得联系时，可采取保证工程和人员生命财产安全的紧急措施，并在采取措施后24小时内向监理人提交书面报告。</w:t>
      </w:r>
    </w:p>
    <w:p w14:paraId="2D49F9C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4.5.3 承包人为履行合同发出的一切函件均应盖有承包人授权的施工场地管理机构章，并由承包人项目经理或其授权代表签字。</w:t>
      </w:r>
    </w:p>
    <w:p w14:paraId="0D9B99E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4.5.4 承包人项目经理可以授权其下属人员履行其某项职责，但事先应将这些人员的姓名和授权范围通知监理人。</w:t>
      </w:r>
    </w:p>
    <w:p w14:paraId="78065C7F">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4.6 承包人人员的管理</w:t>
      </w:r>
    </w:p>
    <w:p w14:paraId="75D6A91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5111549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4.6.2 为完成合同约定的各项工作，承包人应向施工场地派遣或雇佣足够数量的下列人员：</w:t>
      </w:r>
    </w:p>
    <w:p w14:paraId="7B41F12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(1）具有相应资格的专业技工和合格的普工；</w:t>
      </w:r>
    </w:p>
    <w:p w14:paraId="0E7A693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(2）具有相应施工经验的技术人员；</w:t>
      </w:r>
    </w:p>
    <w:p w14:paraId="6A07D42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(3）具有相应岗位资格的各级管理人员。</w:t>
      </w:r>
    </w:p>
    <w:p w14:paraId="174E392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4.6.3 承包人安排在施工场地的主要管理人员和技术骨干应相对稳定。承包人更换主要管理人员和技术骨干时，应取得监理人的同意。</w:t>
      </w:r>
    </w:p>
    <w:p w14:paraId="6F8284E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4.6.4 特殊岗位的工作人员均应持有相应的资格证明，监理人有权随时检查。监理人认为有必要时，可进行现场考核。</w:t>
      </w:r>
    </w:p>
    <w:p w14:paraId="6FC6F822">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4.7 撤换承包人项目经理和其他人员</w:t>
      </w:r>
    </w:p>
    <w:p w14:paraId="3559915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承包人应对其项目经理和其他人员进行有效管理。监理人要求撤换不能胜任本职工作、行为不端或玩忽职守的承包人项目经理和其他人员的，承包人应予以撤换。</w:t>
      </w:r>
    </w:p>
    <w:p w14:paraId="45AF0D9F">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4.8 保障承包人人员的合法权益</w:t>
      </w:r>
    </w:p>
    <w:p w14:paraId="70BA4D2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4.8.1 承包人应与其雇佣的人员签订劳动合同，并按时发放工资。</w:t>
      </w:r>
    </w:p>
    <w:p w14:paraId="7943529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4.8.2 承包人应按劳动法的规定安排工作时间，保证其雇佣人员享有休息和休假的权利。因工程施工的特殊需要占用休假日或延长工作时间的，应不超过法律规定的限度，并按法律规定给予补休或付酬。</w:t>
      </w:r>
    </w:p>
    <w:p w14:paraId="4652680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4.8.3 承包人应为其雇佣人员提供必要的食宿条件，以及符合环境保护和卫生要求的生活环境，在远离城镇的施工场地，还应配备必要的伤病防治和急救的医务人员与医疗设施。</w:t>
      </w:r>
    </w:p>
    <w:p w14:paraId="2ACBC6A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7C76085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4.8.5 承包人应按有关法律规定和合同约定，为其雇佣人员办理保险。</w:t>
      </w:r>
    </w:p>
    <w:p w14:paraId="74615C0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4.8.6 承包人应负责处理其雇佣人员因工伤亡事故的善后事宜。</w:t>
      </w:r>
    </w:p>
    <w:p w14:paraId="691F1AD7">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4.9 工程价款应专款专用</w:t>
      </w:r>
    </w:p>
    <w:p w14:paraId="6C3DEDC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发包人按合同约定支付给承包人的各项价款应专用于合同工程。</w:t>
      </w:r>
    </w:p>
    <w:p w14:paraId="42C56E49">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4.10 承包人现场查勘</w:t>
      </w:r>
    </w:p>
    <w:p w14:paraId="1BAF3D4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4.10.1 发包人应将其持有的现场地质勘探资料、水文气象资料提供给承包人，并对其准确性负责。但承包人应对其阅读上述有关资料后所作出的解释和推断负责。</w:t>
      </w:r>
    </w:p>
    <w:p w14:paraId="3EEE68B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4.10.2 承包人应对施工场地和周围环境进行查勘，并收集有关地质、水文、气象条件、交通条件、风俗习惯以及其他为完成合同工作有关的当地资料。在全部合同工作中，应视为承包人已充分估计了应承担的责任和风险。</w:t>
      </w:r>
    </w:p>
    <w:p w14:paraId="1CD47D2A">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4.11 不利物质条件</w:t>
      </w:r>
    </w:p>
    <w:p w14:paraId="2219C74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4.11.1 不利物质条件，除专用合同条款另有约定外，是指承包人在施工场地遇到的不可预见的自然物质条件、非自然的物质障碍和污染物，包括地下和水文条件，但不包括气候条件。</w:t>
      </w:r>
    </w:p>
    <w:p w14:paraId="0C78AC5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4.11.2 承包人遇到不利物质条件时，应采取适应不利物质条件的合理措施继续施工，并及时通知监理人。监理人应当及时发出指示，指示构成变更的，按第15条约定办理。监理人没有发出指示的，承包人因采取合理措施而增加的费用和（或）工期延误，由发包人承担。</w:t>
      </w:r>
    </w:p>
    <w:p w14:paraId="5F3FD58C">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53" w:name="_Toc196637771"/>
      <w:bookmarkStart w:id="54" w:name="_Toc196637417"/>
      <w:bookmarkStart w:id="55" w:name="_Toc184635102"/>
      <w:bookmarkStart w:id="56" w:name="_Toc196637653"/>
      <w:bookmarkStart w:id="57" w:name="_Toc224699379"/>
      <w:r>
        <w:rPr>
          <w:rFonts w:hint="eastAsia" w:ascii="宋体" w:hAnsi="宋体" w:eastAsia="宋体" w:cs="宋体"/>
          <w:color w:val="auto"/>
          <w:sz w:val="24"/>
          <w:szCs w:val="24"/>
        </w:rPr>
        <w:t>5．材料和工程设备</w:t>
      </w:r>
      <w:bookmarkEnd w:id="53"/>
      <w:bookmarkEnd w:id="54"/>
      <w:bookmarkEnd w:id="55"/>
      <w:bookmarkEnd w:id="56"/>
      <w:bookmarkEnd w:id="57"/>
    </w:p>
    <w:p w14:paraId="126A01ED">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5.1 承包人提供的材料和工程设备</w:t>
      </w:r>
    </w:p>
    <w:p w14:paraId="5BE3623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5.1.1 除专用合同条款另有约定外，承包人提供的材料和工程设备均由承包人负责采购、运输和保管。承包人应对其采购的材料和工程设备负责。</w:t>
      </w:r>
    </w:p>
    <w:p w14:paraId="1205EB3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5.1.2 承包人应按专用合同条款的约定，将各项材料和工程设备的供货人及品种、规格、数量和供货时间等报送监理人审批。承包人应向监理人提交其负责提供的材料和工程设备的质量证明文件，并满足合同约定的质量标准。</w:t>
      </w:r>
    </w:p>
    <w:p w14:paraId="7631591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5.1.3 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p>
    <w:p w14:paraId="072F4682">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5.2 发包人提供的材料和工程设备</w:t>
      </w:r>
    </w:p>
    <w:p w14:paraId="5F0DA6B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5.2.1 发包人提供的材料和工程设备，应在专用合同条款中写明材料和工程设备的名称、规格、数量、价格、交货方式、交货地点和计划交货日期等。</w:t>
      </w:r>
    </w:p>
    <w:p w14:paraId="0177C3D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5.2.2 承包人应根据合同进度计划的安排，向监理人报送要求发包人交货的日期计划。发包人应按照监理人与合同双方当事人商定的交货日期，向承包人提交材料和工程设备。</w:t>
      </w:r>
    </w:p>
    <w:p w14:paraId="61CABDD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5.2.3</w:t>
      </w:r>
      <w:r>
        <w:rPr>
          <w:rFonts w:hint="eastAsia" w:ascii="宋体" w:hAnsi="宋体" w:eastAsia="宋体" w:cs="宋体"/>
          <w:color w:val="auto"/>
          <w:sz w:val="24"/>
          <w:szCs w:val="24"/>
        </w:rPr>
        <w:t>发包人应在材料和工程设备到货7 天前通知承包人，承包人应会同监理人在约定的时间内，赴交货地点共同进行验收。除专用合同条款另有约定外，发包人提供的材料和工程设备验收后，由承包人负责接收、运输和保管。</w:t>
      </w:r>
    </w:p>
    <w:p w14:paraId="4C1B0AF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5.2.4 发包人要求向承包人提前交货的，承包人不得拒绝，但发包人应承担承包人由此增加的费用。</w:t>
      </w:r>
    </w:p>
    <w:p w14:paraId="08F6B15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5.2.5 承包人要求更改交货日期或地点的，应事先报请监理人批准。由于承包人要求更改交货时间或地点所增加的费用和（或）工期延误由承包人承担。</w:t>
      </w:r>
    </w:p>
    <w:p w14:paraId="0A2927E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5.2.6 发包人提供的材料和工程设备的规格、数量或质量不符合合同要求，或由于发包人原因发生交货日期延误及交货地点变更等情况的，发包人应承担由此增加的费用和（或）工期延误，并向承包人支付合理利润。</w:t>
      </w:r>
    </w:p>
    <w:p w14:paraId="1F1ACAE9">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5.3 材料和工程设备专用于合同工程</w:t>
      </w:r>
    </w:p>
    <w:p w14:paraId="02453D1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5.3.1 运入施工场地的材料、工程设备，包括备品备件、安装专用工器具与随机资料，必须专用于合同工程，未经监理人同意，承包人不得运出施工场地或挪作他用。</w:t>
      </w:r>
    </w:p>
    <w:p w14:paraId="42E7756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5.3.2 随同工程设备运入施工场地的备品备件、专用工器具与随机资料，应由承包人会同监理人按供货人的装箱单清点后共同封存，未经监理人同意不得启用。承包人因合同工作需要使用上述物品时，应向监理人提出申请。</w:t>
      </w:r>
    </w:p>
    <w:p w14:paraId="13034D35">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5.4 禁止使用不合格的材料和工程设备</w:t>
      </w:r>
    </w:p>
    <w:p w14:paraId="72B75BF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5.4.1 监理人有权拒绝承包人提供的不合格材料或工程设备，并要求承包人立即进行更换。监理人应在更换后再次进行检查和检验，由此增加的费用和（或）工期延误由承包人承担。</w:t>
      </w:r>
    </w:p>
    <w:p w14:paraId="4FC9C6F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5.4.2 监理人发现承包人使用了不合格的材料和工程设备，应即时发出指示要求承包人立即改正，并禁止在工程中继续使用不合格的材料和工程设备。</w:t>
      </w:r>
    </w:p>
    <w:p w14:paraId="22EDE25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5.4.3 发包人提供的材料或工程设备不符合合同要求的，承包人有权拒绝，并可要求发包人更换，由此增加的费用和（或）工期延误由发包人承担。</w:t>
      </w:r>
    </w:p>
    <w:p w14:paraId="75FADD25">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58" w:name="_Toc196637772"/>
      <w:bookmarkStart w:id="59" w:name="_Toc196637418"/>
      <w:bookmarkStart w:id="60" w:name="_Toc184635103"/>
      <w:bookmarkStart w:id="61" w:name="_Toc196637654"/>
      <w:bookmarkStart w:id="62" w:name="_Toc224699380"/>
      <w:r>
        <w:rPr>
          <w:rFonts w:hint="eastAsia" w:ascii="宋体" w:hAnsi="宋体" w:eastAsia="宋体" w:cs="宋体"/>
          <w:color w:val="auto"/>
          <w:sz w:val="24"/>
          <w:szCs w:val="24"/>
        </w:rPr>
        <w:t>6、施工设备和临时设施</w:t>
      </w:r>
      <w:bookmarkEnd w:id="58"/>
      <w:bookmarkEnd w:id="59"/>
      <w:bookmarkEnd w:id="60"/>
      <w:bookmarkEnd w:id="61"/>
      <w:bookmarkEnd w:id="62"/>
    </w:p>
    <w:p w14:paraId="6FAF0BB2">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6.1 承包人提供的施工设备和临时设施</w:t>
      </w:r>
    </w:p>
    <w:p w14:paraId="218053B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6.1.1 承包人应按合同进度计划的要求，及时配置施工设备和修建临时设施。进入施工场地的承包人设备需经监理人核查后才能投入使用。承包人更换合同约定的承包人设备的，应报监理人批准。</w:t>
      </w:r>
    </w:p>
    <w:p w14:paraId="4EB51DD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6.1.2 除专用合同条款另有约定外，承包人应自行承担修建临时设施的费用，需要临时占地的，应由发包人办理申请手续并承担相应费用。</w:t>
      </w:r>
    </w:p>
    <w:p w14:paraId="77246C61">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6.2 发包人提供的施工设备和临时设施</w:t>
      </w:r>
    </w:p>
    <w:p w14:paraId="18C4EED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发包人提供的施工设备或临时设施在专用合同条款中约定。</w:t>
      </w:r>
    </w:p>
    <w:p w14:paraId="0E27D134">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6.3 要求承包人增加或更换施工设备</w:t>
      </w:r>
    </w:p>
    <w:p w14:paraId="5B806CC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承包人使用的施工设备不能满足合同进度计划和（或）质量要求时，监理人有权要求承包人增加或更换施工设备，承包人应及时增加或更换，由此增加的费用和（或）工期延误由承包人承担。</w:t>
      </w:r>
    </w:p>
    <w:p w14:paraId="49247231">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6.4 施工设备和临时设施专用于合同工程</w:t>
      </w:r>
    </w:p>
    <w:p w14:paraId="27B771E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6.4.1 除合同另有约定外，运入施工场地的所有施工设备以及在施工场地建设的临时设施应专用于合同工程。未经监理人同意，不得将上述施工设备和临时设施中的任何部分运出施工场地或挪作他用。</w:t>
      </w:r>
    </w:p>
    <w:p w14:paraId="0B8947B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6.4.2 经监理人同意，承包人可根据合同进度计划撤走闲置的施工设备。</w:t>
      </w:r>
    </w:p>
    <w:p w14:paraId="17365A53">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63" w:name="_Toc196637655"/>
      <w:bookmarkStart w:id="64" w:name="_Toc184635104"/>
      <w:bookmarkStart w:id="65" w:name="_Toc196637773"/>
      <w:bookmarkStart w:id="66" w:name="_Toc224699381"/>
      <w:bookmarkStart w:id="67" w:name="_Toc196637419"/>
      <w:r>
        <w:rPr>
          <w:rFonts w:hint="eastAsia" w:ascii="宋体" w:hAnsi="宋体" w:eastAsia="宋体" w:cs="宋体"/>
          <w:color w:val="auto"/>
          <w:sz w:val="24"/>
          <w:szCs w:val="24"/>
        </w:rPr>
        <w:t>7．交通运输</w:t>
      </w:r>
      <w:bookmarkEnd w:id="63"/>
      <w:bookmarkEnd w:id="64"/>
      <w:bookmarkEnd w:id="65"/>
      <w:bookmarkEnd w:id="66"/>
      <w:bookmarkEnd w:id="67"/>
    </w:p>
    <w:p w14:paraId="3AEF7034">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7.1 道路通行权和场外设施</w:t>
      </w:r>
    </w:p>
    <w:p w14:paraId="31CBE48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除专用合同条款另有约定外，发包人应根据合同工程的施工需要，负责办理取得出入施工场地的专用和临时道路的通行权，以及取得为工程建设所需修建场外设施的权利，并承担有关费用。承包人应协助发包人办理上述手续。</w:t>
      </w:r>
    </w:p>
    <w:p w14:paraId="39D0CBB0">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7.2 场内施工道路</w:t>
      </w:r>
    </w:p>
    <w:p w14:paraId="2F48C46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7.2.1 除专用合同条款另有约定外，承包人应负责修建、维修、养护和管理施工所需的临时道路和交通设施，包括维修、养护和管理发包人提供的道路和交通设施，并承担相应费用。</w:t>
      </w:r>
    </w:p>
    <w:p w14:paraId="5E0E18D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7.2.2 除专用合同条款另有约定外，承包人修建的临时道路和交通设施应免费提供发包人和监理人使用。</w:t>
      </w:r>
    </w:p>
    <w:p w14:paraId="7C4D7365">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7.3 场外交通</w:t>
      </w:r>
    </w:p>
    <w:p w14:paraId="67093F6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7.3.1 承包人车辆外出行驶所需的场外公共道路的通行费、养路费和税款等由承包人承担。</w:t>
      </w:r>
    </w:p>
    <w:p w14:paraId="060100F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7.3.2 承包人应遵守有关交通法规，严格按照道路和桥梁的限制荷重安全行驶，并服从交通管理部门的检查和监督。</w:t>
      </w:r>
    </w:p>
    <w:p w14:paraId="7161EB4E">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7.4 超大件和超重件的运输</w:t>
      </w:r>
    </w:p>
    <w:p w14:paraId="4A648FD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14:paraId="3E9EF144">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7.5 道路和桥梁的损坏责任</w:t>
      </w:r>
    </w:p>
    <w:p w14:paraId="395C282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因承包人运输造成施工场地内外公共道路和桥梁损坏的，由承包人承担修复损坏的全部费用和可能引起的赔偿。</w:t>
      </w:r>
    </w:p>
    <w:p w14:paraId="1F7C9068">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7.6 水路和航空运输</w:t>
      </w:r>
    </w:p>
    <w:p w14:paraId="2CB1857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本条上述各款的内容适用于水路运输和航空运输，其中“道路”一词的涵义包括河道、航线、船闸、机场、码头、堤防以及水路或航空运输中其他相似结构物；“车辆”一词的涵义包括船舶和飞机等。</w:t>
      </w:r>
    </w:p>
    <w:p w14:paraId="72BAE777">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68" w:name="_Toc184635105"/>
      <w:bookmarkStart w:id="69" w:name="_Toc224699382"/>
      <w:bookmarkStart w:id="70" w:name="_Toc196637774"/>
      <w:bookmarkStart w:id="71" w:name="_Toc196637420"/>
      <w:bookmarkStart w:id="72" w:name="_Toc196637656"/>
      <w:r>
        <w:rPr>
          <w:rFonts w:hint="eastAsia" w:ascii="宋体" w:hAnsi="宋体" w:eastAsia="宋体" w:cs="宋体"/>
          <w:color w:val="auto"/>
          <w:sz w:val="24"/>
          <w:szCs w:val="24"/>
        </w:rPr>
        <w:t>8．测量放线</w:t>
      </w:r>
      <w:bookmarkEnd w:id="68"/>
      <w:bookmarkEnd w:id="69"/>
      <w:bookmarkEnd w:id="70"/>
      <w:bookmarkEnd w:id="71"/>
      <w:bookmarkEnd w:id="72"/>
    </w:p>
    <w:p w14:paraId="77E0F84C">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8.1 施工控制网</w:t>
      </w:r>
    </w:p>
    <w:p w14:paraId="2BB3F68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8.1.1 发包人应在专用合同条款约定的期限内，通过监理人向承包人提供测量基准点、基准线和水准点及其书面资料。除专用合同条款另有约定外，承包人应根据国家测绘基准、测绘系统和工程测量技术规范，按上述基准点（线）以及合同工程精度要求，测设施工控制网，并在专用合同条款约定的期限内，将施工控制网资料报送监理人审批。</w:t>
      </w:r>
    </w:p>
    <w:p w14:paraId="59B66D2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8.1.2 承包人应负责管理施工控制网点。施工控制网点丢失或损坏的，承包人应及时修复。承包人应承担施工控制网点的管理与修复费用，并在工程竣工后将施工控制网点移交发包人。</w:t>
      </w:r>
    </w:p>
    <w:p w14:paraId="290B1408">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8.2 施工测量</w:t>
      </w:r>
    </w:p>
    <w:p w14:paraId="237F5E8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8.2.1 承包人应负责施工过程中的全部施工测量放线工作，并配置合格的人员、仪器、设备和其他物品。</w:t>
      </w:r>
    </w:p>
    <w:p w14:paraId="2A99CBA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8.2.2 监理人可以指示承包人进行抽样复测，当复测中发现错误或出现超过合同约定的误差时，承包人应按监理人指示进行修正或补测，并承担相应的复测费用。</w:t>
      </w:r>
    </w:p>
    <w:p w14:paraId="162FB0A5">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8.3 基准资料错误的责任</w:t>
      </w:r>
    </w:p>
    <w:p w14:paraId="1CCC3E8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p>
    <w:p w14:paraId="7235CD06">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8.4 监理人使用施工控制网</w:t>
      </w:r>
    </w:p>
    <w:p w14:paraId="4153A07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监理人需要使用施工控制网的，承包人应提供必要的协助，发包人不再为此支付费用。</w:t>
      </w:r>
    </w:p>
    <w:p w14:paraId="123AB4F3">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73" w:name="_Toc196637775"/>
      <w:bookmarkStart w:id="74" w:name="_Toc196637657"/>
      <w:bookmarkStart w:id="75" w:name="_Toc196637421"/>
      <w:bookmarkStart w:id="76" w:name="_Toc224699383"/>
      <w:bookmarkStart w:id="77" w:name="_Toc184635106"/>
      <w:r>
        <w:rPr>
          <w:rFonts w:hint="eastAsia" w:ascii="宋体" w:hAnsi="宋体" w:eastAsia="宋体" w:cs="宋体"/>
          <w:color w:val="auto"/>
          <w:sz w:val="24"/>
          <w:szCs w:val="24"/>
        </w:rPr>
        <w:t>9．施工安全、治安保卫和环境保护</w:t>
      </w:r>
      <w:bookmarkEnd w:id="73"/>
      <w:bookmarkEnd w:id="74"/>
      <w:bookmarkEnd w:id="75"/>
      <w:bookmarkEnd w:id="76"/>
      <w:bookmarkEnd w:id="77"/>
    </w:p>
    <w:p w14:paraId="76111BED">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9.1 发包人的施工安全责任</w:t>
      </w:r>
    </w:p>
    <w:p w14:paraId="740F060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9.1.1 发包人应按合同约定履行安全职责，授权监理人按合同约定的安全工作内容监督、检查承包人安全工作的实施，组织承包人和有关单位进行安全检查。</w:t>
      </w:r>
    </w:p>
    <w:p w14:paraId="0941D0D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9.1.2 发包人应对其现场机构雇佣的全部人员的工伤事故承担责任，但由于承包人原因造成发包人人员工伤的，应由承包人承担责任。</w:t>
      </w:r>
    </w:p>
    <w:p w14:paraId="75970D0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9.1.3 发包人应负责赔偿以下各种情况造成的第三者人身伤亡和财产损失：</w:t>
      </w:r>
    </w:p>
    <w:p w14:paraId="2C84FFE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(l）工程或工程的任何部分对土地的占用所造成的第三者财产损失；</w:t>
      </w:r>
    </w:p>
    <w:p w14:paraId="6FDC788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(2）由于发包人原因在施工场地及其毗邻地带造成的第三者人身伤亡和财产损失。</w:t>
      </w:r>
    </w:p>
    <w:p w14:paraId="34F79950">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9.2 承包人的施工安全责任</w:t>
      </w:r>
    </w:p>
    <w:p w14:paraId="04F67F3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9.2.1 承包人应按合同约定履行安全职责，执行监理人有关安全工作的指示，并在专用合同条款约定的期限内，按合同约定的安全工作内容，编制施工安全措施计划报送监理人审批。</w:t>
      </w:r>
    </w:p>
    <w:p w14:paraId="655D5DD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9.2.2 承包人应加强施工作业安全管理，特别应加强易燃、易爆材料、火工器材、有毒与腐蚀性材料和其他危险品的管理，以及对爆破作业和地下工程施工等危险作业的管理。</w:t>
      </w:r>
    </w:p>
    <w:p w14:paraId="24FD33A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9.2.3 承包人应严格按照国家安全标准制定施工安全操作规程，配备必要的安全生产和劳动保护设施，加强对承包人人员的安全教育，并发放安全工作手册和劳动保护用具。</w:t>
      </w:r>
    </w:p>
    <w:p w14:paraId="7DBB703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9.2.4 承包人应按监理人的指示制定应对灾害的紧急预案，报送监理人审批。承包人还应按预案做好安全检查，配置必要的救助物资和器材，切实保护好有关人员的人身和财产安全。</w:t>
      </w:r>
    </w:p>
    <w:p w14:paraId="500F7D8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9.2.5 合同约定的安全作业环境及安全施工措施所需费用应遵守有关规定，并包括在相关工作的合同价格中。因采取合同未约定的安全作业环境及安全施工措施增加的费用，由监理人按第3.5 款商定或确定。</w:t>
      </w:r>
    </w:p>
    <w:p w14:paraId="12B6CB3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9.2.6 承包人应对其履行合同所雇佣的全部人员，包括分包人人员的工伤事故承担责任，但由于发包人原因造成承包人人员工伤事故的，应由发包人承担责任。</w:t>
      </w:r>
    </w:p>
    <w:p w14:paraId="368C87B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9.2.7 由于承包人原因在施工场地内及其毗邻地带造成的第三者人员伤亡和财产损失，由承包人负责赔偿。</w:t>
      </w:r>
    </w:p>
    <w:p w14:paraId="3DA172BA">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9.3 治安保卫</w:t>
      </w:r>
    </w:p>
    <w:p w14:paraId="035EE0D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9.3.1 除合同另有约定外，发包人应与当地公安部门协商，在现场建立治安管理机构或联防组织，统一管理施工场地的治安保卫事项，履行合同工程的治安保卫职责。</w:t>
      </w:r>
    </w:p>
    <w:p w14:paraId="4EEC3AD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9.3.2 发包人和承包人除应协助现场治安管理机构或联防组织维护施工场地的社会治安外，还应做好包括生活区在内的各自管辖区的治安保卫工作。</w:t>
      </w:r>
    </w:p>
    <w:p w14:paraId="1A1E92A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p>
    <w:p w14:paraId="589C0AFC">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9.4 环境保护</w:t>
      </w:r>
    </w:p>
    <w:p w14:paraId="3C5EF06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9.4.1 承包人在施工过程中，应遵守有关环境保护的法律，履行合同约定的环境保护义务，并对违反法律和合同约定义务所造成的环境破坏、人身伤害和财产损失负责。</w:t>
      </w:r>
    </w:p>
    <w:p w14:paraId="5E30C09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9.4.2 承包人应按合同约定的环保工作内容，编制施工环保措施计划，报送监理人审批。</w:t>
      </w:r>
    </w:p>
    <w:p w14:paraId="709FF8F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31E68B9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9.4.4 承包人应按合同约定采取有效措施，对施工开挖的边坡及时进行支护，维护排水设施，并进行水土保护，避免因施工造成的地质灾害。</w:t>
      </w:r>
    </w:p>
    <w:p w14:paraId="3A208EF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9.4.5 承包人应按国家饮用水管理标准定期对饮用水源进行监测，防止施工活动污染饮用水源。</w:t>
      </w:r>
    </w:p>
    <w:p w14:paraId="568CBC2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9.4.6 承包人应按合同约定，加强对噪声、粉尘、废气、废水和废油的控制，努力降低噪声，控制粉尘和废气浓度，做好废水和废油的治理和排放。</w:t>
      </w:r>
    </w:p>
    <w:p w14:paraId="53696A4F">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9.5 事故处理</w:t>
      </w:r>
    </w:p>
    <w:p w14:paraId="1D68E3E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p>
    <w:p w14:paraId="51131C72">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78" w:name="_Toc196637658"/>
      <w:bookmarkStart w:id="79" w:name="_Toc184635107"/>
      <w:bookmarkStart w:id="80" w:name="_Toc196637422"/>
      <w:bookmarkStart w:id="81" w:name="_Toc196637776"/>
      <w:bookmarkStart w:id="82" w:name="_Toc224699384"/>
      <w:r>
        <w:rPr>
          <w:rFonts w:hint="eastAsia" w:ascii="宋体" w:hAnsi="宋体" w:eastAsia="宋体" w:cs="宋体"/>
          <w:color w:val="auto"/>
          <w:sz w:val="24"/>
          <w:szCs w:val="24"/>
        </w:rPr>
        <w:t>10．进度计划</w:t>
      </w:r>
      <w:bookmarkEnd w:id="78"/>
      <w:bookmarkEnd w:id="79"/>
      <w:bookmarkEnd w:id="80"/>
      <w:bookmarkEnd w:id="81"/>
      <w:bookmarkEnd w:id="82"/>
    </w:p>
    <w:p w14:paraId="7CA23C25">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10.1 合同进度计划</w:t>
      </w:r>
    </w:p>
    <w:p w14:paraId="0DC84CC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按专用合同条款约定的内容和期限，编制详细的施工进度计划和施工方案说明报送监理人。监理人应在专用合同条款约定的期限内批复或提出修改意见，否则该进度计划视为已得到批准。经监理人批准的施工进度计划称合同进度计划，是控制合同工程进度的依据。承包人还应根据合同进度计划，编制更为详细的分阶段或分项进度计划，报监理人审批。</w:t>
      </w:r>
    </w:p>
    <w:p w14:paraId="2BA83C19">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10.2 合同进度计划的修订</w:t>
      </w:r>
    </w:p>
    <w:p w14:paraId="044AF4B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不论何种原因造成工程的实际进度与第10.1 款的合同进度计划不符时，承包人可以在专用合同条款约定的期限内向监理人提交修订合同进度计划的申请报告，并附有关措施和相关资料，报监理人审批；监理人也可以直接向承包人作出修订合同进度计划的指示，承包人应按该指示修订合同进度计划，报监理人审批。监理人应在专用合同条款约定的期限内批复。监理人在批复前应获得发包人同意。</w:t>
      </w:r>
    </w:p>
    <w:p w14:paraId="7440247F">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83" w:name="_Toc184635108"/>
      <w:bookmarkStart w:id="84" w:name="_Toc196637659"/>
      <w:bookmarkStart w:id="85" w:name="_Toc196637777"/>
      <w:bookmarkStart w:id="86" w:name="_Toc224699385"/>
      <w:bookmarkStart w:id="87" w:name="_Toc196637423"/>
      <w:r>
        <w:rPr>
          <w:rFonts w:hint="eastAsia" w:ascii="宋体" w:hAnsi="宋体" w:eastAsia="宋体" w:cs="宋体"/>
          <w:color w:val="auto"/>
          <w:sz w:val="24"/>
          <w:szCs w:val="24"/>
        </w:rPr>
        <w:t>11、开工和竣工</w:t>
      </w:r>
      <w:bookmarkEnd w:id="83"/>
      <w:bookmarkEnd w:id="84"/>
      <w:bookmarkEnd w:id="85"/>
      <w:bookmarkEnd w:id="86"/>
      <w:bookmarkEnd w:id="87"/>
    </w:p>
    <w:p w14:paraId="3505EE10">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11.1 开工</w:t>
      </w:r>
    </w:p>
    <w:p w14:paraId="19DB77A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11.1.1 监理人应在开工日期7 天前向承包人发出开工通知。监理人在发出开工通知前应获得发包人同意。工期自监理人发出的开工通知中载明的开工日期起计算。承包人应在开工日期后尽快施工。</w:t>
      </w:r>
    </w:p>
    <w:p w14:paraId="3CECB3E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11.1.2 承包人应按第10.1 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p>
    <w:p w14:paraId="3EE0DDCF">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11.2 竣工</w:t>
      </w:r>
    </w:p>
    <w:p w14:paraId="60679B1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承包人应在第1.1.4.3 目约定的期限内完成合同工程。实际竣工日期在接收证书中写明。</w:t>
      </w:r>
    </w:p>
    <w:p w14:paraId="51A6DAA0">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11.3 发包人的工期延误</w:t>
      </w:r>
    </w:p>
    <w:p w14:paraId="679E8C5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在履行合同过程中，由于发包人的下列原因造成工期延误的，承包人有权要求发包人延长工期和（或）增加费用，并支付合理利润。需要修订合同进度计划的，按照第10.2 款的约定办理。</w:t>
      </w:r>
    </w:p>
    <w:p w14:paraId="6663DF0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(l）增加合同工作内容；</w:t>
      </w:r>
    </w:p>
    <w:p w14:paraId="434A8F1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(2）改变合同中任何一项工作的质量要求或其他特性；</w:t>
      </w:r>
    </w:p>
    <w:p w14:paraId="3ABE046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(3）发包人迟延提供材料、工程设备或变更交货地点的；</w:t>
      </w:r>
    </w:p>
    <w:p w14:paraId="1EC0983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(4）因发包人原因导致的暂停施工；</w:t>
      </w:r>
    </w:p>
    <w:p w14:paraId="6B44FE2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(5）提供图纸延误；</w:t>
      </w:r>
    </w:p>
    <w:p w14:paraId="6AC0723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(6）未按合同约定及时支付预付款、进度款；</w:t>
      </w:r>
    </w:p>
    <w:p w14:paraId="5B7FF21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(7）发包人造成工期延误的其他原因。</w:t>
      </w:r>
    </w:p>
    <w:p w14:paraId="245CBDF2">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11.4 异常恶劣的气候条件</w:t>
      </w:r>
    </w:p>
    <w:p w14:paraId="254352B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由于出现专用合同条款规定的异常恶劣气候的条件导致工期延误的，承包人有权要求发包人延长工期。</w:t>
      </w:r>
    </w:p>
    <w:p w14:paraId="64393B9D">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11.5 承包人的工期延误</w:t>
      </w:r>
    </w:p>
    <w:p w14:paraId="6D35EE0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p>
    <w:p w14:paraId="0E003CC0">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11.6 工期提前</w:t>
      </w:r>
    </w:p>
    <w:p w14:paraId="496A97A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要求承包人提前竣工，或承包人提出提前竣工的建议能够给发包人带来效益的，应由监理人与承包人共同协商采取加快工程进度的措施和修订合同进度计划。发包人应承担承包人由此增加的费用，并向承包人支付专用合同条款约定的相应奖金。</w:t>
      </w:r>
    </w:p>
    <w:p w14:paraId="08F82E91">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88" w:name="_Toc184635109"/>
      <w:bookmarkStart w:id="89" w:name="_Toc224699386"/>
      <w:bookmarkStart w:id="90" w:name="_Toc196637424"/>
      <w:bookmarkStart w:id="91" w:name="_Toc196637660"/>
      <w:bookmarkStart w:id="92" w:name="_Toc196637778"/>
      <w:r>
        <w:rPr>
          <w:rFonts w:hint="eastAsia" w:ascii="宋体" w:hAnsi="宋体" w:eastAsia="宋体" w:cs="宋体"/>
          <w:color w:val="auto"/>
          <w:sz w:val="24"/>
          <w:szCs w:val="24"/>
        </w:rPr>
        <w:t>12．暂停施工</w:t>
      </w:r>
      <w:bookmarkEnd w:id="88"/>
      <w:bookmarkEnd w:id="89"/>
      <w:bookmarkEnd w:id="90"/>
      <w:bookmarkEnd w:id="91"/>
      <w:bookmarkEnd w:id="92"/>
    </w:p>
    <w:p w14:paraId="071D4BE3">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12.1 承包人暂停施工的责任</w:t>
      </w:r>
    </w:p>
    <w:p w14:paraId="0D8FDD4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因下列暂停施工增加的费用和（或）工期延误由承包人承担：</w:t>
      </w:r>
    </w:p>
    <w:p w14:paraId="56C1621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(1）承包人违约引起的暂停施工；</w:t>
      </w:r>
    </w:p>
    <w:p w14:paraId="544539E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(2）由于承包人原因为工程合理施工和安全保障所必需的暂停施工；</w:t>
      </w:r>
    </w:p>
    <w:p w14:paraId="5E251F2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(3）承包人擅自暂停施工；</w:t>
      </w:r>
    </w:p>
    <w:p w14:paraId="5764FEC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(4）承包人其他原因引起的暂停施工；</w:t>
      </w:r>
    </w:p>
    <w:p w14:paraId="04EC695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(5）专用合同条款约定由承包人承担的其他暂停施工。</w:t>
      </w:r>
    </w:p>
    <w:p w14:paraId="4E30E8DA">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12.2 发包人暂停施工的责任</w:t>
      </w:r>
    </w:p>
    <w:p w14:paraId="3F3AED4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由于发包人原因引起的暂停施工造成工期延误的，承包人有权要求发包人延长工期和（或）增加费用，并支付合理利润。</w:t>
      </w:r>
    </w:p>
    <w:p w14:paraId="2240B8AD">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12.3 监理人暂停施工指示</w:t>
      </w:r>
    </w:p>
    <w:p w14:paraId="5C19E72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12.3.1 监理人认为有必要时，可向承包人作出暂停施工的指示，承包人应按监理人指示暂停施工。不论由于何种原因引起的暂停施工，暂停施工期间承包人应负责妥善保护工程并提供安全保障。</w:t>
      </w:r>
    </w:p>
    <w:p w14:paraId="60F0864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12.3.2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p>
    <w:p w14:paraId="0A318795">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12.4 暂停施工后的复工</w:t>
      </w:r>
    </w:p>
    <w:p w14:paraId="712507D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14:paraId="5FCDA30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12.4.2 承包人无故拖延和拒绝复工的，由此增加的费用和工期延误由承包人承担；因发包人原因无法按时复工的，承包人有权要求发包人延长工期和（或）增加费用，并支付合理利润。</w:t>
      </w:r>
    </w:p>
    <w:p w14:paraId="13057712">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12.5 暂停施工持续56 天以上</w:t>
      </w:r>
    </w:p>
    <w:p w14:paraId="2D196B6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12.5.1 监理人发出暂停施工指示后56 天内未向承包人发出复工通知，除了该项停工属于第12.1 款的情况外，承包人可向监理人提交书面通知，要求监理人在收到书面通知后28天内准许已暂停施工的工程或其中一部分工程继续施工。如监理人逾期不予批准，则承包人可以通知监理人，将工程受影响的部分视为按第15.1(l）项的可取消工作。如暂停施工影响到整个工程，可视为发包人违约，应按第22.2 款的规定办理。</w:t>
      </w:r>
    </w:p>
    <w:p w14:paraId="72F3CC2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12.5.2 由于承包人责任引起的暂停施工，如承包人在收到监理人暂停施工指示后56 天内不认真采取有效的复工措施，造成工期延误，可视为承包人违约，应按第22.1 款的规定办理。</w:t>
      </w:r>
    </w:p>
    <w:p w14:paraId="471156BF">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93" w:name="_Toc196637661"/>
      <w:bookmarkStart w:id="94" w:name="_Toc196637425"/>
      <w:bookmarkStart w:id="95" w:name="_Toc184635110"/>
      <w:bookmarkStart w:id="96" w:name="_Toc196637779"/>
      <w:bookmarkStart w:id="97" w:name="_Toc224699387"/>
      <w:r>
        <w:rPr>
          <w:rFonts w:hint="eastAsia" w:ascii="宋体" w:hAnsi="宋体" w:eastAsia="宋体" w:cs="宋体"/>
          <w:color w:val="auto"/>
          <w:sz w:val="24"/>
          <w:szCs w:val="24"/>
        </w:rPr>
        <w:t>13．工程质量</w:t>
      </w:r>
      <w:bookmarkEnd w:id="93"/>
      <w:bookmarkEnd w:id="94"/>
      <w:bookmarkEnd w:id="95"/>
      <w:bookmarkEnd w:id="96"/>
      <w:bookmarkEnd w:id="97"/>
    </w:p>
    <w:p w14:paraId="421511AA">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13.1 工程质量要求</w:t>
      </w:r>
    </w:p>
    <w:p w14:paraId="060BE4F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13.1.1 工程质量验收按合同约定验收标准执行。</w:t>
      </w:r>
    </w:p>
    <w:p w14:paraId="4693AA3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13.1.2 因承包人原因造成工程质量达不到合同约定验收标准的，监理人有权要求承包人返工直至符合合同要求为止，由此造成的费用增加和（或）工期延误由承包人承担。</w:t>
      </w:r>
    </w:p>
    <w:p w14:paraId="41477D6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13.1.3 因发包人原因造成工程质量达不到合同约定验收标准的，发包人应承担由于承包人返工造成的费用增加和（或）工期延误，并支付承包人合理利润。</w:t>
      </w:r>
    </w:p>
    <w:p w14:paraId="2100E6A2">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13.2 承包人的质量管理</w:t>
      </w:r>
    </w:p>
    <w:p w14:paraId="44A8898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13.2.1 承包人应在施工场地设置专门的质量检查机构，配备专职质量检查人员，建立完善的质量检查制度。承包人应在合同约定的期限内，提交工程质量保证措施文件，包括质量检查机构的组织和岗位责任、质检人员的组成、质量检查程序和实施细则等，报送监理人审批。</w:t>
      </w:r>
    </w:p>
    <w:p w14:paraId="68B014E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13.2.2 承包人应加强对施工人员的质量教育和技术培训，定期考核施工人员的劳动技能，严格执行规范和操作规程。</w:t>
      </w:r>
    </w:p>
    <w:p w14:paraId="5234A074">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13.3 承包人的质量检查</w:t>
      </w:r>
    </w:p>
    <w:p w14:paraId="5380A71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承包人应按合同约定对材料、工程设备以及工程的所有部位及其施工工艺进行全过程的质量检查和检验，并作详细记录，编制工程质量报表，报送监理人审查。</w:t>
      </w:r>
    </w:p>
    <w:p w14:paraId="7D573813">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13.4 监理人的质量检查</w:t>
      </w:r>
    </w:p>
    <w:p w14:paraId="133CA2C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p>
    <w:p w14:paraId="104BC580">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13.5 工程隐蔽部位覆盖前的检查</w:t>
      </w:r>
    </w:p>
    <w:p w14:paraId="677C0FE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13.5.1 通知监理人检查</w:t>
      </w:r>
    </w:p>
    <w:p w14:paraId="2FD9DA6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14:paraId="12AE696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13.5.2 监理人未到场检查</w:t>
      </w:r>
    </w:p>
    <w:p w14:paraId="6189D5B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监理人未按第13.5.l 项约定的时间进行检查的，除监理人另有指示外，承包人可自行完成覆盖工作，并作相应记录报送监理人，监理人应签字确认。监理人事后对检查记录有疑问的，可按第 13.5.3 项的约定重新检查。</w:t>
      </w:r>
    </w:p>
    <w:p w14:paraId="41E45B6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13.5.3 监理人重新检查</w:t>
      </w:r>
    </w:p>
    <w:p w14:paraId="2DFB86C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承包人按第13.5.1 项或第13.5.2 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0DC0759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13.5.4 承包人私自覆盖</w:t>
      </w:r>
    </w:p>
    <w:p w14:paraId="55DF76E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承包人未通知监理人到场检查，私自将工程隐蔽部位覆盖的，监理人有权指示承包人钻孔探测或揭开检查，由此增加的费用和（或）工期延误由承包人承担。</w:t>
      </w:r>
    </w:p>
    <w:p w14:paraId="7B498D48">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13.6 清除不合格工程</w:t>
      </w:r>
    </w:p>
    <w:p w14:paraId="48C89F9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6D012D4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13.6.2 由于发包人提供的材料或工程设备不合格造成的工程不合格，需要承包人采取措施补救的，发包人应承担由此增加的费用和（或）工期延误，并支付承包人合理利润。</w:t>
      </w:r>
    </w:p>
    <w:p w14:paraId="34396689">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98" w:name="_Toc224699388"/>
      <w:bookmarkStart w:id="99" w:name="_Toc196637426"/>
      <w:bookmarkStart w:id="100" w:name="_Toc196637662"/>
      <w:bookmarkStart w:id="101" w:name="_Toc196637780"/>
      <w:bookmarkStart w:id="102" w:name="_Toc184635111"/>
      <w:r>
        <w:rPr>
          <w:rFonts w:hint="eastAsia" w:ascii="宋体" w:hAnsi="宋体" w:eastAsia="宋体" w:cs="宋体"/>
          <w:color w:val="auto"/>
          <w:sz w:val="24"/>
          <w:szCs w:val="24"/>
        </w:rPr>
        <w:t>14．试验和检验</w:t>
      </w:r>
      <w:bookmarkEnd w:id="98"/>
      <w:bookmarkEnd w:id="99"/>
      <w:bookmarkEnd w:id="100"/>
      <w:bookmarkEnd w:id="101"/>
      <w:bookmarkEnd w:id="102"/>
    </w:p>
    <w:p w14:paraId="40362834">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14.1 材料、工程设备和工程的试验和检验</w:t>
      </w:r>
    </w:p>
    <w:p w14:paraId="269C57C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2677C25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14.1.2 监理人未按合同约定派员参加试验和检验的，除监理人另有指示外，承包人可自行试验和检验，并应立即将试验和检验结果报送监理人，监理人应签字确认。</w:t>
      </w:r>
    </w:p>
    <w:p w14:paraId="7C63B2F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p>
    <w:p w14:paraId="09DDCBDF">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14.2 现场材料试验</w:t>
      </w:r>
    </w:p>
    <w:p w14:paraId="1E51206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14.2.1 承包人根据合同约定或监理人指示进行的现场材料试验，应由承包人提供试验场所、试验人员、试验设备器材以及其他必要的试验条件。</w:t>
      </w:r>
    </w:p>
    <w:p w14:paraId="23BC92E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14.2.2 监理人在必要时可以使用承包人的试验场所、试验设备器材以及其他试验条件，进行以工程质量检查为目的的复核性材料试验，承包人应予以协助。</w:t>
      </w:r>
    </w:p>
    <w:p w14:paraId="6456E89C">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14.3 现场工艺试验</w:t>
      </w:r>
    </w:p>
    <w:p w14:paraId="51E0E88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承包人应按合同约定或监理人指示进行现场工艺试验。对大型的现场工艺试验，监理人认为必要时，应由承包人根据监理人提出的工艺试验要求，编制工艺试验措施计划，报送监理人审批。</w:t>
      </w:r>
    </w:p>
    <w:p w14:paraId="4B01C756">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103" w:name="_Toc196637781"/>
      <w:bookmarkStart w:id="104" w:name="_Toc184635112"/>
      <w:bookmarkStart w:id="105" w:name="_Toc224699389"/>
      <w:bookmarkStart w:id="106" w:name="_Toc196637663"/>
      <w:bookmarkStart w:id="107" w:name="_Toc196637427"/>
      <w:r>
        <w:rPr>
          <w:rFonts w:hint="eastAsia" w:ascii="宋体" w:hAnsi="宋体" w:eastAsia="宋体" w:cs="宋体"/>
          <w:color w:val="auto"/>
          <w:sz w:val="24"/>
          <w:szCs w:val="24"/>
        </w:rPr>
        <w:t>15．变更</w:t>
      </w:r>
      <w:bookmarkEnd w:id="103"/>
      <w:bookmarkEnd w:id="104"/>
      <w:bookmarkEnd w:id="105"/>
      <w:bookmarkEnd w:id="106"/>
      <w:bookmarkEnd w:id="107"/>
    </w:p>
    <w:p w14:paraId="737697BA">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15.1 变更的范围和内容</w:t>
      </w:r>
    </w:p>
    <w:p w14:paraId="673171C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除专用合同条款另有约定外，在履行合同中发生以下情形之一，应按照本条规定进行变更。</w:t>
      </w:r>
    </w:p>
    <w:p w14:paraId="5C5B061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(1）取消合同中任何一项工作，但被取消的工作不能转由发包人或其他人实施；</w:t>
      </w:r>
    </w:p>
    <w:p w14:paraId="2E181C5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(2）改变合同中任何一项工作的质量或其他特性；</w:t>
      </w:r>
    </w:p>
    <w:p w14:paraId="24FA952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(3）改变合同工程的基线、标高、位置或尺寸；</w:t>
      </w:r>
    </w:p>
    <w:p w14:paraId="2DA4F16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(4）改变合同中任何一项工作的施工时间或改变已批准的施工工艺或顺序；</w:t>
      </w:r>
    </w:p>
    <w:p w14:paraId="637D6A9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(5）为完成工程需要追加的额外工作。</w:t>
      </w:r>
    </w:p>
    <w:p w14:paraId="271D19E0">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15.2 变更权</w:t>
      </w:r>
    </w:p>
    <w:p w14:paraId="6AB0092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在履行合同过程中，经发包人同意，监理人可按第15.3 款约定的变更程序向承包人作出变更指示，承包人应遵照执行。没有监理人的变更指示，承包人不得擅自变更。</w:t>
      </w:r>
    </w:p>
    <w:p w14:paraId="01102DA0">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15.3 变更程序</w:t>
      </w:r>
    </w:p>
    <w:p w14:paraId="4D0C66C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15.3.1变更的提出</w:t>
      </w:r>
    </w:p>
    <w:p w14:paraId="13E3EFB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(1）在合同履行过程中，可能发生第15.1 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 项约定发出变更指示。</w:t>
      </w:r>
    </w:p>
    <w:p w14:paraId="63BB0B9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(2）在合同履行过程中，发生第15.1 款约定情形的，监理人应按照第15.3.3 项约定向承包人发出变更指示。</w:t>
      </w:r>
    </w:p>
    <w:p w14:paraId="28554D9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(3）承包人收到监理人按合同约定发出的图纸和文件，经检查认为其中存在第15.1 款约定情形的，可向监理人提出书面变更建议。变更建议应阐明要求变更的依据，并附必要的图纸和说明。监理人收到承包人书面建议后，应与发包人共同研究，确认存在变更的，应在收到承包人书面建议后的14 天内作出变更指示。经研究后不同意作为变更的，应由监理人书面答复承包人。</w:t>
      </w:r>
    </w:p>
    <w:p w14:paraId="5153163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(4）若承包人收到监理人的变更意向书后认为难以实施此项变更，应立即通知监理人，说明原因并附详细依据。监理人与承包人和发包人协商后确定撤销、改变或不改变原变更意向书。</w:t>
      </w:r>
    </w:p>
    <w:p w14:paraId="1AA8CB0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15.3.2 变更估价</w:t>
      </w:r>
    </w:p>
    <w:p w14:paraId="71941E9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(l）除专用合同条款对期限另有约定外，承包人应在收到变更指示或变更意向书后的14 天内，向监理人提交变更报价书，报价内容应根据第15.4 款约定的估价原则，详细开列变更工作的价格组成及其依据，并附必要的施工方法说明和有关图纸。</w:t>
      </w:r>
    </w:p>
    <w:p w14:paraId="37D567C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(2）变更工作影响工期的，承包人应提出调整工期的具体细节。监理人认为有必要时，可要求承包人提交要求提前或延长工期的施工进度计划及相应施工措施等详细资料。</w:t>
      </w:r>
    </w:p>
    <w:p w14:paraId="783BAC3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(3）除专用合同条款对期限另有约定外，监理人收到承包人变更报价书后的14 天内，根据第15.4 款约定的估价原则，按照第3.5 款商定或确定变更价格。</w:t>
      </w:r>
    </w:p>
    <w:p w14:paraId="577B572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15.3.3 变更指示</w:t>
      </w:r>
    </w:p>
    <w:p w14:paraId="4078CD8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(l）变更指示只能由监理人发出。</w:t>
      </w:r>
    </w:p>
    <w:p w14:paraId="2D6595C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(2）变更指示应说明变更的目的、范围、变更内容以及变更的工程量及其进度和技术要求，并附有关图纸和文件。承包人收到变更指示后，应按变更指示进行变更工作。</w:t>
      </w:r>
    </w:p>
    <w:p w14:paraId="246B8367">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15.4 变更的估价原则</w:t>
      </w:r>
    </w:p>
    <w:p w14:paraId="50F5702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在专用条款中约定。</w:t>
      </w:r>
    </w:p>
    <w:p w14:paraId="1CF4918C">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15.5 承包人的合理化建议</w:t>
      </w:r>
    </w:p>
    <w:p w14:paraId="0EDA2D0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62C4F20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15.5.2 承包人提出的合理化建议降低了合同价格、缩短了工期或者提高了工程经济效益的，发包人可按国家有关规定在专用合同条款中约定给予奖励。</w:t>
      </w:r>
    </w:p>
    <w:p w14:paraId="49EDC90B">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15.6 暂列金额</w:t>
      </w:r>
    </w:p>
    <w:p w14:paraId="2687C8F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本条不适用于本工程。</w:t>
      </w:r>
    </w:p>
    <w:p w14:paraId="5C0CA65D">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15.7 计日工</w:t>
      </w:r>
    </w:p>
    <w:p w14:paraId="4B69578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b/>
          <w:color w:val="auto"/>
          <w:sz w:val="24"/>
          <w:szCs w:val="24"/>
        </w:rPr>
      </w:pPr>
      <w:r>
        <w:rPr>
          <w:rFonts w:hint="eastAsia" w:ascii="宋体" w:hAnsi="宋体" w:eastAsia="宋体" w:cs="宋体"/>
          <w:color w:val="auto"/>
          <w:sz w:val="24"/>
          <w:szCs w:val="24"/>
        </w:rPr>
        <w:t>本条不适用于本工程。</w:t>
      </w:r>
    </w:p>
    <w:p w14:paraId="52D36085">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15.8 暂估价</w:t>
      </w:r>
    </w:p>
    <w:p w14:paraId="1CFECDC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15.8.1 发包人给定暂估价的材料、工程设备属于依法必须招标的范围并达到规定的规模标准的，由发包人和承包人以招标的方式选择供应商或分包人。发包人和承包人的权利义务关系在专用合同条款中约定。中标金额与暂估价的金额差以及相应的税金等其他费用列入合同价格。</w:t>
      </w:r>
    </w:p>
    <w:p w14:paraId="4331511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15.8.2 发包人给定暂估价的材料和工程设备不属于依法必须招标的范围或未达到规定的规模标准的，应由承包人按第5.1 款的约定提供。经监理人确认的材料、工程设备的价格与暂估价的金额差以及相应的税金等其他费用列入合同价格。</w:t>
      </w:r>
    </w:p>
    <w:p w14:paraId="53FAEE39">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108" w:name="_Toc196637428"/>
      <w:bookmarkStart w:id="109" w:name="_Toc184635113"/>
      <w:bookmarkStart w:id="110" w:name="_Toc224699390"/>
      <w:bookmarkStart w:id="111" w:name="_Toc196637664"/>
      <w:bookmarkStart w:id="112" w:name="_Toc196637782"/>
      <w:r>
        <w:rPr>
          <w:rFonts w:hint="eastAsia" w:ascii="宋体" w:hAnsi="宋体" w:eastAsia="宋体" w:cs="宋体"/>
          <w:color w:val="auto"/>
          <w:sz w:val="24"/>
          <w:szCs w:val="24"/>
        </w:rPr>
        <w:t>16．价格调整</w:t>
      </w:r>
      <w:bookmarkEnd w:id="108"/>
      <w:bookmarkEnd w:id="109"/>
      <w:bookmarkEnd w:id="110"/>
      <w:bookmarkEnd w:id="111"/>
      <w:bookmarkEnd w:id="112"/>
    </w:p>
    <w:p w14:paraId="2A626181">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16.1 物价波动引起的价格调整</w:t>
      </w:r>
    </w:p>
    <w:p w14:paraId="61C6CA7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在专用条款中约定。</w:t>
      </w:r>
    </w:p>
    <w:p w14:paraId="172DF776">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16.2 法律变化引起的价格调整</w:t>
      </w:r>
    </w:p>
    <w:p w14:paraId="08F8680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在基准日后，因法律变化导致承包人在合同履行中所需要的工程费用发生除第16.1 款约定以外的增减时，监理人应根据法律、国家或省、自治区、直辖市有关部门的规定，按第3.5 款商定或确定需调整的合同价款。</w:t>
      </w:r>
    </w:p>
    <w:p w14:paraId="68B23A4E">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113" w:name="_Toc196637429"/>
      <w:bookmarkStart w:id="114" w:name="_Toc196637783"/>
      <w:bookmarkStart w:id="115" w:name="_Toc196637665"/>
      <w:bookmarkStart w:id="116" w:name="_Toc184635114"/>
      <w:bookmarkStart w:id="117" w:name="_Toc224699391"/>
      <w:r>
        <w:rPr>
          <w:rFonts w:hint="eastAsia" w:ascii="宋体" w:hAnsi="宋体" w:eastAsia="宋体" w:cs="宋体"/>
          <w:color w:val="auto"/>
          <w:sz w:val="24"/>
          <w:szCs w:val="24"/>
        </w:rPr>
        <w:t>17．计量与支付</w:t>
      </w:r>
      <w:bookmarkEnd w:id="113"/>
      <w:bookmarkEnd w:id="114"/>
      <w:bookmarkEnd w:id="115"/>
      <w:bookmarkEnd w:id="116"/>
      <w:bookmarkEnd w:id="117"/>
    </w:p>
    <w:p w14:paraId="0D024159">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17.1 计量</w:t>
      </w:r>
    </w:p>
    <w:p w14:paraId="74D1AF5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在专用条款中约定。</w:t>
      </w:r>
    </w:p>
    <w:p w14:paraId="13EDF577">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17.2 预付款</w:t>
      </w:r>
    </w:p>
    <w:p w14:paraId="2BDD955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17.2.1 预付款</w:t>
      </w:r>
    </w:p>
    <w:p w14:paraId="6120A4E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预付款用于承包人为合同工程施工购置材料、工程设备、施工设备、修建临时设施以及组织施工队伍进场等。预付款的额度和预付办法在专用合同条款中约定。预付款必须专用于合同工程。</w:t>
      </w:r>
    </w:p>
    <w:p w14:paraId="3991168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17.2.2 预付款保函</w:t>
      </w:r>
    </w:p>
    <w:p w14:paraId="0732EB6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除专用合同条款另有约定外，承包人应在收到预付款的同时向发包人提交预付款保函，预付款保函的担保金额应与预付款金额相同。保函的担保金额可根据预付款扣回的金额相应递减。</w:t>
      </w:r>
    </w:p>
    <w:p w14:paraId="149B746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17.2.3 预付款的扣回与还清</w:t>
      </w:r>
    </w:p>
    <w:p w14:paraId="57959AB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预付款在进度付款中扣回，扣回办法在专用合同条款中约定。在颁发工程接收证书前，由于不可抗力或其他原因解除合同时，预付款尚未扣清的，尚未扣清的预付款余额应作为承包人的到期应付款。</w:t>
      </w:r>
    </w:p>
    <w:p w14:paraId="27F541DB">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17.3 工程进度付款</w:t>
      </w:r>
    </w:p>
    <w:p w14:paraId="4B5C0EC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17.3.1 付款周期</w:t>
      </w:r>
    </w:p>
    <w:p w14:paraId="4296DCF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付款周期同计量周期。</w:t>
      </w:r>
    </w:p>
    <w:p w14:paraId="57E2E6D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17.3.2 进度付款申请单</w:t>
      </w:r>
    </w:p>
    <w:p w14:paraId="4E5646D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承包人应在每个付款周期末，按监理人批准的格式和专用合同条款约定的份数，向监理人提交进度付款申请单，并附相应的支持性证明文件。除专用合同条款另有约定外，进度付款申请单应包括下列内容：</w:t>
      </w:r>
    </w:p>
    <w:p w14:paraId="7F7E1AF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(l）截至本次付款周期末已实施工程的价款；</w:t>
      </w:r>
    </w:p>
    <w:p w14:paraId="11DB15D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(2）根据第15条应增加和扣减的变更金额；</w:t>
      </w:r>
    </w:p>
    <w:p w14:paraId="7C47CD8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(3）根据第23 条应增加和扣减的索赔金额；</w:t>
      </w:r>
    </w:p>
    <w:p w14:paraId="72BB608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(4）根据第17.2 款约定应支付的预付款和扣减的返还预付款；</w:t>
      </w:r>
    </w:p>
    <w:p w14:paraId="362BE06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(5）根据第17.4.1 项约定应扣减的质量保证金；</w:t>
      </w:r>
    </w:p>
    <w:p w14:paraId="3E177EF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(6）根据合同应增加和扣减的其他金额。</w:t>
      </w:r>
    </w:p>
    <w:p w14:paraId="148C5D9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17.3.3 进度付款证书和支付时间</w:t>
      </w:r>
    </w:p>
    <w:p w14:paraId="6C9BC2E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5B18F2D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(2）发包人应在监理人收到进度付款申请单后的28 天内，将进度应付款支付给承包人。发包人不按期支付的，按专用合同条款的约定支付逾期付款违约金。</w:t>
      </w:r>
    </w:p>
    <w:p w14:paraId="4AB2735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(3）监理人出具进度付款证书，不应视为监理人已同意、批准或接受了承包人完成的该部分工作。</w:t>
      </w:r>
    </w:p>
    <w:p w14:paraId="0E84BA2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(4）进度付款涉及政府投资资金的，按照国库集中支付等国家相关规定和专用合同条款的约定办理。</w:t>
      </w:r>
    </w:p>
    <w:p w14:paraId="27D5D19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17.3.4 工程进度付款的修正</w:t>
      </w:r>
    </w:p>
    <w:p w14:paraId="5FA4329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在对以往历次已签发的进度付款证书进行汇总和复核中发现错、漏或重复的，监理人有权予以修正，承包人也有权提出修正申请。经双方复核同意的修正，应在本次进度付款中支付或扣除。</w:t>
      </w:r>
    </w:p>
    <w:p w14:paraId="4A4FB6F1">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17.4 质量保证金</w:t>
      </w:r>
    </w:p>
    <w:p w14:paraId="6AD7D81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17.4.1 监理人应从第一个付款周期开始，在发包人的进度付款中，按专用合同条款的约定扣留质量保证金，直至扣留的质量保证金总额达到专用合同条款约定的金额或比例为止。质量保证金的计算额度不包括预付款的支付、扣回以及价格调整的金额。</w:t>
      </w:r>
    </w:p>
    <w:p w14:paraId="081BBCA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17.4.2 在第1.1.4.5 目约定的缺陷责任期满时，承包人向发包人申请到期应返还承包人剩余的质量保证金金额，发包人应在14天内会同承包人按照合同约定的内容核实承包人是否完成缺陷责任。如无异议，发包人应当在核实后将剩余保证金返还承包人。</w:t>
      </w:r>
    </w:p>
    <w:p w14:paraId="4FD5868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17.4.3 在第1.1.4.5 目约定的缺陷责任期满时，承包人没有完成缺陷责任的，发包人有权扣留与未履行责任剩余工作所需金额相应的质量保证金余额，并有权根据第19.3 款约定要求延长缺陷责任期，直至完成剩余工作为止。</w:t>
      </w:r>
    </w:p>
    <w:p w14:paraId="71A7E02C">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17.5 竣工结算</w:t>
      </w:r>
    </w:p>
    <w:p w14:paraId="66AC6EB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17.5.1 竣工付款申请单</w:t>
      </w:r>
    </w:p>
    <w:p w14:paraId="451B33F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l）工程接收证书颁发后，承包人应按专用合同条款约定的份数和期限向监理人提交竣工付款申请单，并提供相关证明材料。除专用合同条款另有约定外，竣工付款申请单应包括下列内容：竣工结算合同总价、发包人已支付承包人的工程价款、应扣留的质量保证金、应支付的竣工付款金额。</w:t>
      </w:r>
    </w:p>
    <w:p w14:paraId="5552191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(2）监理人对竣工付款申请单有异议的，有权要求承包人进行修正和提供补充资料。经监理人和承包人协商后，由承包人向监理人提交修正后的竣工付款申请单。</w:t>
      </w:r>
    </w:p>
    <w:p w14:paraId="3DE0596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17.5.2 竣工付款证书及支付时间</w:t>
      </w:r>
    </w:p>
    <w:p w14:paraId="2F81462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l）监理人在收到承包人提交的竣工付款申请单后的14天内完成核查，提出发包人到期应支付给承包人的价款送发包人审核并抄送承包人。发包人应在收到后14天内审核完毕，由监理人向承包人出具经发包人签认的竣工付款证书。监理人未在约定时间内核查，又未提出具体意见的，视为承包人提交的竣工付款申请单已经监理人核查同意；发包人未在约定时间内审核又未提出具体意见的，监理人提出发包人到期应支付给承包人的价款视为已经发包人同意。</w:t>
      </w:r>
    </w:p>
    <w:p w14:paraId="5DE197D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(2）发包人应在监理人出具竣工付款证书后的14 天内，将应支付款支付给承包人。发包人不按期支付的，按第17.3.3(2）目的约定，将逾期付款违约金支付给承包人。</w:t>
      </w:r>
    </w:p>
    <w:p w14:paraId="364DD47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(3）承包人对发包人签认的竣工付款证书有异议的，发包人可出具竣工付款申请单中承包人已同意部分的临时付款证书。存在争议的部分，按第24条的约定办理。</w:t>
      </w:r>
    </w:p>
    <w:p w14:paraId="367ED3F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(4）竣工付款涉及政府投资资金的，按第17.3.3(4）目的约定办理。</w:t>
      </w:r>
    </w:p>
    <w:p w14:paraId="750E23A8">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17.6 最终结清</w:t>
      </w:r>
    </w:p>
    <w:p w14:paraId="2859170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17.6.1 最终结清申请单</w:t>
      </w:r>
    </w:p>
    <w:p w14:paraId="3E914C1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(1）缺陷责任期终止证书签发后，承包人可按专用合同条款约定的份数和期限向监理人提交最终结清申请单，并提供相关证明材料。</w:t>
      </w:r>
    </w:p>
    <w:p w14:paraId="3C83C77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(2）发包人对最终结清申请单内容有异议的，有权要求承包人进行修正和提供补充资料，由承包人向监理人提交修正后的最终结清申请单。</w:t>
      </w:r>
    </w:p>
    <w:p w14:paraId="45E38DA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17.6.2 最终结清证书和支付时间</w:t>
      </w:r>
    </w:p>
    <w:p w14:paraId="443E5E9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l）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7995D25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(2）发包人应在监理人出具最终结清证书后的14 天内，将应支付款支付给承包人。</w:t>
      </w:r>
    </w:p>
    <w:p w14:paraId="56C7D64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发包人不按期支付的，按第17.3.3(2）目的约定，将逾期付款违约金支付给承包人。</w:t>
      </w:r>
    </w:p>
    <w:p w14:paraId="7516B2A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(3）承包人对发包人签认的最终结清证书有异议的，按第24条的约定办理。</w:t>
      </w:r>
    </w:p>
    <w:p w14:paraId="5E99FE6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(4）最终结清付款涉及政府投资资金的，按第17.3.3(4）目的约定办理。</w:t>
      </w:r>
    </w:p>
    <w:p w14:paraId="19C6203B">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118" w:name="_Toc196637666"/>
      <w:bookmarkStart w:id="119" w:name="_Toc184635115"/>
      <w:bookmarkStart w:id="120" w:name="_Toc224699392"/>
      <w:bookmarkStart w:id="121" w:name="_Toc196637430"/>
      <w:bookmarkStart w:id="122" w:name="_Toc196637784"/>
      <w:r>
        <w:rPr>
          <w:rFonts w:hint="eastAsia" w:ascii="宋体" w:hAnsi="宋体" w:eastAsia="宋体" w:cs="宋体"/>
          <w:color w:val="auto"/>
          <w:sz w:val="24"/>
          <w:szCs w:val="24"/>
        </w:rPr>
        <w:t>18．竣工验收</w:t>
      </w:r>
      <w:bookmarkEnd w:id="118"/>
      <w:bookmarkEnd w:id="119"/>
      <w:bookmarkEnd w:id="120"/>
      <w:bookmarkEnd w:id="121"/>
      <w:bookmarkEnd w:id="122"/>
    </w:p>
    <w:p w14:paraId="7728B511">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18.1 竣工验收的含义</w:t>
      </w:r>
    </w:p>
    <w:p w14:paraId="796E2C2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18.1.1 竣工验收指承包人完成了全部合同工作后，发包人按合同要求进行的验收。</w:t>
      </w:r>
    </w:p>
    <w:p w14:paraId="3936706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18.1.2 国家验收是政府有关部门根据法律、规范、规程和政策要求，针对发包人全面组织实施的整个工程正式交付投运前的验收。</w:t>
      </w:r>
    </w:p>
    <w:p w14:paraId="24B5ADB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18.1.3 需要进行国家验收的，竣工验收是国家验收的一部分。竣工验收所采用的各项验收和评定标准应符合国家验收标准。发包人和承包人为竣工验收提供的各项竣工验收资料应符合国家验收的要求。</w:t>
      </w:r>
    </w:p>
    <w:p w14:paraId="514B6142">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18.2 竣工验收申请报告</w:t>
      </w:r>
    </w:p>
    <w:p w14:paraId="6A114F2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当工程具备以下条件时，承包人即可向监理人报送竣工验收申请报告：</w:t>
      </w:r>
    </w:p>
    <w:p w14:paraId="091DCE6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(1）除监理人同意列入缺陷责任期内完成的尾工（甩项）工程和缺陷修补工作外，合同范围内的全部单位工程以及有关工作，包括合同要求的试验、试运行以及检验和验收均已完成，并符合合同要求；</w:t>
      </w:r>
    </w:p>
    <w:p w14:paraId="0E557FD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(2）已按合同约定的内容和份数备齐了符合要求的竣工资料；</w:t>
      </w:r>
    </w:p>
    <w:p w14:paraId="7DDE474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(3）已按监理人的要求编制了在缺陷责任期内完成的尾工（甩项）工程和缺陷修补工作清单以及相应施工计划；</w:t>
      </w:r>
    </w:p>
    <w:p w14:paraId="764D29A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(4）监理人要求在竣工验收前应完成的其他工作：</w:t>
      </w:r>
    </w:p>
    <w:p w14:paraId="03F37FD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(5）监理人要求提交的竣工验收资料清单。</w:t>
      </w:r>
    </w:p>
    <w:p w14:paraId="29FCECC1">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18.3 验收</w:t>
      </w:r>
    </w:p>
    <w:p w14:paraId="38BF555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监理人收到承包人按第18.2 款约定提交的竣工验收申请报告后，应审查申请报告的各项内容，并按以下不同情况进行处理。</w:t>
      </w:r>
    </w:p>
    <w:p w14:paraId="5124535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18.3.1 监理人审查后认为尚不具备竣工验收条件的，应在收到竣工验收申请报告后的28天内通知承包人，指出在颁发接收证书前承包人还需进行的工作内容。承包人完成监理人通知的全部工作内容后，应再次提交竣工验收申请报告，直至监理人同意为止。</w:t>
      </w:r>
    </w:p>
    <w:p w14:paraId="69E5D41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18.3.2 监理人审查后认为已具备竣工验收条件的，应在收到竣工验收申请报告后的28天内提请发包人进行工程验收。</w:t>
      </w:r>
    </w:p>
    <w:p w14:paraId="327155B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18.3.3 发包人经过验收后同意接受工程的，应在监理人收到竣工验收申请报告后的56天内，由监理人向承包人出具经发包人签认的工程接收证书。发包人验收后同意接收工程但提出整修和完善要求的，限期修好，并缓发工程接收证书。整修和完善工作完成后，监理人复查达到要求的，经发包人同意后，再向承包人出具工程接收证书。</w:t>
      </w:r>
    </w:p>
    <w:p w14:paraId="32AC956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 8.3.4 发包人验收后不同意接收工程的，监理人应按照发包人的验收意见发出指示，要求承包人对不合格工程认真返工重作或进行补救处理，并承担由此产生的费用。承包人在完成不合格工程的返工重作或补救工作后，应重新提交竣工验收申请报告，按第18.3.1 项、第18.3.2 项和第18.3.3 项的约定进行。</w:t>
      </w:r>
    </w:p>
    <w:p w14:paraId="36BBC37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18.3.5 除专用合同条款另有约定外，经验收合格工程的实际竣工日期，以提交竣工验收申请报告的日期为准，并在工程接收证书中写明。</w:t>
      </w:r>
    </w:p>
    <w:p w14:paraId="514C4F1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18.3.6 发包人在收到承包人竣工验收申请报告56 天后未进行验收的，视为验收合格，实际竣工日期以提交竣工验收申请报告的日期为准，但发包人由于不可抗力不能进行验收的除外。</w:t>
      </w:r>
    </w:p>
    <w:p w14:paraId="425E0899">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18.4 单位工程验收</w:t>
      </w:r>
    </w:p>
    <w:p w14:paraId="652D76C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18.4.1 发包人根据合同进度计划安排，在全部工程竣工前需要使用已经竣工的单位工程时，或承包人提出经发包人同意时，可进行单位工程验收。验收的程序可参照第18.2 款与第18.3 款的约定进行。验收合格后，由监理人向承包人出具经发包人签认的单位工程验收证书。已签发单位工程接收证书的单位工程由发包人负责照管。单位工程的验收成果和结论作为全部工程竣上验收申请报告的附件。</w:t>
      </w:r>
    </w:p>
    <w:p w14:paraId="0648841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18.4.2 发包人在全部工程竣工前，使用已接收的单位工程导致承包人费用增加的，发包人应承担由此增加的费用和（或）工期延误，并支付承包人合理利润。</w:t>
      </w:r>
    </w:p>
    <w:p w14:paraId="62BB9E69">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18.5 施工期运行</w:t>
      </w:r>
    </w:p>
    <w:p w14:paraId="1367A6E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18.5.1 施工期运行是指合同工程尚未全部竣工，其中某项或某几项单位工程或工程设备安装已竣工，根据专用合同条款约定，需要投入施工期运行的，经发包人按第18.4 款的约定验收合格，证明能确保安全后，才能在施工期投入运行。</w:t>
      </w:r>
    </w:p>
    <w:p w14:paraId="12E36D2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18.5.2 在施工期运行中发现工程或工程设备损坏或存在缺陷的，由承包人按第19.2 款约定进行修复。</w:t>
      </w:r>
    </w:p>
    <w:p w14:paraId="5AA989E7">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18.6 试运行</w:t>
      </w:r>
    </w:p>
    <w:p w14:paraId="580F3EA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18.6.1 除专用合同条款另有约定外，承包人应按专用合同条款约定进行工程及工程设备试运行，负责提供试运行所需的人员、器材和必要的条件，并承担全部试运行费用。</w:t>
      </w:r>
    </w:p>
    <w:p w14:paraId="64C1770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18.6.2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p>
    <w:p w14:paraId="77C35F42">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18.7 竣工清场</w:t>
      </w:r>
    </w:p>
    <w:p w14:paraId="0912909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18.7.1 除合同另有约定外，工程接收证书颁发后，承包人应按以下要求对施工场地进行清理，直至监理人检验合格为止。竣工清场费用由承包人承担。</w:t>
      </w:r>
    </w:p>
    <w:p w14:paraId="40252CB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(1）施工场地内残留的垃圾已全部清除出场；</w:t>
      </w:r>
    </w:p>
    <w:p w14:paraId="61CB79C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(2）临时工程已拆除，场地已按合同要求进行清理、平整或复原；</w:t>
      </w:r>
    </w:p>
    <w:p w14:paraId="106BF41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(3）按合同约定应撤离的承包人设备和剩余的材料，包括废弃的施工设备和材料，已按计划撤离施工场地；</w:t>
      </w:r>
    </w:p>
    <w:p w14:paraId="155464B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(4）工程建筑物周边及其附近道路、河道的施工堆积物，已按监理人指示全部清理；</w:t>
      </w:r>
    </w:p>
    <w:p w14:paraId="38552A4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(5）监理人指示的其他场地清理工作已全部完成。</w:t>
      </w:r>
    </w:p>
    <w:p w14:paraId="56F17E8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18.7.2 承包人未按监理人的要求恢复临时占地，或者场地清理未达到合同约定的，发包人有权委托其他人恢复或清理，所发生的金额从拟支付给承包人的款项中扣除。</w:t>
      </w:r>
    </w:p>
    <w:p w14:paraId="69C9264B">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18.8 施工队伍的撤离</w:t>
      </w:r>
    </w:p>
    <w:p w14:paraId="7D9FA76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工程接收证书颁发后的56天内，除了经监理人同意需在缺陷责任期内继续工作和使用的人员、施工设备和临时工程外，其余的人员、施工设备和临时工程均应撤离施工场地或拆除。除合同另有约定外，缺陷责任期满时，承包人的人员和施工设备应全部撤离施工场地。</w:t>
      </w:r>
    </w:p>
    <w:p w14:paraId="4EDE6607">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123" w:name="_Toc184635116"/>
      <w:bookmarkStart w:id="124" w:name="_Toc196637431"/>
      <w:bookmarkStart w:id="125" w:name="_Toc224699393"/>
      <w:bookmarkStart w:id="126" w:name="_Toc196637785"/>
      <w:bookmarkStart w:id="127" w:name="_Toc196637667"/>
      <w:r>
        <w:rPr>
          <w:rFonts w:hint="eastAsia" w:ascii="宋体" w:hAnsi="宋体" w:eastAsia="宋体" w:cs="宋体"/>
          <w:color w:val="auto"/>
          <w:sz w:val="24"/>
          <w:szCs w:val="24"/>
        </w:rPr>
        <w:t>19、缺陷责任与保修责任</w:t>
      </w:r>
      <w:bookmarkEnd w:id="123"/>
      <w:bookmarkEnd w:id="124"/>
      <w:bookmarkEnd w:id="125"/>
      <w:bookmarkEnd w:id="126"/>
      <w:bookmarkEnd w:id="127"/>
    </w:p>
    <w:p w14:paraId="5AE18ADD">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19.1 缺陷责任期的起算时间</w:t>
      </w:r>
    </w:p>
    <w:p w14:paraId="77309B9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缺陷责任期自实际竣工日期起计算。在全部工程竣工验收前，已经发包人提前验收的单位工程，其缺陷责任期的起算日期相应提前。</w:t>
      </w:r>
    </w:p>
    <w:p w14:paraId="69493164">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19.2 缺陷责任</w:t>
      </w:r>
    </w:p>
    <w:p w14:paraId="7D35F3E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19.2.1 承包人应在缺陷责任期内对已交付使用的工程承担缺陷责任。</w:t>
      </w:r>
    </w:p>
    <w:p w14:paraId="6F3E211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19.2.2 缺陷责任期内，发包人对已接收使用的工程负责日常维护工作。发包人在使用过程中，发现已接收的工程存在新的缺陷或已修复的缺陷部位或部件又遭损坏的，承包人应负责修复，直至检验合格为止。</w:t>
      </w:r>
    </w:p>
    <w:p w14:paraId="0ACD8C6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19.2.3 监理人和承包人应共同查清缺陷和（或）损坏的原因。经查明属承包人原因造成的，应由承包人承担修复和查验的费用。经查验属发包人原因造成的，发包人应承担修复和查验的费用，并支付承包人合理利润。</w:t>
      </w:r>
    </w:p>
    <w:p w14:paraId="122AAC0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19.2.4 承包人不能在合理时间内修复缺陷的，发包人可自行修复或委托其他人修复，所需费用和利润的承担，按第19.2.3 项约定办理。</w:t>
      </w:r>
    </w:p>
    <w:p w14:paraId="0FD240C9">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19.3 缺陷责任期的延长</w:t>
      </w:r>
    </w:p>
    <w:p w14:paraId="0D7851E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由于承包人原因造成某项缺陷或损坏使某项工程或工程设备不能按原定目标使用而需要再次检查、检验和修复的，发包人有权要求承包人相应延长缺陷责任期，但缺陷责任期最长不超过2年。</w:t>
      </w:r>
    </w:p>
    <w:p w14:paraId="75D4189C">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19.4 进一步试验和试运行</w:t>
      </w:r>
    </w:p>
    <w:p w14:paraId="4B8659C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任何一项缺陷或损坏修复后，经检查证明其影响了工程或工程设备的使用性能，承包人应重新进行合同约定的试验和试运行，试验和试运行的全部费用应由责任方承担。</w:t>
      </w:r>
    </w:p>
    <w:p w14:paraId="1DA79FA0">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19.5 承包人的进入权</w:t>
      </w:r>
    </w:p>
    <w:p w14:paraId="419E87F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缺陷责任期内承包人为缺陷修复工作需要，有权进入工程现场，但应遵守发包人的保安和保密规定。</w:t>
      </w:r>
    </w:p>
    <w:p w14:paraId="20B2C1DC">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19.6 缺陷责任期终止证书</w:t>
      </w:r>
    </w:p>
    <w:p w14:paraId="4E8774C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在第1.1.4.5目约定的缺陷责任期，包括根据第19.3款延长的期限终止后14天内，由监理人向承包人出具经发包人签认的缺陷责任期终止证书，并退还剩余的质量保证金。</w:t>
      </w:r>
    </w:p>
    <w:p w14:paraId="1200B15D">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19.7 保修责任</w:t>
      </w:r>
    </w:p>
    <w:p w14:paraId="4717133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合同当事人根据有关法律规定，在专用合同条款中约定工程质量保修范围、期限和责任。保修期自实际竣工日期起计算。在全部工程竣工验收前，已经发包人提前验收的单位工程，其保修期的起算日期相应提前。</w:t>
      </w:r>
    </w:p>
    <w:p w14:paraId="224E4A7C">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128" w:name="_Toc184635117"/>
      <w:bookmarkStart w:id="129" w:name="_Toc196637432"/>
      <w:bookmarkStart w:id="130" w:name="_Toc224699394"/>
      <w:bookmarkStart w:id="131" w:name="_Toc196637786"/>
      <w:bookmarkStart w:id="132" w:name="_Toc196637668"/>
      <w:r>
        <w:rPr>
          <w:rFonts w:hint="eastAsia" w:ascii="宋体" w:hAnsi="宋体" w:eastAsia="宋体" w:cs="宋体"/>
          <w:color w:val="auto"/>
          <w:sz w:val="24"/>
          <w:szCs w:val="24"/>
        </w:rPr>
        <w:t>20、保险</w:t>
      </w:r>
      <w:bookmarkEnd w:id="128"/>
      <w:bookmarkEnd w:id="129"/>
      <w:bookmarkEnd w:id="130"/>
      <w:bookmarkEnd w:id="131"/>
      <w:bookmarkEnd w:id="132"/>
    </w:p>
    <w:p w14:paraId="047DA1AE">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20.1 工程保险</w:t>
      </w:r>
    </w:p>
    <w:p w14:paraId="6C949C5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p>
    <w:p w14:paraId="75984366">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20.2 人员工伤事故的保险</w:t>
      </w:r>
    </w:p>
    <w:p w14:paraId="784AEAF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20.2.1 承包人员工伤事故的保险</w:t>
      </w:r>
    </w:p>
    <w:p w14:paraId="3627DCE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承包人应依照有关法律规定参加工伤保险，为其履行合同所雇佣的全部人员，缴纳工伤保险费，并要求其分包人也进行此项保险。</w:t>
      </w:r>
    </w:p>
    <w:p w14:paraId="67C10CB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20.2.2 发包人员工伤事故的保险</w:t>
      </w:r>
    </w:p>
    <w:p w14:paraId="653352B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发包人应依照有关法律规定参加工伤保险，为其现场机构雇佣的全部人员，缴纳工伤保险费，并要求其监理人也进行此项保险。</w:t>
      </w:r>
    </w:p>
    <w:p w14:paraId="45CD0C53">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20.3 人身意外伤害险</w:t>
      </w:r>
    </w:p>
    <w:p w14:paraId="106CDE6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20.3.1 发包人应在整个施工期间为其现场机构雇用的全部人员，投保人身意外伤害险，缴纳保险费，并要求其监理人也进行此项保险。</w:t>
      </w:r>
    </w:p>
    <w:p w14:paraId="67FA99C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20.3.2 承包人应在整个施工期间为其现场机构雇用的全部人员，投保人身意外伤害险，缴纳保险费，并要求其分包人也进行此项保险。</w:t>
      </w:r>
    </w:p>
    <w:p w14:paraId="4E982C5D">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20.4 第三者责任险</w:t>
      </w:r>
    </w:p>
    <w:p w14:paraId="699B6D6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37A4642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20.4.2 在缺陷责任期终止证书颁发前，承包人应以承包人和发包人的共同名义，投保第20.4.1 项约定的第三者责任险，其保险费率、保险金额等有关内容在专用合同条款中约定。</w:t>
      </w:r>
    </w:p>
    <w:p w14:paraId="4E4A323C">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20.5 其他保险</w:t>
      </w:r>
    </w:p>
    <w:p w14:paraId="2604634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除专用合同条款另有约定外，承包人应为其施工设备、进场的材料和工程设备等办理保险。</w:t>
      </w:r>
    </w:p>
    <w:p w14:paraId="02307F88">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20.6 对各项保险的一般要求</w:t>
      </w:r>
    </w:p>
    <w:p w14:paraId="37EAA6A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20.6.1 保险凭证</w:t>
      </w:r>
    </w:p>
    <w:p w14:paraId="5FAB478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承包人应在专用合同条款约定的期限内向发包人提交各项保险生效的证据和保险单副本，保险单必须与专用合同条款约定的条件保持一致。</w:t>
      </w:r>
    </w:p>
    <w:p w14:paraId="0A84706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20.6.2 保险合同条款的变动</w:t>
      </w:r>
    </w:p>
    <w:p w14:paraId="292FD34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承包人需要变动保险合同条款时，应事先征得发包人同意，并通知监理人。保险人作出变动的，承包人应在收到保险人通知后立即通知发包人和监理人。</w:t>
      </w:r>
    </w:p>
    <w:p w14:paraId="3CFF112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20.6.3 持续保险</w:t>
      </w:r>
    </w:p>
    <w:p w14:paraId="60A53D5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承包人应与保险人保持联系，使保险人能够随时了解工程实施中的变动，并确保按保险合同条款要求持续保险。</w:t>
      </w:r>
    </w:p>
    <w:p w14:paraId="45E553B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20.6.4 保险金不足的补偿</w:t>
      </w:r>
    </w:p>
    <w:p w14:paraId="6E469F0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保险金不足以补偿损失的，应由承包人和（或）发包人按合同约定负责补偿。</w:t>
      </w:r>
    </w:p>
    <w:p w14:paraId="07B4927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20.6.5 未按约定投保的补救</w:t>
      </w:r>
    </w:p>
    <w:p w14:paraId="4D4D57A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(l）由于负有投保义务的一方当事人未按合同约定办理保险，或未能使保险持续有效的，另一方当事人可代为办理，所需费用由对方当事人承担。</w:t>
      </w:r>
    </w:p>
    <w:p w14:paraId="7564A0E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(2）由于负有投保义务的一方当事人未按合同约定办理某项保险，导致受益人未能得到保险人的赔偿，原应从该项保险得到的保险金应由负有投保义务的一方当事人支付。</w:t>
      </w:r>
    </w:p>
    <w:p w14:paraId="484B790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20.6.6 报告义务</w:t>
      </w:r>
    </w:p>
    <w:p w14:paraId="0C6216F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当保险事故发生时，投保人应按照保险单规定的条件和期限及时向保险人报告。</w:t>
      </w:r>
    </w:p>
    <w:p w14:paraId="66626874">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133" w:name="_Toc224699395"/>
      <w:bookmarkStart w:id="134" w:name="_Toc196637787"/>
      <w:bookmarkStart w:id="135" w:name="_Toc196637433"/>
      <w:bookmarkStart w:id="136" w:name="_Toc184635118"/>
      <w:bookmarkStart w:id="137" w:name="_Toc196637669"/>
      <w:r>
        <w:rPr>
          <w:rFonts w:hint="eastAsia" w:ascii="宋体" w:hAnsi="宋体" w:eastAsia="宋体" w:cs="宋体"/>
          <w:color w:val="auto"/>
          <w:sz w:val="24"/>
          <w:szCs w:val="24"/>
        </w:rPr>
        <w:t>21、不可抗力</w:t>
      </w:r>
      <w:bookmarkEnd w:id="133"/>
      <w:bookmarkEnd w:id="134"/>
      <w:bookmarkEnd w:id="135"/>
      <w:bookmarkEnd w:id="136"/>
      <w:bookmarkEnd w:id="137"/>
    </w:p>
    <w:p w14:paraId="39D30AB5">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21.1 不可抗力的确认</w:t>
      </w:r>
    </w:p>
    <w:p w14:paraId="6306FF7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21.1.1 不可抗力是指承包人和发包人在订立合同时不可预见，在工程施工过程中不可避免发生并不能克服的自然灾害和社会性突发事件，如地震、海啸、瘟疫、水灾、骚乱、暴动、战争和专用合同条款约定的其他情形。</w:t>
      </w:r>
    </w:p>
    <w:p w14:paraId="73BB6C2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21.1.2 不可抗力发生后，发包人和承包人应及时认真统计所造成的损失，收集不可抗力造成损失的证据。合同双方对是否属于不可抗力或其损失的意见不一致的，由监理人按第3.5 款商定或确定。发生争议时，按第24条的约定办理。</w:t>
      </w:r>
    </w:p>
    <w:p w14:paraId="4FCA54A2">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21.2 不可抗力的通知</w:t>
      </w:r>
    </w:p>
    <w:p w14:paraId="1E332BC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21.2.1 合同一方当事人遇到不可抗力事件，使其履行合同义务受到阻碍时，应立即通知合同另一方当事人和监理人，书面说明不可抗力和受阻碍的详细情况，并提供必要的证明。</w:t>
      </w:r>
    </w:p>
    <w:p w14:paraId="7206AB6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21.2.2 如不可抗力持续发生，合同一方当事人应及时向合同另一方当事人和监理人提交中间报告，说明不可抗力和履行合同受阻的情况，并于不可抗力事件结束后28天内提交最终报告及有关资料。</w:t>
      </w:r>
    </w:p>
    <w:p w14:paraId="34289E83">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21.3 不可抗力后果及其处理</w:t>
      </w:r>
    </w:p>
    <w:p w14:paraId="6299096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21.3.1 不可抗力造成损害的责任</w:t>
      </w:r>
    </w:p>
    <w:p w14:paraId="2DFB4A5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除专用合同条款另有约定外，不可抗力导致的人员伤亡、财产损失、费用增加和（或）工期延误等后果，由合同双方按以下原则承担：</w:t>
      </w:r>
    </w:p>
    <w:p w14:paraId="2AB64C3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(1）永久工程，包括已运至施工场地的材料和工程设备的损害，以及因工程损害造成的第三者人员伤亡和财产损失由发包人承担；</w:t>
      </w:r>
    </w:p>
    <w:p w14:paraId="75FDE2D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(2）承包人设备的损坏由承包人承担；</w:t>
      </w:r>
    </w:p>
    <w:p w14:paraId="6702205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(3）发包人和承包人各自承担其人员伤亡和其他财产损失及其相关费用；</w:t>
      </w:r>
    </w:p>
    <w:p w14:paraId="66522F2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(4）承包人的停工损失由承包人承担，但停工期间应监理人要求照管工程和清理、修复工程的金额由发包人承担；</w:t>
      </w:r>
    </w:p>
    <w:p w14:paraId="616A1FC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(5）不能按期竣工的，应合理延长工期，承包人不需支付逾期竣工违约金。发包人要求赶工的，承包人应采取赶工措施，赶工费用由发包人承担。</w:t>
      </w:r>
    </w:p>
    <w:p w14:paraId="0680C0E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21.3.2 延迟履行期间发生的不可抗力</w:t>
      </w:r>
    </w:p>
    <w:p w14:paraId="049FF42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合同一方当事人延迟履行，在延迟履行期间发生不可抗力的，不免除其责任。</w:t>
      </w:r>
    </w:p>
    <w:p w14:paraId="70E91EF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21.3.3 避免和减少不可抗力损失</w:t>
      </w:r>
    </w:p>
    <w:p w14:paraId="7A4A155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不可抗力发生后，发包人和承包人均应采取措施尽量避免和减少损失的扩大，任何一方没有采取有效措施导致损失扩大的，应对扩大的损失承担责任。</w:t>
      </w:r>
    </w:p>
    <w:p w14:paraId="530F70D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21.3.4 因不可抗力解除合同</w:t>
      </w:r>
    </w:p>
    <w:p w14:paraId="148B87D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合同一方当事人因不可抗力不能履行合同的，应当及时通知对方解除合同。合同解除后，承包人应按照第22.2.5 项约定撤离施工场地。已经订货的材料、设备由订货方负责退货或解除订货合同，不能退还的货款和因退货、解除订货合同发生的费用，由发包人承担，因未及时退货造成的损失由责任方承担。合同解除后的付款，参照第22.2.4 项约定，由监理人按第3.5 款商定或确定。</w:t>
      </w:r>
    </w:p>
    <w:p w14:paraId="2E81E5A1">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138" w:name="_Toc196637788"/>
      <w:bookmarkStart w:id="139" w:name="_Toc196637434"/>
      <w:bookmarkStart w:id="140" w:name="_Toc196637670"/>
      <w:bookmarkStart w:id="141" w:name="_Toc184635119"/>
      <w:bookmarkStart w:id="142" w:name="_Toc224699396"/>
      <w:r>
        <w:rPr>
          <w:rFonts w:hint="eastAsia" w:ascii="宋体" w:hAnsi="宋体" w:eastAsia="宋体" w:cs="宋体"/>
          <w:color w:val="auto"/>
          <w:sz w:val="24"/>
          <w:szCs w:val="24"/>
        </w:rPr>
        <w:t>22、违约</w:t>
      </w:r>
      <w:bookmarkEnd w:id="138"/>
      <w:bookmarkEnd w:id="139"/>
      <w:bookmarkEnd w:id="140"/>
      <w:bookmarkEnd w:id="141"/>
      <w:bookmarkEnd w:id="142"/>
    </w:p>
    <w:p w14:paraId="5A5A334B">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22.1 承包人违约</w:t>
      </w:r>
    </w:p>
    <w:p w14:paraId="5BB0ADB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22.1.1 承包人违约的情形</w:t>
      </w:r>
    </w:p>
    <w:p w14:paraId="56DA9D6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在履行合同过程中发生的下列情况属承包人违约：</w:t>
      </w:r>
    </w:p>
    <w:p w14:paraId="58F3328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(1）承包人违反第1.8 款或第4.3 款的约定，私自将合同的全部或部分权利转让给其他人，或私自将合同的全部或部分义务转移给其他人；</w:t>
      </w:r>
    </w:p>
    <w:p w14:paraId="79B4D83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(2）承包人违反第5.3 款或第6.4 款的约定，未经监理人批准，私自将已按合同约定进入施工场地的施工设备、临时设施或材料撤离施工场地；</w:t>
      </w:r>
    </w:p>
    <w:p w14:paraId="745EC62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(3）承包人违反第5.4 款的约定使用了不合格材料或工程设备，工程质量达不到标准要求，又拒绝清除不合格工程；</w:t>
      </w:r>
    </w:p>
    <w:p w14:paraId="2437A3A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(4）承包人未能按合同进度计划及时完成合同约定的工作，已造成或预期造成工期延误；</w:t>
      </w:r>
    </w:p>
    <w:p w14:paraId="6563B12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(5）承包人在缺陷责任期内，未能对工程接收证书所列的缺陷清单的内容或缺陷责任期内发生的缺陷进行修复，而又拒绝按监理人指示再进行修补；</w:t>
      </w:r>
    </w:p>
    <w:p w14:paraId="21F2D4E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(6）承包人无法继续履行或明确表示不履行或实质上已停止履行合同；</w:t>
      </w:r>
    </w:p>
    <w:p w14:paraId="7A532D6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(7）承包人不按合同约定履行义务的其他情况。</w:t>
      </w:r>
    </w:p>
    <w:p w14:paraId="2E11056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22.1.2 对承包人违约的处理</w:t>
      </w:r>
    </w:p>
    <w:p w14:paraId="796CA6E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(l）承包人发生第22.1.1(6）目约定的违约情况时，发包人可通知承包人立即解除合同，并按有关法律处理。</w:t>
      </w:r>
    </w:p>
    <w:p w14:paraId="15A2EF8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(2）承包人发生除第22.1.1(6）目约定以外的其他违约情况时，监理人可向承包人发出整改通知，要求其在指定的期限内改正。承包人应承担其违约所引起的费用增加和（或）工期延误。</w:t>
      </w:r>
    </w:p>
    <w:p w14:paraId="587F8FA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(3）经检查证明承包人已采取了有效措施纠正违约行为，具备复工条件的，可由监理人签发复工通知复工。</w:t>
      </w:r>
    </w:p>
    <w:p w14:paraId="34D4F24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22.1.3 承包人违约解除合同</w:t>
      </w:r>
    </w:p>
    <w:p w14:paraId="3FC2F31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7183E39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22.1.4 合同解除后的估价、付款和结清</w:t>
      </w:r>
    </w:p>
    <w:p w14:paraId="6DD8B92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(1）合同解除后，监理人按第3.5 款商定或确定承包人实际完成工作的价值，以及承包人已提供的材料、施工设备、工程设备和临时工程等的价值。</w:t>
      </w:r>
    </w:p>
    <w:p w14:paraId="5A734C4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(2）合同解除后，发包人应暂停对承包人的一切付款，查清各项付款和已扣款金额，包括承包人应支付的违约金。</w:t>
      </w:r>
    </w:p>
    <w:p w14:paraId="7EFA715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(3）合同解除后，发包人应按第23.4 款的约定向承包人索赔由于解除合同给发包人造成的损失。</w:t>
      </w:r>
    </w:p>
    <w:p w14:paraId="13CCF50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(4）合同双方确认上述往来款项后，出具最终结清付款证书，结清全部合同款项。</w:t>
      </w:r>
    </w:p>
    <w:p w14:paraId="2887485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(5）发包人和承包人未能就解除合同后的结清达成一致而形成争议的，按第24条的约定办理。</w:t>
      </w:r>
    </w:p>
    <w:p w14:paraId="50D2A25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22.1.5 协议利益的转让</w:t>
      </w:r>
    </w:p>
    <w:p w14:paraId="1632BFE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因承包人违约解除合同的，发包人有权要求承包人将其为实施合同而签订的材料和设备的订货协议或任何服务协议利益转让给发包人，并在解除合同后的14天内，依法办理转让手续。</w:t>
      </w:r>
    </w:p>
    <w:p w14:paraId="7331EC8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22.1.6 紧急情况下无能力或不愿进行抢救</w:t>
      </w:r>
    </w:p>
    <w:p w14:paraId="62780AF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p>
    <w:p w14:paraId="20480DB3">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22.2 发包人违约</w:t>
      </w:r>
    </w:p>
    <w:p w14:paraId="7EAAAC9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22.2.1 发包人违约的情形</w:t>
      </w:r>
    </w:p>
    <w:p w14:paraId="6BBABB8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在履行合同过程中发生的下列情形，属发包人违约：</w:t>
      </w:r>
    </w:p>
    <w:p w14:paraId="0E9CB6D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(l）发包人未能按合同约定支付预付款或合同价款，或拖延、拒绝批准付款申请和支付凭证，导致付款延误的；</w:t>
      </w:r>
    </w:p>
    <w:p w14:paraId="54BC6B3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(2）发包人原因造成停工的；</w:t>
      </w:r>
    </w:p>
    <w:p w14:paraId="27B140E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(3）监理人无正当理由没有在约定期限内发出复工指示，导致承包人无法复工的；</w:t>
      </w:r>
    </w:p>
    <w:p w14:paraId="324A47D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(4）发包人无法继续履行或明确表示不履行或实质上已停止履行合同的；</w:t>
      </w:r>
    </w:p>
    <w:p w14:paraId="1FA5ABB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(5）发包人不履行合同约定其他义务的。</w:t>
      </w:r>
    </w:p>
    <w:p w14:paraId="0A2E6AA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22.2.2 承包人有权暂停施工</w:t>
      </w:r>
    </w:p>
    <w:p w14:paraId="26BFF14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6C3C5F3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22.2.3 发包人违约解除合同</w:t>
      </w:r>
    </w:p>
    <w:p w14:paraId="0578AD1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(1）发生第22.2.1(4）目的违约情况时，承包人可书面通知发包人解除合同。</w:t>
      </w:r>
    </w:p>
    <w:p w14:paraId="3291F88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(2）承包人按22.2.2 项暂停施工28天后，发包人仍不纠正违约行为的，承包人可向发包人发出解除合同通知。但承包人的这一行动不免除发包人承担的违约责任，也不影响承包人根据合同约定享有的索赔权利。</w:t>
      </w:r>
    </w:p>
    <w:p w14:paraId="09E7822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22.2.4 解除合同后的付款</w:t>
      </w:r>
    </w:p>
    <w:p w14:paraId="7EBFE93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因发包人违约解除合同的，发包人应在解除合同后28天内向承包人支付下列金额，承包人应在此期限内及时向发包人提交要求支付下列金额的有关资料和凭证：</w:t>
      </w:r>
    </w:p>
    <w:p w14:paraId="556C304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(l）合同解除日以前所完成工作的价款；</w:t>
      </w:r>
    </w:p>
    <w:p w14:paraId="0E099E9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(2）承包人为该工程施工订购并已付款的材料、工程设备和其他物品的金额。发包人付还后，该材料、工程设备和其他物品归发包人所有；</w:t>
      </w:r>
    </w:p>
    <w:p w14:paraId="65EAC38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(3）承包人为完成工程所发生的，而发包人未支付的金额；</w:t>
      </w:r>
    </w:p>
    <w:p w14:paraId="17ED35E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(4）承包人撤离施工场地以及遣散承包人人员的金额；</w:t>
      </w:r>
    </w:p>
    <w:p w14:paraId="659AF44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(5）由于解除合同应赔偿的承包人损失；</w:t>
      </w:r>
    </w:p>
    <w:p w14:paraId="4112DA9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(6）按合同约定在合同解除日前应支付给承包人的其他金额。</w:t>
      </w:r>
    </w:p>
    <w:p w14:paraId="0C2D1B9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发包人应按本项约定支付上述金额并退还质量保证金和履约担保，但有权要求承包人支付应偿还给发包人的各项金额。</w:t>
      </w:r>
    </w:p>
    <w:p w14:paraId="43C11F8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22.2.5 解除合同后的承包人撤离</w:t>
      </w:r>
    </w:p>
    <w:p w14:paraId="76561E9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因发包人违约而解除合同后，承包人应妥善做好已竣工工程和已购材料、设备的保护和移交工作，按发包人要求将承包人设备和人员撤出施工场地。承包人撤出施工场地应遵守第</w:t>
      </w:r>
    </w:p>
    <w:p w14:paraId="19D14CA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18.7.1 项的约定，发包人应为承包人撤出提供必要条件。</w:t>
      </w:r>
    </w:p>
    <w:p w14:paraId="0C2D96CF">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22.3 第三人造成的违约</w:t>
      </w:r>
    </w:p>
    <w:p w14:paraId="19E27E1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在履行合同过程中，一方当事人因第三人的原因造成违约的，应当向对方当事人承担违约责任。一方当事人和第三人之间的纠纷，依照法律规定或者按照约定解决。</w:t>
      </w:r>
    </w:p>
    <w:p w14:paraId="0309BC8F">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143" w:name="_Toc196637671"/>
      <w:bookmarkStart w:id="144" w:name="_Toc196637435"/>
      <w:bookmarkStart w:id="145" w:name="_Toc224699397"/>
      <w:bookmarkStart w:id="146" w:name="_Toc184635120"/>
      <w:bookmarkStart w:id="147" w:name="_Toc196637789"/>
      <w:r>
        <w:rPr>
          <w:rFonts w:hint="eastAsia" w:ascii="宋体" w:hAnsi="宋体" w:eastAsia="宋体" w:cs="宋体"/>
          <w:color w:val="auto"/>
          <w:sz w:val="24"/>
          <w:szCs w:val="24"/>
        </w:rPr>
        <w:t>23、索赔</w:t>
      </w:r>
      <w:bookmarkEnd w:id="143"/>
      <w:bookmarkEnd w:id="144"/>
      <w:bookmarkEnd w:id="145"/>
      <w:bookmarkEnd w:id="146"/>
      <w:bookmarkEnd w:id="147"/>
    </w:p>
    <w:p w14:paraId="08661184">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23.1 承包人索赔的提出</w:t>
      </w:r>
    </w:p>
    <w:p w14:paraId="3FE0E85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根据合同约定，承包人认为有权得到追加付款和（或）延长工期的，应按以下程序向发包人提出索赔：</w:t>
      </w:r>
    </w:p>
    <w:p w14:paraId="4CB068A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(l）承包人应在知道或应当知道索赔事件发生后28 天内，向监理人递交索赔意向通知书，并说明发生索赔事件的事由。承包人未在前述28天内发出索赔意向通知书的，丧失要求追加付款和（或）延长工期的权利：</w:t>
      </w:r>
    </w:p>
    <w:p w14:paraId="417041E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(2）承包人应在发出索赔意向通知书后28天内，向监理人正式递交索赔通知书。索赔通知书应详细说明索赔理由以及要求追加的付款金额和（或）延长的工期，并附必要的记录和证明材料；</w:t>
      </w:r>
    </w:p>
    <w:p w14:paraId="1402938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(3）索赔事件具有连续影响的，承包人应按合理时间间隔继续递交延续索赔通知，说明连续影响的实际情况和记录，列出累计的追加付款金额和（或）工期延长天数；</w:t>
      </w:r>
    </w:p>
    <w:p w14:paraId="3ED130C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(4）在索赔事件影响结束后的28天内，承包人应向监理人递交最终索赔通知书，说明最终要求索赔的追加付款金额和延长的工期，并附必要的记录和证明材料。</w:t>
      </w:r>
    </w:p>
    <w:p w14:paraId="5AE0719A">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23.2 承包人索赔处理程序</w:t>
      </w:r>
    </w:p>
    <w:p w14:paraId="741066F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(1）监理人收到承包人提交的索赔通知书后，应及时审查索赔通知书的内容、查验承包人的记录和证明材料，必要时监理人可要求承包人提交全部原始记录副本。</w:t>
      </w:r>
    </w:p>
    <w:p w14:paraId="615F0D6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(2）监理人应按第3.5款商定或确定追加的付款和（或）延长的工期，并在收到上述索赔通知书或有关索赔的进一步证明材料后的42天内，将索赔处理结果答复承包人。</w:t>
      </w:r>
    </w:p>
    <w:p w14:paraId="176AF07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(3）承包人接受索赔处理结果的，发包人应在作出索赔处理结果答复后28天内完成赔付。承包人不接受索赔处理结果的，按第24条的约定办理。</w:t>
      </w:r>
    </w:p>
    <w:p w14:paraId="305AC503">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23.3 承包人提出索赔的期限</w:t>
      </w:r>
    </w:p>
    <w:p w14:paraId="0404E0E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23.3.1 承包人按第17.5款的约定接受了竣工付款证书后，应被认为已无权再提出在合同工程接收证书颁发前所发生的任何索赔。</w:t>
      </w:r>
    </w:p>
    <w:p w14:paraId="3E89443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23.3.2 承包人按第17.6款的约定提交的最终结清申请单中，只限于提出工程接收证书颁发后发生的索赔。提出索赔的期限自接受最终结清证书时终止。</w:t>
      </w:r>
    </w:p>
    <w:p w14:paraId="41F94BEC">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23.4 发包人的索赔</w:t>
      </w:r>
    </w:p>
    <w:p w14:paraId="2D4233F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23.4.1 发生索赔事件后，监理人应及时书面通知承包人，详细说明发包人有权得到的索赔金额和（或）延长缺陷责任期的细节和依据。发包人提出索赔的期限和要求与第23.3款的约定相同，延长缺陷责任期的通知应在缺陷责任期届满前发出。</w:t>
      </w:r>
    </w:p>
    <w:p w14:paraId="3D9DF91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23.4.2 监理人按第3.5款商定或确定发包人从承包人处得到赔付的金额和（或）缺陷责任期的延长期。承包人应付给发包人的金额可从拟支付给承包人的合同价款中扣除，或由承包人以其他方式支付给发包人。</w:t>
      </w:r>
    </w:p>
    <w:p w14:paraId="74BA74BC">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bookmarkStart w:id="148" w:name="_Toc196637790"/>
      <w:bookmarkStart w:id="149" w:name="_Toc184635121"/>
      <w:bookmarkStart w:id="150" w:name="_Toc224699398"/>
      <w:bookmarkStart w:id="151" w:name="_Toc196637436"/>
      <w:bookmarkStart w:id="152" w:name="_Toc196637672"/>
      <w:r>
        <w:rPr>
          <w:rFonts w:hint="eastAsia" w:ascii="宋体" w:hAnsi="宋体" w:eastAsia="宋体" w:cs="宋体"/>
          <w:color w:val="auto"/>
          <w:sz w:val="24"/>
          <w:szCs w:val="24"/>
        </w:rPr>
        <w:t>24、争议的解决</w:t>
      </w:r>
      <w:bookmarkEnd w:id="148"/>
      <w:bookmarkEnd w:id="149"/>
      <w:bookmarkEnd w:id="150"/>
      <w:bookmarkEnd w:id="151"/>
      <w:bookmarkEnd w:id="152"/>
    </w:p>
    <w:p w14:paraId="614964AF">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24.1 争议的解决方式</w:t>
      </w:r>
    </w:p>
    <w:p w14:paraId="397EAC9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5DB9B43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(l）向约定的仲裁委员会申请仲裁；</w:t>
      </w:r>
    </w:p>
    <w:p w14:paraId="6994D91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(2）向有管辖权的人民法院提起诉讼。</w:t>
      </w:r>
    </w:p>
    <w:p w14:paraId="69BF4129">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24.2 友好解决</w:t>
      </w:r>
    </w:p>
    <w:p w14:paraId="07D8C4D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在提请争议评审、仲裁或者诉讼前，以及在争议评审、仲裁或诉讼过程中，发包人和承包人均可共同努力友好协商解决争议。</w:t>
      </w:r>
    </w:p>
    <w:p w14:paraId="51B74872">
      <w:pPr>
        <w:widowControl w:val="0"/>
        <w:kinsoku/>
        <w:wordWrap/>
        <w:overflowPunct/>
        <w:topLinePunct w:val="0"/>
        <w:autoSpaceDE/>
        <w:autoSpaceDN/>
        <w:bidi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24.3 争议评审</w:t>
      </w:r>
    </w:p>
    <w:p w14:paraId="6E7F743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24.3.1 采用争议评审的，发包人和承包人应在开工日后的28天内或在争议发生后，协商成立争议评审组。争议评审组由有合同管理和工程实践经验的专家组成。</w:t>
      </w:r>
    </w:p>
    <w:p w14:paraId="08FD608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24.3.2 合同双方的争议，应首先由申请人向争议评审组提交一份详细的评审申请报告，并附必要的文件、图纸和证明材料，申请人还应将上述报告的副本同时提交给被申请人和监理人。</w:t>
      </w:r>
    </w:p>
    <w:p w14:paraId="5A192C6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24.3.3 被申请人在收到申请人评审申请报告副本后的28天内，向争议评审组提交一份答辩报告，并附证明材料。被申请人应将答辩报告的副本同时提交给申请人和监理人。</w:t>
      </w:r>
    </w:p>
    <w:p w14:paraId="1D41E03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24.3.4 除专用合同条款另有约定外，争议评审组在收到合同双方报告后的14天内，邀请双方代表和有关人员举行调查会，向双方调查争议细节；必要时争议评审组可要求双方进一步提供补充材料。</w:t>
      </w:r>
    </w:p>
    <w:p w14:paraId="6061AD1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24.3.5 除专用合同条款另有约定外，在调查会结束后的14天内，争议评审组应在不受任何干扰的情况下进行独立、公正的评审，作出书面评审意见，并说明理由。在争议评审期间，争议双方暂按总监理工程师的确定执行。</w:t>
      </w:r>
    </w:p>
    <w:p w14:paraId="5559369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24.3.6 发包人和承包人接受评审意见的，由监理人根据评审意见拟定执行协议，经争议双方签字后作为合同的补充文件，并遵照执行。</w:t>
      </w:r>
    </w:p>
    <w:p w14:paraId="4A6FE42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24.3.7 发包人或承包人不接受评审意见，并要求提交仲裁或提起诉讼的，应在收到评审意见后的14天内将仲裁或起诉意向书面通知另一方，并抄送监理人，但在仲裁或诉讼结束前应暂按总监理工程师的确定执行。</w:t>
      </w:r>
    </w:p>
    <w:p w14:paraId="523ECF6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p w14:paraId="664EC9F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p w14:paraId="3DFFA3B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p w14:paraId="6289A38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p w14:paraId="5C78DF5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p w14:paraId="1191774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p w14:paraId="3868C1B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p w14:paraId="33E040AE">
      <w:pPr>
        <w:pStyle w:val="3"/>
        <w:pageBreakBefore/>
        <w:widowControl w:val="0"/>
        <w:kinsoku/>
        <w:wordWrap/>
        <w:overflowPunct/>
        <w:topLinePunct w:val="0"/>
        <w:autoSpaceDE/>
        <w:autoSpaceDN/>
        <w:bidi w:val="0"/>
        <w:spacing w:after="156" w:line="360" w:lineRule="auto"/>
        <w:jc w:val="center"/>
        <w:textAlignment w:val="auto"/>
        <w:rPr>
          <w:rFonts w:hint="eastAsia" w:ascii="宋体" w:hAnsi="宋体" w:eastAsia="宋体" w:cs="宋体"/>
          <w:color w:val="auto"/>
          <w:sz w:val="24"/>
          <w:szCs w:val="24"/>
        </w:rPr>
      </w:pPr>
      <w:bookmarkStart w:id="153" w:name="_Toc32233"/>
      <w:bookmarkStart w:id="154" w:name="_Toc330990564"/>
      <w:r>
        <w:rPr>
          <w:rFonts w:hint="eastAsia" w:ascii="宋体" w:hAnsi="宋体" w:eastAsia="宋体" w:cs="宋体"/>
          <w:color w:val="auto"/>
          <w:sz w:val="24"/>
          <w:szCs w:val="24"/>
        </w:rPr>
        <w:t>第三节  专用合同条款</w:t>
      </w:r>
      <w:bookmarkEnd w:id="153"/>
      <w:bookmarkEnd w:id="154"/>
    </w:p>
    <w:p w14:paraId="471B530B">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1.一般约定</w:t>
      </w:r>
    </w:p>
    <w:p w14:paraId="2DCA8296">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1.1词语定义</w:t>
      </w:r>
    </w:p>
    <w:p w14:paraId="34306FA6">
      <w:pPr>
        <w:widowControl w:val="0"/>
        <w:kinsoku/>
        <w:wordWrap/>
        <w:overflowPunct/>
        <w:topLinePunct w:val="0"/>
        <w:autoSpaceDE/>
        <w:autoSpaceDN/>
        <w:bidi w:val="0"/>
        <w:spacing w:before="48" w:beforeLines="20" w:line="360" w:lineRule="auto"/>
        <w:ind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1.1.2合同当事人和人员</w:t>
      </w:r>
    </w:p>
    <w:p w14:paraId="14C65B6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1.1.2.2发包人：</w:t>
      </w:r>
      <w:r>
        <w:rPr>
          <w:rFonts w:hint="eastAsia" w:ascii="宋体" w:hAnsi="宋体" w:eastAsia="宋体" w:cs="宋体"/>
          <w:color w:val="auto"/>
          <w:kern w:val="0"/>
          <w:sz w:val="24"/>
          <w:szCs w:val="24"/>
          <w:u w:val="single"/>
          <w:lang w:eastAsia="zh-CN"/>
        </w:rPr>
        <w:t>邹城市钢山街道李官庄村村民委员会</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18187ED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1.1.2.6监理人：</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w:t>
      </w:r>
    </w:p>
    <w:p w14:paraId="33F3AF8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1.1.2.8发包人代表：指发包人指定的派驻施工场地(现场)的全权代表。</w:t>
      </w:r>
    </w:p>
    <w:p w14:paraId="2B73DCA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姓    名：</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3359615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职    称：</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1E1F37E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联系电话：</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4DF7241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电子信箱：</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4AC288D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通信地址：</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7021716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1.1.2.9 专业分包人：指根据合同条款第15.8.1项的约定，由发包人和承包人以招标方式选择的分包人。</w:t>
      </w:r>
    </w:p>
    <w:p w14:paraId="617DDE2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1.1.2.10 专项供应商：指根据合同条款第15.8.1项的约定，由发包人和承包人以招标方式选择的供应商。</w:t>
      </w:r>
    </w:p>
    <w:p w14:paraId="553618A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1.1.2.11独立承包人：指与发包人直接订立工程承包合同，负责实施与工程有关的其他工作的当事人。</w:t>
      </w:r>
    </w:p>
    <w:p w14:paraId="2A327431">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1.1.3工程和设备</w:t>
      </w:r>
    </w:p>
    <w:p w14:paraId="0FCF300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1.1.3.2永久工程：</w:t>
      </w:r>
      <w:r>
        <w:rPr>
          <w:rFonts w:hint="eastAsia" w:ascii="宋体" w:hAnsi="宋体" w:eastAsia="宋体" w:cs="宋体"/>
          <w:color w:val="auto"/>
          <w:sz w:val="24"/>
          <w:szCs w:val="24"/>
          <w:u w:val="single"/>
        </w:rPr>
        <w:t>按合同约定建造并移交给发包人的工程，包括工程设备</w:t>
      </w:r>
      <w:r>
        <w:rPr>
          <w:rFonts w:hint="eastAsia" w:ascii="宋体" w:hAnsi="宋体" w:eastAsia="宋体" w:cs="宋体"/>
          <w:color w:val="auto"/>
          <w:sz w:val="24"/>
          <w:szCs w:val="24"/>
        </w:rPr>
        <w:t>。</w:t>
      </w:r>
    </w:p>
    <w:p w14:paraId="1420809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1.1.3.3临时工程：</w:t>
      </w:r>
      <w:r>
        <w:rPr>
          <w:rFonts w:hint="eastAsia" w:ascii="宋体" w:hAnsi="宋体" w:eastAsia="宋体" w:cs="宋体"/>
          <w:color w:val="auto"/>
          <w:sz w:val="24"/>
          <w:szCs w:val="24"/>
          <w:u w:val="single"/>
        </w:rPr>
        <w:t>为完成合同约定的永久工程所修建的各类临时性工程，不包括施工设备</w:t>
      </w:r>
      <w:r>
        <w:rPr>
          <w:rFonts w:hint="eastAsia" w:ascii="宋体" w:hAnsi="宋体" w:eastAsia="宋体" w:cs="宋体"/>
          <w:color w:val="auto"/>
          <w:sz w:val="24"/>
          <w:szCs w:val="24"/>
        </w:rPr>
        <w:t>。</w:t>
      </w:r>
    </w:p>
    <w:p w14:paraId="5EEDC91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1.1.3.4单位工程：指具有相对独立的设计文件，能够独立组织施工并能形成独立使用功能的永久工程的组成部分。</w:t>
      </w:r>
    </w:p>
    <w:p w14:paraId="2D71954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1.1.3.10永久占地：</w:t>
      </w:r>
      <w:r>
        <w:rPr>
          <w:rFonts w:hint="eastAsia" w:ascii="宋体" w:hAnsi="宋体" w:eastAsia="宋体" w:cs="宋体"/>
          <w:color w:val="auto"/>
          <w:sz w:val="24"/>
          <w:szCs w:val="24"/>
          <w:u w:val="single"/>
        </w:rPr>
        <w:t xml:space="preserve">指为实施本合同工程而需要的一切永久占用的土地 </w:t>
      </w:r>
      <w:r>
        <w:rPr>
          <w:rFonts w:hint="eastAsia" w:ascii="宋体" w:hAnsi="宋体" w:eastAsia="宋体" w:cs="宋体"/>
          <w:color w:val="auto"/>
          <w:sz w:val="24"/>
          <w:szCs w:val="24"/>
        </w:rPr>
        <w:t>。</w:t>
      </w:r>
    </w:p>
    <w:p w14:paraId="452DF47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1.1.3.11临时占地：</w:t>
      </w:r>
      <w:r>
        <w:rPr>
          <w:rFonts w:hint="eastAsia" w:ascii="宋体" w:hAnsi="宋体" w:eastAsia="宋体" w:cs="宋体"/>
          <w:color w:val="auto"/>
          <w:sz w:val="24"/>
          <w:szCs w:val="24"/>
          <w:u w:val="single"/>
        </w:rPr>
        <w:t>指为实施本合同工程而需要的一切临时占用的土地</w:t>
      </w:r>
      <w:r>
        <w:rPr>
          <w:rFonts w:hint="eastAsia" w:ascii="宋体" w:hAnsi="宋体" w:eastAsia="宋体" w:cs="宋体"/>
          <w:color w:val="auto"/>
          <w:sz w:val="24"/>
          <w:szCs w:val="24"/>
        </w:rPr>
        <w:t>。</w:t>
      </w:r>
    </w:p>
    <w:p w14:paraId="3F079EA2">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1.1.4日期</w:t>
      </w:r>
    </w:p>
    <w:p w14:paraId="1785953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1.1.4.5缺陷责任期期限：</w:t>
      </w:r>
      <w:r>
        <w:rPr>
          <w:rFonts w:hint="eastAsia" w:ascii="宋体" w:hAnsi="宋体" w:cs="宋体"/>
          <w:color w:val="auto"/>
          <w:sz w:val="24"/>
          <w:szCs w:val="24"/>
          <w:u w:val="single"/>
          <w:lang w:eastAsia="zh-CN"/>
        </w:rPr>
        <w:t>两个完整的供暖期</w:t>
      </w:r>
      <w:r>
        <w:rPr>
          <w:rFonts w:hint="eastAsia" w:ascii="宋体" w:hAnsi="宋体" w:eastAsia="宋体" w:cs="宋体"/>
          <w:color w:val="auto"/>
          <w:sz w:val="24"/>
          <w:szCs w:val="24"/>
        </w:rPr>
        <w:t>。</w:t>
      </w:r>
    </w:p>
    <w:p w14:paraId="031252C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1.1.4.8保修期：是根据现行有关法律规定，在合同条款第19.7款中约定的由承包人负责对合同约定的保修范围内发生的质量问题履行保修义务并对造成的损失承担赔偿责任的期限。</w:t>
      </w:r>
    </w:p>
    <w:p w14:paraId="2286C3F1">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1.1.6其他</w:t>
      </w:r>
    </w:p>
    <w:p w14:paraId="7B39058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1.1.6.2材料：指构成或将构成永久工程组成部分的各类物品(工程设备除外)，包括合同中可能约定的承包人仅负责供应的材料。</w:t>
      </w:r>
    </w:p>
    <w:p w14:paraId="4172740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1.1.6.3争议评审组：是由发包人和承包人共同聘请的人员组成的独立、公正的第三方临时性组织，一般由一名或者三名合同管理和(或)工程管理专家组成。争议评审组负责对发包人和(或)承包人提请进行评审的本合同项下的争议进行评审并在规定的期限内给出评审意见，合同双方在规定的期限内均未对评审意见提出异议时，评审意见对合同双方有最终约束力。发包人和承包人应当分别与接受聘请的争议评审专家签订聘用协议，就评审的争议范围、评审意见效力等必要事项做出约定。</w:t>
      </w:r>
    </w:p>
    <w:p w14:paraId="3EE3E53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1.1.6.4除另有特别指明外，专用合同条款中使用的措辞“合同条款”指通用合同条款和(或)专用合同条款。</w:t>
      </w:r>
    </w:p>
    <w:p w14:paraId="61CEE8E0">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1.4合同文件的优先顺序</w:t>
      </w:r>
    </w:p>
    <w:p w14:paraId="4FA0B8E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合同文件的优先解释顺序如下：</w:t>
      </w:r>
    </w:p>
    <w:p w14:paraId="33FA412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(1)合同协议书；</w:t>
      </w:r>
    </w:p>
    <w:p w14:paraId="189669E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(2)中标通知书；</w:t>
      </w:r>
    </w:p>
    <w:p w14:paraId="5158D0A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(3)投标函及投标函附录；</w:t>
      </w:r>
    </w:p>
    <w:p w14:paraId="381EEA6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(4)专用合同条款；</w:t>
      </w:r>
    </w:p>
    <w:p w14:paraId="6589F59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(5)通用合同条款；</w:t>
      </w:r>
    </w:p>
    <w:p w14:paraId="41B1DAB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(6)技术标准和要求；</w:t>
      </w:r>
    </w:p>
    <w:p w14:paraId="55FEC40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(7)图纸；</w:t>
      </w:r>
    </w:p>
    <w:p w14:paraId="10C2D18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(8)投标报价；</w:t>
      </w:r>
    </w:p>
    <w:p w14:paraId="543449E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(9)其他合同文件。</w:t>
      </w:r>
    </w:p>
    <w:p w14:paraId="1357193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图纸与技术标准和要求之间有矛盾或者不一致的，以其中要求较严格的标准为准。</w:t>
      </w:r>
    </w:p>
    <w:p w14:paraId="6966980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合同双方在合同履行过程中签订的补充协议亦构成合同文件的组成部分，其解释顺序视其内容与其他合同文件的相互关系而定</w:t>
      </w:r>
      <w:r>
        <w:rPr>
          <w:rFonts w:hint="eastAsia" w:ascii="宋体" w:hAnsi="宋体" w:eastAsia="宋体" w:cs="宋体"/>
          <w:color w:val="auto"/>
          <w:sz w:val="24"/>
          <w:szCs w:val="24"/>
          <w:lang w:eastAsia="zh-CN"/>
        </w:rPr>
        <w:t>，约定不明确。补充协议应优先适用</w:t>
      </w:r>
      <w:r>
        <w:rPr>
          <w:rFonts w:hint="eastAsia" w:ascii="宋体" w:hAnsi="宋体" w:eastAsia="宋体" w:cs="宋体"/>
          <w:color w:val="auto"/>
          <w:sz w:val="24"/>
          <w:szCs w:val="24"/>
        </w:rPr>
        <w:t>。</w:t>
      </w:r>
    </w:p>
    <w:p w14:paraId="076CEDAE">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1.5合同协议书</w:t>
      </w:r>
    </w:p>
    <w:p w14:paraId="56694FDE">
      <w:pPr>
        <w:widowControl w:val="0"/>
        <w:kinsoku/>
        <w:wordWrap/>
        <w:overflowPunct/>
        <w:topLinePunct w:val="0"/>
        <w:autoSpaceDE/>
        <w:autoSpaceDN/>
        <w:bidi w:val="0"/>
        <w:spacing w:before="120" w:beforeLines="50" w:after="120" w:afterLines="5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合同生效的条件：</w:t>
      </w:r>
      <w:r>
        <w:rPr>
          <w:rFonts w:hint="eastAsia" w:ascii="宋体" w:hAnsi="宋体" w:eastAsia="宋体" w:cs="宋体"/>
          <w:color w:val="auto"/>
          <w:sz w:val="24"/>
          <w:szCs w:val="24"/>
          <w:u w:val="single"/>
        </w:rPr>
        <w:t>发包人和承包人的法定代表人或其委托代理人在合同协议书上签字并盖单位章后，合同生效</w:t>
      </w:r>
      <w:r>
        <w:rPr>
          <w:rFonts w:hint="eastAsia" w:ascii="宋体" w:hAnsi="宋体" w:eastAsia="宋体" w:cs="宋体"/>
          <w:color w:val="auto"/>
          <w:sz w:val="24"/>
          <w:szCs w:val="24"/>
        </w:rPr>
        <w:t>。</w:t>
      </w:r>
    </w:p>
    <w:p w14:paraId="7718E3EF">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1.6图纸和承包人文件</w:t>
      </w:r>
    </w:p>
    <w:p w14:paraId="70FC7A49">
      <w:pPr>
        <w:widowControl w:val="0"/>
        <w:kinsoku/>
        <w:wordWrap/>
        <w:overflowPunct/>
        <w:topLinePunct w:val="0"/>
        <w:autoSpaceDE/>
        <w:autoSpaceDN/>
        <w:bidi w:val="0"/>
        <w:spacing w:before="120" w:beforeLines="50" w:after="120" w:afterLines="50" w:line="360" w:lineRule="auto"/>
        <w:ind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1.6.1图纸的提供</w:t>
      </w:r>
    </w:p>
    <w:p w14:paraId="6855A5C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(1)发包人按照合同条款本项的约定向承包人提供图纸。承包人需要增加图纸套数的，发包人应代为复制，复制费用由承包人承担。</w:t>
      </w:r>
    </w:p>
    <w:p w14:paraId="198C962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在监理人批准合同条款第10.1款约定的合同进度计划或者合同条款10.2款约定的合同进度计划修改后7天内，承包人应当根据合同进度计划和本项约定的图纸提供期限和数量，编制或者修改图纸供应计划并报送监理人，其中应当载明承包人对各区段最新版本图纸(包括合同条款第1.6.3项约定的图纸修改图)的最迟需求时间，监理人应当在收到图纸供应计划后7天内批复或提出修改意见，否则该图纸供应计划视为得到批准。经监理人批准的最新的图纸供应计划对合同双方有合同约束力，作为发包人或者监理人向承包人提供图纸的主要依据。发包人或者监理人不按照图纸供应计划提供图纸而导致承包人费用增加和(或)工期延误的，由发包人承担赔偿责任。承包人未按照本目约定的时间向监理人提交图纸供应计划，致使发包人或者监理人未能在合理的时间内提供相应图纸或者承包人未按照图纸供应计划组织施工所造成的费用增加和(或)工期延误由承包人承担。</w:t>
      </w:r>
    </w:p>
    <w:p w14:paraId="176AD99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(3)发包人提供图纸的期限：</w:t>
      </w:r>
      <w:r>
        <w:rPr>
          <w:rFonts w:hint="eastAsia" w:ascii="宋体" w:hAnsi="宋体" w:eastAsia="宋体" w:cs="宋体"/>
          <w:color w:val="auto"/>
          <w:sz w:val="24"/>
          <w:szCs w:val="24"/>
          <w:u w:val="single"/>
        </w:rPr>
        <w:t>开工前三天</w:t>
      </w:r>
      <w:r>
        <w:rPr>
          <w:rFonts w:hint="eastAsia" w:ascii="宋体" w:hAnsi="宋体" w:eastAsia="宋体" w:cs="宋体"/>
          <w:color w:val="auto"/>
          <w:sz w:val="24"/>
          <w:szCs w:val="24"/>
        </w:rPr>
        <w:t>。</w:t>
      </w:r>
    </w:p>
    <w:p w14:paraId="05D842B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(4)发包人提供图纸的数量：</w:t>
      </w:r>
      <w:r>
        <w:rPr>
          <w:rFonts w:hint="eastAsia" w:ascii="宋体" w:hAnsi="宋体" w:eastAsia="宋体" w:cs="宋体"/>
          <w:color w:val="auto"/>
          <w:sz w:val="24"/>
          <w:szCs w:val="24"/>
          <w:u w:val="single"/>
        </w:rPr>
        <w:t xml:space="preserve">   三套（含竣工图纸一套）   </w:t>
      </w:r>
      <w:r>
        <w:rPr>
          <w:rFonts w:hint="eastAsia" w:ascii="宋体" w:hAnsi="宋体" w:eastAsia="宋体" w:cs="宋体"/>
          <w:color w:val="auto"/>
          <w:sz w:val="24"/>
          <w:szCs w:val="24"/>
        </w:rPr>
        <w:t>。</w:t>
      </w:r>
    </w:p>
    <w:p w14:paraId="29C774C5">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1.6.2承包人提供的文件</w:t>
      </w:r>
    </w:p>
    <w:p w14:paraId="0830ED3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(1)除专用合同条款第4.1.10(1)目约定的由承包人提供的设计文件外，本项约定的其他应由承包人提供的文件，包括必要的加工图和大样图，均不是合同计量与支付的依据文件。由承包人提供的文件范围：</w:t>
      </w:r>
      <w:r>
        <w:rPr>
          <w:rFonts w:hint="eastAsia" w:ascii="宋体" w:hAnsi="宋体" w:eastAsia="宋体" w:cs="宋体"/>
          <w:color w:val="auto"/>
          <w:sz w:val="24"/>
          <w:szCs w:val="24"/>
          <w:u w:val="single"/>
        </w:rPr>
        <w:t xml:space="preserve">   需要时按发包人及监理人要求                                                </w:t>
      </w:r>
    </w:p>
    <w:p w14:paraId="167DAFE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 xml:space="preserve"> (2)承包人提供文件的期限：</w:t>
      </w:r>
      <w:r>
        <w:rPr>
          <w:rFonts w:hint="eastAsia" w:ascii="宋体" w:hAnsi="宋体" w:eastAsia="宋体" w:cs="宋体"/>
          <w:color w:val="auto"/>
          <w:sz w:val="24"/>
          <w:szCs w:val="24"/>
          <w:u w:val="single"/>
        </w:rPr>
        <w:t xml:space="preserve">  按发包人及监理人要求                             </w:t>
      </w:r>
    </w:p>
    <w:p w14:paraId="0C5F695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 xml:space="preserve"> (3)承包人提供文件的数量：</w:t>
      </w:r>
      <w:r>
        <w:rPr>
          <w:rFonts w:hint="eastAsia" w:ascii="宋体" w:hAnsi="宋体" w:eastAsia="宋体" w:cs="宋体"/>
          <w:color w:val="auto"/>
          <w:sz w:val="24"/>
          <w:szCs w:val="24"/>
          <w:u w:val="single"/>
        </w:rPr>
        <w:t xml:space="preserve">  按发包人及监理人要求                                     </w:t>
      </w:r>
    </w:p>
    <w:p w14:paraId="62E55C1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 xml:space="preserve"> (4)监理人批复承包人提供文件的期限：</w:t>
      </w:r>
      <w:r>
        <w:rPr>
          <w:rFonts w:hint="eastAsia" w:ascii="宋体" w:hAnsi="宋体" w:eastAsia="宋体" w:cs="宋体"/>
          <w:color w:val="auto"/>
          <w:sz w:val="24"/>
          <w:szCs w:val="24"/>
          <w:u w:val="single"/>
        </w:rPr>
        <w:t xml:space="preserve">  收到承包人提供的文件后10天内          </w:t>
      </w:r>
    </w:p>
    <w:p w14:paraId="32AB30F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 xml:space="preserve"> (5)其他约定：</w:t>
      </w:r>
      <w:r>
        <w:rPr>
          <w:rFonts w:hint="eastAsia" w:ascii="宋体" w:hAnsi="宋体" w:eastAsia="宋体" w:cs="宋体"/>
          <w:color w:val="auto"/>
          <w:sz w:val="24"/>
          <w:szCs w:val="24"/>
          <w:u w:val="single"/>
        </w:rPr>
        <w:t xml:space="preserve">    整体竣工验收合格后提供竣工图纸一套                                                         </w:t>
      </w:r>
    </w:p>
    <w:p w14:paraId="6114C720">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1.6.3图纸的修改</w:t>
      </w:r>
    </w:p>
    <w:p w14:paraId="429EBE1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监理人应当按照合同条款第1.6.1(2)目约定的有合同约束力的图纸供应计划，签发图纸修改图给承包人。</w:t>
      </w:r>
    </w:p>
    <w:p w14:paraId="3FED47D5">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1.7联络</w:t>
      </w:r>
    </w:p>
    <w:p w14:paraId="193BADB5">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1.7.1联络来往函件的送达和接收</w:t>
      </w:r>
    </w:p>
    <w:p w14:paraId="61880C4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(1)联络来往信函的送达期限：合同约定了发出期限的，送达期限为合同约定的发出期限后的24小时内；合同约定了通知、提供或者报送期限的，通知、提供或者报送期限即为送达期限。</w:t>
      </w:r>
    </w:p>
    <w:p w14:paraId="15B8207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(2)发包人指定的接收地点：</w:t>
      </w:r>
      <w:r>
        <w:rPr>
          <w:rFonts w:hint="eastAsia" w:ascii="宋体" w:hAnsi="宋体" w:eastAsia="宋体" w:cs="宋体"/>
          <w:color w:val="auto"/>
          <w:sz w:val="24"/>
          <w:szCs w:val="24"/>
          <w:u w:val="single"/>
        </w:rPr>
        <w:t xml:space="preserve"> 本工程现场发包人代表办公室</w:t>
      </w:r>
      <w:r>
        <w:rPr>
          <w:rFonts w:hint="eastAsia" w:ascii="宋体" w:hAnsi="宋体" w:eastAsia="宋体" w:cs="宋体"/>
          <w:color w:val="auto"/>
          <w:sz w:val="24"/>
          <w:szCs w:val="24"/>
        </w:rPr>
        <w:t>。</w:t>
      </w:r>
    </w:p>
    <w:p w14:paraId="00D8854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(3)发包人指定的接收人为：</w:t>
      </w:r>
      <w:r>
        <w:rPr>
          <w:rFonts w:hint="eastAsia" w:ascii="宋体" w:hAnsi="宋体" w:eastAsia="宋体" w:cs="宋体"/>
          <w:color w:val="auto"/>
          <w:sz w:val="24"/>
          <w:szCs w:val="24"/>
          <w:u w:val="single"/>
        </w:rPr>
        <w:t xml:space="preserve"> 发包人代表 </w:t>
      </w:r>
      <w:r>
        <w:rPr>
          <w:rFonts w:hint="eastAsia" w:ascii="宋体" w:hAnsi="宋体" w:eastAsia="宋体" w:cs="宋体"/>
          <w:color w:val="auto"/>
          <w:sz w:val="24"/>
          <w:szCs w:val="24"/>
        </w:rPr>
        <w:t>。</w:t>
      </w:r>
    </w:p>
    <w:p w14:paraId="5FAC614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(4)监理人指定的接收地点：</w:t>
      </w:r>
      <w:r>
        <w:rPr>
          <w:rFonts w:hint="eastAsia" w:ascii="宋体" w:hAnsi="宋体" w:eastAsia="宋体" w:cs="宋体"/>
          <w:color w:val="auto"/>
          <w:sz w:val="24"/>
          <w:szCs w:val="24"/>
          <w:u w:val="single"/>
        </w:rPr>
        <w:t xml:space="preserve"> 本工程现场总监代表办公室</w:t>
      </w:r>
      <w:r>
        <w:rPr>
          <w:rFonts w:hint="eastAsia" w:ascii="宋体" w:hAnsi="宋体" w:eastAsia="宋体" w:cs="宋体"/>
          <w:color w:val="auto"/>
          <w:sz w:val="24"/>
          <w:szCs w:val="24"/>
        </w:rPr>
        <w:t>。</w:t>
      </w:r>
    </w:p>
    <w:p w14:paraId="3AED9E3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(5)监理人指定的接收人为：</w:t>
      </w:r>
      <w:r>
        <w:rPr>
          <w:rFonts w:hint="eastAsia" w:ascii="宋体" w:hAnsi="宋体" w:eastAsia="宋体" w:cs="宋体"/>
          <w:color w:val="auto"/>
          <w:sz w:val="24"/>
          <w:szCs w:val="24"/>
          <w:u w:val="single"/>
        </w:rPr>
        <w:t xml:space="preserve"> 总监或总监代表</w:t>
      </w:r>
      <w:r>
        <w:rPr>
          <w:rFonts w:hint="eastAsia" w:ascii="宋体" w:hAnsi="宋体" w:eastAsia="宋体" w:cs="宋体"/>
          <w:color w:val="auto"/>
          <w:sz w:val="24"/>
          <w:szCs w:val="24"/>
        </w:rPr>
        <w:t>。</w:t>
      </w:r>
    </w:p>
    <w:p w14:paraId="638D328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承包人指定的接收人为合同协议书中载明的承包人项目经理本人或者项目经理的授权代表。承包人应在收到开工通知后7天内，按照合同条款第4.5.4项的约定，将授权代表其接收来往信函的项目经理的授权代表姓名和授权范围通知监理人。除合同另有约定外，承包人施工场地管理机构的办公地点即为承包人指定的接收地点。</w:t>
      </w:r>
    </w:p>
    <w:p w14:paraId="33407AD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发包人(包括监理人)和承包人中任何一方指定的接收人或者接收地点发生变动，应当在实际变动前提前至少一个工作日以书面方式通知本合同其他方。发包人(包括监理人)和承包人应当确保其各自指定的接收人在法定的和(或)符合合同约定的工作时间内始终工作在指定的接收地点，指定接收人离开工作岗位而无法及时签收来往信函构成拒不签收。</w:t>
      </w:r>
    </w:p>
    <w:p w14:paraId="4EE9A2C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发包人(包括监理人)和承包人中任何一方均应当及时签收本合同其他方送达其指定接收地点的来往信函，拒不签收的，送达信函的一方可以采用挂号或者公证方式送达，由此所造成的直接的和间接的费用增加(包括被迫采用特殊送达方式所发生的费用)和(或)延误的工期由拒绝签收一方承担。</w:t>
      </w:r>
    </w:p>
    <w:p w14:paraId="0A448F78">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2.发包人义务</w:t>
      </w:r>
    </w:p>
    <w:p w14:paraId="5DCFA477">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2.1提供施工场地</w:t>
      </w:r>
    </w:p>
    <w:p w14:paraId="6566E1D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施工场地应当在监理人发出的开工通知中载明的开工日期前</w:t>
      </w:r>
      <w:r>
        <w:rPr>
          <w:rFonts w:hint="eastAsia" w:ascii="宋体" w:hAnsi="宋体" w:eastAsia="宋体" w:cs="宋体"/>
          <w:color w:val="auto"/>
          <w:sz w:val="24"/>
          <w:szCs w:val="24"/>
          <w:u w:val="single"/>
        </w:rPr>
        <w:t xml:space="preserve"> 3 </w:t>
      </w:r>
      <w:r>
        <w:rPr>
          <w:rFonts w:hint="eastAsia" w:ascii="宋体" w:hAnsi="宋体" w:eastAsia="宋体" w:cs="宋体"/>
          <w:color w:val="auto"/>
          <w:sz w:val="24"/>
          <w:szCs w:val="24"/>
        </w:rPr>
        <w:t>天具备施工条件并移交给承包人，具体施工条件在第七章“技术标准和要求”第一节“一般要求”中约定。发包人最迟应当在移交施工场地的同时向承包人提供施工场地内地下管线和地下设施等有关资料，并保证资料的真实、准确和完整。</w:t>
      </w:r>
    </w:p>
    <w:p w14:paraId="10406608">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2.2组织设计交底</w:t>
      </w:r>
    </w:p>
    <w:p w14:paraId="0620878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应当在合同条款11.1.1项约定的开工日期前组织设计人向承包人进行合同工程总体设计交底(包括图纸会审)。发包人还应按照合同进度计划中载明的阶段性设计交底时间组织和安排阶段工程设计交底(包括图纸会审)。承包人可以书面方式通过监理人向发包人申请增加紧急的设计交底，发包人在认为确有必要且条件许可时，应当尽快组织这类设计交底。</w:t>
      </w:r>
    </w:p>
    <w:p w14:paraId="4A8B5056">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2.3其他义务</w:t>
      </w:r>
    </w:p>
    <w:p w14:paraId="2036C8F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(1)按有关规定及时办理工程质量监督手续。</w:t>
      </w:r>
    </w:p>
    <w:p w14:paraId="4755445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(2)根据建设行政主管部门和(或)城市建设档案管理机构的规定，收集、整理、立卷、归档工程资料，并按规定时间向建设行政主管部门或者城市建设档案管理机构移交规定的工程档案。</w:t>
      </w:r>
    </w:p>
    <w:p w14:paraId="6474FEF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批准和确认：按合同约定应当由监理人或者发包人回复、批复、批准、确认或提出修改意见的承包人的要求、请求、申请和报批等，自监理人或者发包人指定的接收人收到承包人发出的相应要求、请求、申请和报批之日起，如果监理人或者发包人在合同约定的期限内未予回复、批复、批准、确认或提出修改意见的，视为监理人和发包人已经同意、确认或者批准。</w:t>
      </w:r>
    </w:p>
    <w:p w14:paraId="63BB20E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(4)发包人应当履行合同约定的其他义务以及下述义务：</w:t>
      </w:r>
      <w:r>
        <w:rPr>
          <w:rFonts w:hint="eastAsia" w:ascii="宋体" w:hAnsi="宋体" w:eastAsia="宋体" w:cs="宋体"/>
          <w:color w:val="auto"/>
          <w:sz w:val="24"/>
          <w:szCs w:val="24"/>
          <w:u w:val="single"/>
        </w:rPr>
        <w:t xml:space="preserve"> / 。</w:t>
      </w:r>
    </w:p>
    <w:p w14:paraId="4CD45745">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3.监理人</w:t>
      </w:r>
    </w:p>
    <w:p w14:paraId="10AF1FB7">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3.1监理人的职责和权力</w:t>
      </w:r>
    </w:p>
    <w:p w14:paraId="1A88881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3.1.1须经发包人批准行使的权力：</w:t>
      </w:r>
      <w:r>
        <w:rPr>
          <w:rFonts w:hint="eastAsia" w:ascii="宋体" w:hAnsi="宋体" w:eastAsia="宋体" w:cs="宋体"/>
          <w:color w:val="auto"/>
          <w:sz w:val="24"/>
          <w:szCs w:val="24"/>
          <w:u w:val="single"/>
        </w:rPr>
        <w:t xml:space="preserve"> 涉及本工程分包、变更、价款、费用、质量、工期的事项及监理合同中须发包人书面盖章批准才能行使的监理人的权利。  </w:t>
      </w:r>
    </w:p>
    <w:p w14:paraId="1458AA6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不管通用合同条款第3.1.1项如何约定，监理人履行须经发包人批准行使的权力时，应当向承包人出示其行使该权利已经取得发包人书面批准的文件或者其他合法有效的证明。</w:t>
      </w:r>
    </w:p>
    <w:p w14:paraId="0211FE9B">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3.2监理人员</w:t>
      </w:r>
    </w:p>
    <w:p w14:paraId="6158E1D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3.2.1总监理工程师不应将第3.5款约定应由总监理工程师作出确定的权力授权或者委托给其他监理人员。</w:t>
      </w:r>
    </w:p>
    <w:p w14:paraId="4981FF31">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3.3监理人的指示</w:t>
      </w:r>
    </w:p>
    <w:p w14:paraId="6E8E890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3.3.1除通用合同条款已有的专门约定外，承包人只能从总监理工程师或按第3.3.1项授权的监理人员处取得指示，发包人应当通过监理人向承包人发出指示。</w:t>
      </w:r>
    </w:p>
    <w:p w14:paraId="62F79633">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3.4监理人的宽恕</w:t>
      </w:r>
    </w:p>
    <w:p w14:paraId="43F90E4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监理人或者发包人就承包人对合同约定的任何责任和义务的某种违约行为的宽恕，不影响监理人和发包人在此后的任何时间严格按合同约定处理承包人的其它违约行为，也不意味发包人放弃合同约定的发包人与上述违约有关的任何权利和赔偿要求。</w:t>
      </w:r>
    </w:p>
    <w:p w14:paraId="4A76E84D">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4.承包人</w:t>
      </w:r>
    </w:p>
    <w:p w14:paraId="588455E1">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4.1承包人的一般义务</w:t>
      </w:r>
    </w:p>
    <w:p w14:paraId="158ECF6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4.1.3除专用合同条款第5.2款约定由发包人提供的材料和工程设备和第6.2款约定由发包人提供的施工设备和临时设施外，承包人应负责提供为完成合同工作所需的劳务、材料、施工设备、工程设备和其他物品，并按合同约定负责临时设施的设计、建造、运行、维护、管理和拆除。</w:t>
      </w:r>
    </w:p>
    <w:p w14:paraId="4626FBA0">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4.1.8为他人提供方便</w:t>
      </w:r>
    </w:p>
    <w:p w14:paraId="1022C2E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(1)承包人应当对在施工场地或者附近实施与合同工程有关的其他工作的独立承包人履行管理、协调、配合、照管和服务义务，由此发生的费用被视为已经包括在承包人的签约合同价(投标总报价)中，结算时不再另行计取。具体工作内容和要求包括：</w:t>
      </w:r>
      <w:r>
        <w:rPr>
          <w:rFonts w:hint="eastAsia" w:ascii="宋体" w:hAnsi="宋体" w:eastAsia="宋体" w:cs="宋体"/>
          <w:color w:val="auto"/>
          <w:sz w:val="24"/>
          <w:szCs w:val="24"/>
          <w:u w:val="single"/>
        </w:rPr>
        <w:t xml:space="preserve">根据施工过程中实际情况由发包人和监理人指派并审批，承包人应无条件配合 </w:t>
      </w:r>
      <w:r>
        <w:rPr>
          <w:rFonts w:hint="eastAsia" w:ascii="宋体" w:hAnsi="宋体" w:eastAsia="宋体" w:cs="宋体"/>
          <w:color w:val="auto"/>
          <w:sz w:val="24"/>
          <w:szCs w:val="24"/>
        </w:rPr>
        <w:t>。</w:t>
      </w:r>
    </w:p>
    <w:p w14:paraId="532F145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(2)承包人还应按监理人指示为独立承包人以外的他人在施工场地或者附近实施与合同工程有关的其他工作提供可能的条件，可能发生费用由监理人按第3.5款商定或者确定。</w:t>
      </w:r>
    </w:p>
    <w:p w14:paraId="73C07D75">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4.1.10其他义务</w:t>
      </w:r>
    </w:p>
    <w:p w14:paraId="6566AF6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根据发包人委托，在其设计资质等级和业务允许的范围内，完成施工图设计或与工程配套的设计，经监理人确认后使用，发包人承担由此发生的费用和合理利润。由承包人负责完成的设计文件属于合同条款第1.6.2项约定的承包人提供的文件，承包人应按照专用合同条款第1.6.2项约定的期限和数量提交，由此发生的费用被认为已经包括在承包人的签约合同价(投标总报价)中。由承包人承担的施工图设计或与工程配套的设计工作内容：</w:t>
      </w:r>
      <w:r>
        <w:rPr>
          <w:rFonts w:hint="eastAsia" w:ascii="宋体" w:hAnsi="宋体" w:eastAsia="宋体" w:cs="宋体"/>
          <w:color w:val="auto"/>
          <w:sz w:val="24"/>
          <w:szCs w:val="24"/>
          <w:u w:val="single"/>
        </w:rPr>
        <w:t xml:space="preserve">需要时发包人与承包人另行约定         </w:t>
      </w:r>
      <w:r>
        <w:rPr>
          <w:rFonts w:hint="eastAsia" w:ascii="宋体" w:hAnsi="宋体" w:eastAsia="宋体" w:cs="宋体"/>
          <w:color w:val="auto"/>
          <w:sz w:val="24"/>
          <w:szCs w:val="24"/>
        </w:rPr>
        <w:t>。</w:t>
      </w:r>
    </w:p>
    <w:p w14:paraId="22A910E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(2)承包人应履行合同约定的其他义务以及下述义务：</w:t>
      </w:r>
      <w:r>
        <w:rPr>
          <w:rFonts w:hint="eastAsia" w:ascii="宋体" w:hAnsi="宋体" w:eastAsia="宋体" w:cs="宋体"/>
          <w:color w:val="auto"/>
          <w:sz w:val="24"/>
          <w:szCs w:val="24"/>
          <w:u w:val="single"/>
        </w:rPr>
        <w:t xml:space="preserve">需要时发包人与承包人另行约定  </w:t>
      </w:r>
      <w:r>
        <w:rPr>
          <w:rFonts w:hint="eastAsia" w:ascii="宋体" w:hAnsi="宋体" w:eastAsia="宋体" w:cs="宋体"/>
          <w:color w:val="auto"/>
          <w:sz w:val="24"/>
          <w:szCs w:val="24"/>
        </w:rPr>
        <w:t>。</w:t>
      </w:r>
    </w:p>
    <w:p w14:paraId="6AD274A5">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4.2履约担保</w:t>
      </w:r>
    </w:p>
    <w:p w14:paraId="52EE9A6D">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无。</w:t>
      </w:r>
    </w:p>
    <w:p w14:paraId="2E8B9968">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4.3分包</w:t>
      </w:r>
    </w:p>
    <w:p w14:paraId="0C55452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4.3.2发包人同意承包人分包的非主体、非关键性工作见投标函附录。除通用合同条款第4.3款的约定外，分包还应遵循以下约定：</w:t>
      </w:r>
    </w:p>
    <w:p w14:paraId="5135589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除投标函附录中约定的分包内容外，经过发包人和监理人同意，承包人可以将其他非主体、非关键性工作分包给第三人，但分包人应当经过发包人和监理人审批。发包人和监理人有权拒绝承包人的分包请求和承包人选择的分包人。</w:t>
      </w:r>
    </w:p>
    <w:p w14:paraId="2DC0245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(2)在相关分包合同签订并报送有关建设行政主管部门备案后7天内，承包人应当将一份副本提交给监理人，承包人应保障分包工作不得再次分包。</w:t>
      </w:r>
    </w:p>
    <w:p w14:paraId="5208BD9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分包工程价款由承包人与分包人(包括专业分包人)结算。发包人未经承包人同意不得以任何形式向分包人(包括专业分包人)支付相关分包合同项下的任何工程款项。因发包人未经承包人同意直接向分包人(包括专业分包人)支付相关分包合同项下的任何工程款项而影响承包人工作的，所造成的承包人费用增加和(或)延误的工期由发包人承担。</w:t>
      </w:r>
    </w:p>
    <w:p w14:paraId="645288F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(5)未经发包人和监理人审批同意的分包工程和分包人，发包人有权拒绝验收分包工程和支付相应款项，由此引起的发包人费用增加和(或)延误的工期由承包人承担。</w:t>
      </w:r>
    </w:p>
    <w:p w14:paraId="7E8669B1">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4.5承包人项目经理</w:t>
      </w:r>
    </w:p>
    <w:p w14:paraId="3DBA63C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4.5.1承包人项目经理必须与承包人投标时所承诺的人员一致，并在根据通用合同条款第11.1.1项确定的开工日期前到任。在监理人向承包人颁发(出具)工程接收证书前，项目经理不得同时兼任其他任何项目的项目经理。未经发包人书面许可，承包人不得更换项目经理。承包人项目经理的姓名、职称、身份证号、执业资格证书号、注册证书号、执业印章号、安全生产考核合格证书号等细节资料应当在合同协议书中载明。</w:t>
      </w:r>
    </w:p>
    <w:p w14:paraId="161A2BC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b/>
          <w:bCs/>
          <w:color w:val="auto"/>
          <w:sz w:val="24"/>
          <w:szCs w:val="24"/>
          <w:u w:val="single"/>
        </w:rPr>
      </w:pPr>
      <w:r>
        <w:rPr>
          <w:rFonts w:hint="eastAsia" w:ascii="宋体" w:hAnsi="宋体" w:eastAsia="宋体" w:cs="宋体"/>
          <w:color w:val="auto"/>
          <w:sz w:val="24"/>
          <w:szCs w:val="24"/>
        </w:rPr>
        <w:t>4.5.5</w:t>
      </w:r>
      <w:r>
        <w:rPr>
          <w:rFonts w:hint="eastAsia" w:ascii="宋体" w:hAnsi="宋体" w:eastAsia="宋体" w:cs="宋体"/>
          <w:b/>
          <w:bCs/>
          <w:color w:val="auto"/>
          <w:sz w:val="24"/>
          <w:szCs w:val="24"/>
          <w:u w:val="single"/>
        </w:rPr>
        <w:t>项目经理及管理班子人员名单（包括项目副经理、技术负责人、商务负责人、预算员、施工员、安全员等）及其专业资格证书复印件作为合同附件，其组成人员在本工程实施过程中应坚守岗位，不得另外承担其它工程项目的管理工作，未经发包人同意不得更换或撤回，否则视为承包人违约，发包人因此有权解除合同，并追究由此带来的发包人的一切损失。</w:t>
      </w:r>
    </w:p>
    <w:p w14:paraId="612A0B9A">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u w:val="single"/>
        </w:rPr>
      </w:pPr>
      <w:r>
        <w:rPr>
          <w:rFonts w:hint="eastAsia" w:ascii="宋体" w:hAnsi="宋体" w:eastAsia="宋体" w:cs="宋体"/>
          <w:b/>
          <w:bCs/>
          <w:color w:val="auto"/>
          <w:sz w:val="24"/>
          <w:szCs w:val="24"/>
          <w:u w:val="single"/>
        </w:rPr>
        <w:t>项目经理及承包人项目部主要管理人员（包括项目副经理、技术负责人、商务负责人、预算员、施工员、安全员等）不得擅自更换。如承包人代表确需易人，承包人应提前15天书面通知发包人，经发包人批准后方可易人，后任继续承担前任应负的责任。</w:t>
      </w:r>
    </w:p>
    <w:p w14:paraId="6F048F3A">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u w:val="single"/>
        </w:rPr>
      </w:pPr>
      <w:r>
        <w:rPr>
          <w:rFonts w:hint="eastAsia" w:ascii="宋体" w:hAnsi="宋体" w:eastAsia="宋体" w:cs="宋体"/>
          <w:b/>
          <w:bCs/>
          <w:color w:val="auto"/>
          <w:sz w:val="24"/>
          <w:szCs w:val="24"/>
          <w:u w:val="single"/>
        </w:rPr>
        <w:t>未经发包人同意，承包人不得擅自更换，项目经理每更换一次，承包人须支付违约金人民币150,000元；承包人在收到更换通知七日历天内上报新项目经理资质报，发包人审批合格后进场，否则按照人民币10,000元/天向发包人支付违约金。</w:t>
      </w:r>
    </w:p>
    <w:p w14:paraId="49FDE2D3">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u w:val="single"/>
        </w:rPr>
      </w:pPr>
      <w:r>
        <w:rPr>
          <w:rFonts w:hint="eastAsia" w:ascii="宋体" w:hAnsi="宋体" w:eastAsia="宋体" w:cs="宋体"/>
          <w:b/>
          <w:bCs/>
          <w:color w:val="auto"/>
          <w:sz w:val="24"/>
          <w:szCs w:val="24"/>
          <w:u w:val="single"/>
        </w:rPr>
        <w:t>未经发包人同意，其他管理人员（指技术负责人、商务负责人、现场经理、质量员、安全员）每更换一次，承包人须支付违约金人民币5,000元。</w:t>
      </w:r>
    </w:p>
    <w:p w14:paraId="6D29DC41">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u w:val="single"/>
        </w:rPr>
      </w:pPr>
      <w:r>
        <w:rPr>
          <w:rFonts w:hint="eastAsia" w:ascii="宋体" w:hAnsi="宋体" w:eastAsia="宋体" w:cs="宋体"/>
          <w:b/>
          <w:bCs/>
          <w:color w:val="auto"/>
          <w:sz w:val="24"/>
          <w:szCs w:val="24"/>
          <w:u w:val="single"/>
        </w:rPr>
        <w:t>需开除人员，经发包人提出后，必须在24小时内调离本工程范围，否则每人次承包人支付发包人违约金人民币2,000元；同时，承包人应在3天内用发包人批准的合格的人员代替上述调离的任何人员。</w:t>
      </w:r>
    </w:p>
    <w:p w14:paraId="0D83B37D">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u w:val="single"/>
        </w:rPr>
      </w:pPr>
      <w:r>
        <w:rPr>
          <w:rFonts w:hint="eastAsia" w:ascii="宋体" w:hAnsi="宋体" w:eastAsia="宋体" w:cs="宋体"/>
          <w:b/>
          <w:bCs/>
          <w:color w:val="auto"/>
          <w:sz w:val="24"/>
          <w:szCs w:val="24"/>
          <w:u w:val="single"/>
        </w:rPr>
        <w:t>本工程要求项目经理本人每周不少于5天、每天至少8小时在本工程现场工作，如发现项目经理未经发包人同意，违反上述规定，每发现一次承包人支付违约金2000元。由发包人安排专人对承包人的现场人员考勤考核。不经发包人同意，项目经理不允许更换，否则将扣罚合同价2</w:t>
      </w:r>
      <w:r>
        <w:rPr>
          <w:rFonts w:hint="eastAsia" w:ascii="宋体" w:hAnsi="宋体" w:eastAsia="宋体" w:cs="宋体"/>
          <w:b/>
          <w:color w:val="auto"/>
          <w:sz w:val="24"/>
          <w:szCs w:val="24"/>
          <w:u w:val="single"/>
        </w:rPr>
        <w:t>％</w:t>
      </w:r>
      <w:r>
        <w:rPr>
          <w:rFonts w:hint="eastAsia" w:ascii="宋体" w:hAnsi="宋体" w:eastAsia="宋体" w:cs="宋体"/>
          <w:b/>
          <w:bCs/>
          <w:color w:val="auto"/>
          <w:sz w:val="24"/>
          <w:szCs w:val="24"/>
          <w:u w:val="single"/>
        </w:rPr>
        <w:t>作为违约金，发包人有权解除合同。发包人可以随时要求承包人更换不合格的项目经理。</w:t>
      </w:r>
    </w:p>
    <w:p w14:paraId="07EFAB1A">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u w:val="single"/>
        </w:rPr>
        <w:t>本条未提到的项目经理其它权利和义务执行合同通用条款</w:t>
      </w:r>
      <w:r>
        <w:rPr>
          <w:rFonts w:hint="eastAsia" w:ascii="宋体" w:hAnsi="宋体" w:eastAsia="宋体" w:cs="宋体"/>
          <w:b/>
          <w:bCs/>
          <w:color w:val="auto"/>
          <w:sz w:val="24"/>
          <w:szCs w:val="24"/>
        </w:rPr>
        <w:t>。</w:t>
      </w:r>
    </w:p>
    <w:p w14:paraId="6B7A618E">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4.11不利物质条件</w:t>
      </w:r>
    </w:p>
    <w:p w14:paraId="1603380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4.11.1不利物质条件的范围：</w:t>
      </w:r>
      <w:r>
        <w:rPr>
          <w:rFonts w:hint="eastAsia" w:ascii="宋体" w:hAnsi="宋体" w:eastAsia="宋体" w:cs="宋体"/>
          <w:color w:val="auto"/>
          <w:sz w:val="24"/>
          <w:szCs w:val="24"/>
          <w:u w:val="single"/>
        </w:rPr>
        <w:t>不利物质条件指承包人在施工场地遇到的不可预见的自然物质条件、非自然的物质障碍和污染物，包括地下和水文条件，但不包括气候条件。</w:t>
      </w:r>
    </w:p>
    <w:p w14:paraId="407C555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4.11.3</w:t>
      </w:r>
      <w:r>
        <w:rPr>
          <w:rFonts w:hint="eastAsia" w:ascii="宋体" w:hAnsi="宋体" w:eastAsia="宋体" w:cs="宋体"/>
          <w:color w:val="auto"/>
          <w:sz w:val="24"/>
          <w:szCs w:val="24"/>
          <w:u w:val="single"/>
        </w:rPr>
        <w:t>在不利物质条件发生之前，监理人已经指示承包人有可能发生，但承包人未能及时采取有效措施，而导致的损失和后果均由承包人承担。</w:t>
      </w:r>
    </w:p>
    <w:p w14:paraId="18520D76">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5.材料和工程设备</w:t>
      </w:r>
    </w:p>
    <w:p w14:paraId="7E5F8F73">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5.1承包人提供的材料和工程设备</w:t>
      </w:r>
    </w:p>
    <w:p w14:paraId="1A2C576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5.1.1除专用合同条款第5.2款约定由发包人提供的材料和工程设备外，由承包人提供的材料和工程设备均由承包人负责采购、运输和保管。但是，发包人在招标时给定暂估价的材料和工程设备，其中属于依法必须招标的范围并达到规定的规模标准的，以及虽不属于依法必须招标的范围但合同中约定采用招标方式采购的，应当按专用合同条款第15.8.1项的约定，由</w:t>
      </w:r>
      <w:r>
        <w:rPr>
          <w:rFonts w:hint="eastAsia" w:ascii="宋体" w:hAnsi="宋体" w:eastAsia="宋体" w:cs="宋体"/>
          <w:color w:val="auto"/>
          <w:sz w:val="24"/>
          <w:szCs w:val="24"/>
        </w:rPr>
        <w:t>发包人和承包人以招标方式确定专项供应商。承包人负责提供的主要材料和工程设备清单见合同附件二“承包人提供的材料和工程设备一览表”。</w:t>
      </w:r>
    </w:p>
    <w:p w14:paraId="0CA8A33A">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color w:val="auto"/>
          <w:sz w:val="24"/>
          <w:szCs w:val="24"/>
          <w:u w:val="single"/>
        </w:rPr>
      </w:pPr>
      <w:r>
        <w:rPr>
          <w:rFonts w:hint="eastAsia" w:ascii="宋体" w:hAnsi="宋体" w:eastAsia="宋体" w:cs="宋体"/>
          <w:b/>
          <w:color w:val="auto"/>
          <w:sz w:val="24"/>
          <w:szCs w:val="24"/>
          <w:u w:val="single"/>
        </w:rPr>
        <w:t>承包人负责提供的材料和工程设备，技术标准和要求中有规定的必须优于或等同于技术标准和要求中的规定。</w:t>
      </w:r>
    </w:p>
    <w:p w14:paraId="2BA9F839">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color w:val="auto"/>
          <w:sz w:val="24"/>
          <w:szCs w:val="24"/>
          <w:u w:val="single"/>
        </w:rPr>
      </w:pPr>
      <w:r>
        <w:rPr>
          <w:rFonts w:hint="eastAsia" w:ascii="宋体" w:hAnsi="宋体" w:eastAsia="宋体" w:cs="宋体"/>
          <w:b/>
          <w:color w:val="auto"/>
          <w:sz w:val="24"/>
          <w:szCs w:val="24"/>
          <w:u w:val="single"/>
        </w:rPr>
        <w:t>承包人负责提供的主要材料和工程设备</w:t>
      </w:r>
      <w:r>
        <w:rPr>
          <w:rFonts w:hint="eastAsia" w:ascii="宋体" w:hAnsi="宋体" w:cs="宋体"/>
          <w:b/>
          <w:color w:val="auto"/>
          <w:sz w:val="24"/>
          <w:szCs w:val="24"/>
          <w:u w:val="single"/>
          <w:lang w:eastAsia="zh-CN"/>
        </w:rPr>
        <w:t>（包括钢制格纹框、装饰灯、钢制欧式条纹框）</w:t>
      </w:r>
      <w:r>
        <w:rPr>
          <w:rFonts w:hint="eastAsia" w:ascii="宋体" w:hAnsi="宋体" w:eastAsia="宋体" w:cs="宋体"/>
          <w:b/>
          <w:color w:val="auto"/>
          <w:sz w:val="24"/>
          <w:szCs w:val="24"/>
          <w:u w:val="single"/>
        </w:rPr>
        <w:t>必须经发包人和承包人共同考察，经发包人书面确定材料品牌、规格后方可投入工程。</w:t>
      </w:r>
    </w:p>
    <w:p w14:paraId="377652B4">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color w:val="auto"/>
          <w:sz w:val="24"/>
          <w:szCs w:val="24"/>
          <w:u w:val="single"/>
        </w:rPr>
      </w:pPr>
      <w:r>
        <w:rPr>
          <w:rFonts w:hint="eastAsia" w:ascii="宋体" w:hAnsi="宋体" w:eastAsia="宋体" w:cs="宋体"/>
          <w:b/>
          <w:color w:val="auto"/>
          <w:sz w:val="24"/>
          <w:szCs w:val="24"/>
          <w:u w:val="single"/>
        </w:rPr>
        <w:t>承包人所采购的材料必须达到国标标</w:t>
      </w:r>
      <w:r>
        <w:rPr>
          <w:rFonts w:hint="eastAsia" w:ascii="宋体" w:hAnsi="宋体" w:eastAsia="宋体" w:cs="宋体"/>
          <w:b/>
          <w:color w:val="auto"/>
          <w:sz w:val="24"/>
          <w:szCs w:val="24"/>
          <w:u w:val="single"/>
        </w:rPr>
        <w:t>准，并满足一次性验收合格。</w:t>
      </w:r>
    </w:p>
    <w:p w14:paraId="4335947C">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color w:val="auto"/>
          <w:sz w:val="24"/>
          <w:szCs w:val="24"/>
        </w:rPr>
      </w:pPr>
      <w:r>
        <w:rPr>
          <w:rFonts w:hint="eastAsia" w:ascii="宋体" w:hAnsi="宋体" w:eastAsia="宋体" w:cs="宋体"/>
          <w:b/>
          <w:color w:val="auto"/>
          <w:sz w:val="24"/>
          <w:szCs w:val="24"/>
          <w:u w:val="single"/>
        </w:rPr>
        <w:t>材料进场验收要求：货物验收必须以本合同规定的货物品牌、规格、型号、产地和质量检验标准为依据。货物品种、规格、型号、质量不符合合同约定的，承包人应在3日内将其搬离发包人现场，因此产生的费用由承包人自行承担，并向发包人支付由此导致的5000-30000元的违约金和对发包人产生的一切经济损失。若承包人在采购前提供样品的，承包人交付的货物，不但需满足国家规范质量标准，并需达到样品的质量标准。若货物与样品不符，承包人应立即清除现场并及时更换合格产品，因此产生的费用由承包人自行承担，并向发包人支付由此导致的5000-30000元的违约金。未经批准，承包人私自将已按照合同约定进入施工现场的材料或设备撤离施工现场的，并承担由此导致的5000-30000元的违约责任。因承包人自购的材料、货物不符合设计标准和技术标准导致的工期延误，由承包人自行承担，总工期不顺延（造成总工期延误，</w:t>
      </w:r>
      <w:r>
        <w:rPr>
          <w:rFonts w:hint="eastAsia" w:ascii="宋体" w:hAnsi="宋体" w:eastAsia="宋体" w:cs="宋体"/>
          <w:b/>
          <w:bCs/>
          <w:color w:val="auto"/>
          <w:sz w:val="24"/>
          <w:szCs w:val="24"/>
          <w:u w:val="single"/>
        </w:rPr>
        <w:t>按照第11.5的约定执行</w:t>
      </w:r>
      <w:r>
        <w:rPr>
          <w:rFonts w:hint="eastAsia" w:ascii="宋体" w:hAnsi="宋体" w:eastAsia="宋体" w:cs="宋体"/>
          <w:b/>
          <w:color w:val="auto"/>
          <w:sz w:val="24"/>
          <w:szCs w:val="24"/>
          <w:u w:val="single"/>
        </w:rPr>
        <w:t>）。</w:t>
      </w:r>
    </w:p>
    <w:p w14:paraId="23F9914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5.1.2承包人将由其提供的材料和工程设备的供货人及品种、规格、数量和供货时间等报送监理人审批的期限：</w:t>
      </w:r>
      <w:r>
        <w:rPr>
          <w:rFonts w:hint="eastAsia" w:ascii="宋体" w:hAnsi="宋体" w:eastAsia="宋体" w:cs="宋体"/>
          <w:color w:val="auto"/>
          <w:sz w:val="24"/>
          <w:szCs w:val="24"/>
          <w:u w:val="single"/>
        </w:rPr>
        <w:t xml:space="preserve">相关分部分项工程开始施工前7天报送监理人审批。 </w:t>
      </w:r>
    </w:p>
    <w:p w14:paraId="46508FD0">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5.2发包人提供的材料和工程设备</w:t>
      </w:r>
    </w:p>
    <w:p w14:paraId="727860C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5.2.1发包人负责提供的材料和工程设备的名称、规格、数量、价格、交货方式、交货地点和计划交货日期等确定后7日内转交给承包人。</w:t>
      </w:r>
    </w:p>
    <w:p w14:paraId="190C2FD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5.2.3由发包人提供的材料和工程设备验收后，由承包人负责接收（含卸车）、运输和保管及二次运输，由此发生的费用被认为已经包括</w:t>
      </w:r>
      <w:r>
        <w:rPr>
          <w:rFonts w:hint="eastAsia" w:ascii="宋体" w:hAnsi="宋体" w:eastAsia="宋体" w:cs="宋体"/>
          <w:color w:val="auto"/>
          <w:sz w:val="24"/>
          <w:szCs w:val="24"/>
          <w:lang w:eastAsia="zh-CN"/>
        </w:rPr>
        <w:t>（均摊）</w:t>
      </w:r>
      <w:r>
        <w:rPr>
          <w:rFonts w:hint="eastAsia" w:ascii="宋体" w:hAnsi="宋体" w:eastAsia="宋体" w:cs="宋体"/>
          <w:color w:val="auto"/>
          <w:sz w:val="24"/>
          <w:szCs w:val="24"/>
        </w:rPr>
        <w:t>在承包人的</w:t>
      </w:r>
      <w:r>
        <w:rPr>
          <w:rFonts w:hint="eastAsia" w:ascii="宋体" w:hAnsi="宋体" w:eastAsia="宋体" w:cs="宋体"/>
          <w:color w:val="auto"/>
          <w:sz w:val="24"/>
          <w:szCs w:val="24"/>
          <w:u w:val="none"/>
          <w:lang w:val="en-US" w:eastAsia="zh-CN"/>
        </w:rPr>
        <w:t>固定含税</w:t>
      </w:r>
      <w:r>
        <w:rPr>
          <w:rFonts w:hint="eastAsia" w:ascii="宋体" w:hAnsi="宋体" w:eastAsia="宋体" w:cs="宋体"/>
          <w:color w:val="auto"/>
          <w:sz w:val="24"/>
          <w:szCs w:val="24"/>
          <w:u w:val="none"/>
        </w:rPr>
        <w:t>全费用综合单价</w:t>
      </w:r>
      <w:r>
        <w:rPr>
          <w:rFonts w:hint="eastAsia" w:ascii="宋体" w:hAnsi="宋体" w:eastAsia="宋体" w:cs="宋体"/>
          <w:color w:val="auto"/>
          <w:sz w:val="24"/>
          <w:szCs w:val="24"/>
        </w:rPr>
        <w:t>中，结算时不再另行计取。</w:t>
      </w:r>
    </w:p>
    <w:p w14:paraId="3F18D0E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5.2.4（1）发包人有权视情况更改本工程所有材料的供应方式，承包人不得有异议，并不得为此向发包人提出任何索赔。</w:t>
      </w:r>
    </w:p>
    <w:p w14:paraId="6496996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如有需定价材料，在认价过程中，承包人与发包人对材料价格达成一致，双方必须在48小时内签署书面确认资料，承包人不得以发包人未核价为由拖延或者拒绝施工以致于影响工期，发包人有权直接委托第三方施工或供货，相关费用并增加20%管理费从承包人工程款中扣除。</w:t>
      </w:r>
    </w:p>
    <w:p w14:paraId="142FDD5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（3）在双方认价过程中，如发包人给与的最高限价能够采购到该产品，承包人不给予确认，发包人有权改变材料供应方式，该材料价格在结算中按材料价格的120%扣除。</w:t>
      </w:r>
    </w:p>
    <w:p w14:paraId="1CCB1740">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5.5第5条补充如下：</w:t>
      </w:r>
    </w:p>
    <w:p w14:paraId="752FB4B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5.5.1发包人有权视情况更改本工程所有材料的供应方式，承包人不得有异议，并不得为此向发包人提出任何索赔。</w:t>
      </w:r>
    </w:p>
    <w:p w14:paraId="08F4C09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5.5.2如有需定价材料，在认价过程中，承包人与发包人对材料价格达成一致，双方必须在48小时内签署书面确认资料，承包人不得以发包人未核价为由拖延或者拒绝施工以致于影响工期，发包人有权直接委托第三方施工或供货，相关费用并增加20%管理费从承包人工程款中扣除。</w:t>
      </w:r>
    </w:p>
    <w:p w14:paraId="5307AF7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5.5.3在双方认价过程中，如发包人给与的最高限价能够采购到该产品，承包人不给予确认，发包人有权改变材料供应方式，该材料价格在结算中按材料价格的120%扣除。</w:t>
      </w:r>
    </w:p>
    <w:p w14:paraId="53D51149">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6.施工设备和临时设施</w:t>
      </w:r>
    </w:p>
    <w:p w14:paraId="41F33931">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6.1承包人提供的施工设备和临时设施</w:t>
      </w:r>
    </w:p>
    <w:p w14:paraId="2DBB4F4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6.1.2发包人承担修建临时设施的费用的范围：</w:t>
      </w:r>
      <w:r>
        <w:rPr>
          <w:rFonts w:hint="eastAsia" w:ascii="宋体" w:hAnsi="宋体" w:eastAsia="宋体" w:cs="宋体"/>
          <w:color w:val="auto"/>
          <w:sz w:val="24"/>
          <w:szCs w:val="24"/>
          <w:u w:val="single"/>
        </w:rPr>
        <w:t xml:space="preserve">               无</w:t>
      </w:r>
      <w:r>
        <w:rPr>
          <w:rFonts w:hint="eastAsia" w:ascii="宋体" w:hAnsi="宋体" w:eastAsia="宋体" w:cs="宋体"/>
          <w:color w:val="auto"/>
          <w:sz w:val="24"/>
          <w:szCs w:val="24"/>
        </w:rPr>
        <w:t>。</w:t>
      </w:r>
    </w:p>
    <w:p w14:paraId="7D05E09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需要发包人办理申请手续和承担相关费用的临时占地：</w:t>
      </w:r>
      <w:r>
        <w:rPr>
          <w:rFonts w:hint="eastAsia" w:ascii="宋体" w:hAnsi="宋体" w:eastAsia="宋体" w:cs="宋体"/>
          <w:color w:val="auto"/>
          <w:sz w:val="24"/>
          <w:szCs w:val="24"/>
          <w:u w:val="single"/>
        </w:rPr>
        <w:t xml:space="preserve">        无</w:t>
      </w:r>
      <w:r>
        <w:rPr>
          <w:rFonts w:hint="eastAsia" w:ascii="宋体" w:hAnsi="宋体" w:eastAsia="宋体" w:cs="宋体"/>
          <w:color w:val="auto"/>
          <w:sz w:val="24"/>
          <w:szCs w:val="24"/>
        </w:rPr>
        <w:t>。</w:t>
      </w:r>
    </w:p>
    <w:p w14:paraId="3CC2F99F">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6.2发包人提供的施工设备和临时设施</w:t>
      </w:r>
    </w:p>
    <w:p w14:paraId="406A8D8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发包人提供的施工设备和临时设施：</w:t>
      </w:r>
      <w:r>
        <w:rPr>
          <w:rFonts w:hint="eastAsia" w:ascii="宋体" w:hAnsi="宋体" w:eastAsia="宋体" w:cs="宋体"/>
          <w:color w:val="auto"/>
          <w:sz w:val="24"/>
          <w:szCs w:val="24"/>
          <w:u w:val="single"/>
        </w:rPr>
        <w:t xml:space="preserve">              无 </w:t>
      </w:r>
      <w:r>
        <w:rPr>
          <w:rFonts w:hint="eastAsia" w:ascii="宋体" w:hAnsi="宋体" w:eastAsia="宋体" w:cs="宋体"/>
          <w:color w:val="auto"/>
          <w:sz w:val="24"/>
          <w:szCs w:val="24"/>
        </w:rPr>
        <w:t>。</w:t>
      </w:r>
    </w:p>
    <w:p w14:paraId="606F6A2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发包人提供的施工设备和临时设施的运行、维护、拆除、清运费用的承担人：</w:t>
      </w:r>
      <w:r>
        <w:rPr>
          <w:rFonts w:hint="eastAsia" w:ascii="宋体" w:hAnsi="宋体" w:eastAsia="宋体" w:cs="宋体"/>
          <w:color w:val="auto"/>
          <w:sz w:val="24"/>
          <w:szCs w:val="24"/>
          <w:u w:val="single"/>
        </w:rPr>
        <w:t xml:space="preserve">   / </w:t>
      </w:r>
      <w:r>
        <w:rPr>
          <w:rFonts w:hint="eastAsia" w:ascii="宋体" w:hAnsi="宋体" w:eastAsia="宋体" w:cs="宋体"/>
          <w:color w:val="auto"/>
          <w:sz w:val="24"/>
          <w:szCs w:val="24"/>
        </w:rPr>
        <w:t>。</w:t>
      </w:r>
    </w:p>
    <w:p w14:paraId="1EE983CD">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6.4施工设备和临时设施专用于合同工程</w:t>
      </w:r>
    </w:p>
    <w:p w14:paraId="175FB03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6.4.1除为专用合同条款第4.1.8项约定的其他独立承包人和监理人指示的他人提供条件外，承包人运入施工场地的所有施工设备以及在施工场地建设的临时设施仅限于用于合同工程。</w:t>
      </w:r>
    </w:p>
    <w:p w14:paraId="76D50CDD">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7.交通运输</w:t>
      </w:r>
    </w:p>
    <w:p w14:paraId="280085F3">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7.1道路通行权和场外设施</w:t>
      </w:r>
    </w:p>
    <w:p w14:paraId="057131E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取得道路通行权、场外设施修建权的办理人：</w:t>
      </w:r>
      <w:r>
        <w:rPr>
          <w:rFonts w:hint="eastAsia" w:ascii="宋体" w:hAnsi="宋体" w:eastAsia="宋体" w:cs="宋体"/>
          <w:color w:val="auto"/>
          <w:sz w:val="24"/>
          <w:szCs w:val="24"/>
          <w:u w:val="single"/>
        </w:rPr>
        <w:t xml:space="preserve"> 承包人 </w:t>
      </w:r>
      <w:r>
        <w:rPr>
          <w:rFonts w:hint="eastAsia" w:ascii="宋体" w:hAnsi="宋体" w:eastAsia="宋体" w:cs="宋体"/>
          <w:color w:val="auto"/>
          <w:sz w:val="24"/>
          <w:szCs w:val="24"/>
        </w:rPr>
        <w:t>，其相关费用由承包人承担。</w:t>
      </w:r>
    </w:p>
    <w:p w14:paraId="7E06164A">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7.2场内施工道路</w:t>
      </w:r>
    </w:p>
    <w:p w14:paraId="47A7FBA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7.2.1施工所需的场内临时道路和交通设施的修建、维护、养护和管理人：</w:t>
      </w:r>
      <w:r>
        <w:rPr>
          <w:rFonts w:hint="eastAsia" w:ascii="宋体" w:hAnsi="宋体" w:eastAsia="宋体" w:cs="宋体"/>
          <w:color w:val="auto"/>
          <w:sz w:val="24"/>
          <w:szCs w:val="24"/>
          <w:u w:val="single"/>
        </w:rPr>
        <w:t xml:space="preserve"> 承包人 </w:t>
      </w:r>
      <w:r>
        <w:rPr>
          <w:rFonts w:hint="eastAsia" w:ascii="宋体" w:hAnsi="宋体" w:eastAsia="宋体" w:cs="宋体"/>
          <w:color w:val="auto"/>
          <w:sz w:val="24"/>
          <w:szCs w:val="24"/>
        </w:rPr>
        <w:t>，相关费用由</w:t>
      </w:r>
      <w:r>
        <w:rPr>
          <w:rFonts w:hint="eastAsia" w:ascii="宋体" w:hAnsi="宋体" w:eastAsia="宋体" w:cs="宋体"/>
          <w:color w:val="auto"/>
          <w:sz w:val="24"/>
          <w:szCs w:val="24"/>
          <w:u w:val="single"/>
        </w:rPr>
        <w:t xml:space="preserve"> 承包人 </w:t>
      </w:r>
      <w:r>
        <w:rPr>
          <w:rFonts w:hint="eastAsia" w:ascii="宋体" w:hAnsi="宋体" w:eastAsia="宋体" w:cs="宋体"/>
          <w:color w:val="auto"/>
          <w:sz w:val="24"/>
          <w:szCs w:val="24"/>
        </w:rPr>
        <w:t>承担。</w:t>
      </w:r>
    </w:p>
    <w:p w14:paraId="6F79940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7.2.2发包人和监理人有权无偿使用承包人修建的临时道路和交通设施，不需要交纳任何费用。</w:t>
      </w:r>
    </w:p>
    <w:p w14:paraId="2E5497B0">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7.4超大件和超重件的运输</w:t>
      </w:r>
    </w:p>
    <w:p w14:paraId="28BE59B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运输超大件或超重件所需的道路和桥梁临时加固改造等费用的承担人：</w:t>
      </w:r>
      <w:r>
        <w:rPr>
          <w:rFonts w:hint="eastAsia" w:ascii="宋体" w:hAnsi="宋体" w:eastAsia="宋体" w:cs="宋体"/>
          <w:color w:val="auto"/>
          <w:sz w:val="24"/>
          <w:szCs w:val="24"/>
          <w:u w:val="single"/>
        </w:rPr>
        <w:t xml:space="preserve"> 承包人</w:t>
      </w:r>
      <w:r>
        <w:rPr>
          <w:rFonts w:hint="eastAsia" w:ascii="宋体" w:hAnsi="宋体" w:eastAsia="宋体" w:cs="宋体"/>
          <w:color w:val="auto"/>
          <w:sz w:val="24"/>
          <w:szCs w:val="24"/>
        </w:rPr>
        <w:t>。</w:t>
      </w:r>
    </w:p>
    <w:p w14:paraId="3AD5451E">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8.测量放线</w:t>
      </w:r>
    </w:p>
    <w:p w14:paraId="345BA07A">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8.1施工控制网</w:t>
      </w:r>
    </w:p>
    <w:p w14:paraId="55FDEBE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8.1.1发包人通过监理人提供测量基准点、基准线和水准点及其书面资料的期限：</w:t>
      </w:r>
      <w:r>
        <w:rPr>
          <w:rFonts w:hint="eastAsia" w:ascii="宋体" w:hAnsi="宋体" w:eastAsia="宋体" w:cs="宋体"/>
          <w:color w:val="auto"/>
          <w:sz w:val="24"/>
          <w:szCs w:val="24"/>
          <w:u w:val="single"/>
        </w:rPr>
        <w:t xml:space="preserve"> / </w:t>
      </w:r>
      <w:r>
        <w:rPr>
          <w:rFonts w:hint="eastAsia" w:ascii="宋体" w:hAnsi="宋体" w:eastAsia="宋体" w:cs="宋体"/>
          <w:color w:val="auto"/>
          <w:sz w:val="24"/>
          <w:szCs w:val="24"/>
        </w:rPr>
        <w:t>。</w:t>
      </w:r>
    </w:p>
    <w:p w14:paraId="53A1D85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承包人测设施工控制网的要求：</w:t>
      </w:r>
      <w:r>
        <w:rPr>
          <w:rFonts w:hint="eastAsia" w:ascii="宋体" w:hAnsi="宋体" w:eastAsia="宋体" w:cs="宋体"/>
          <w:color w:val="auto"/>
          <w:sz w:val="24"/>
          <w:szCs w:val="24"/>
          <w:u w:val="single"/>
        </w:rPr>
        <w:t xml:space="preserve">  /   </w:t>
      </w:r>
      <w:r>
        <w:rPr>
          <w:rFonts w:hint="eastAsia" w:ascii="宋体" w:hAnsi="宋体" w:eastAsia="宋体" w:cs="宋体"/>
          <w:color w:val="auto"/>
          <w:sz w:val="24"/>
          <w:szCs w:val="24"/>
        </w:rPr>
        <w:t>。</w:t>
      </w:r>
    </w:p>
    <w:p w14:paraId="665BF09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承包人将施工控制网资料报送监理人审批的期限：</w:t>
      </w:r>
      <w:r>
        <w:rPr>
          <w:rFonts w:hint="eastAsia" w:ascii="宋体" w:hAnsi="宋体" w:eastAsia="宋体" w:cs="宋体"/>
          <w:color w:val="auto"/>
          <w:sz w:val="24"/>
          <w:szCs w:val="24"/>
          <w:u w:val="single"/>
        </w:rPr>
        <w:t xml:space="preserve"> /   </w:t>
      </w:r>
      <w:r>
        <w:rPr>
          <w:rFonts w:hint="eastAsia" w:ascii="宋体" w:hAnsi="宋体" w:eastAsia="宋体" w:cs="宋体"/>
          <w:color w:val="auto"/>
          <w:sz w:val="24"/>
          <w:szCs w:val="24"/>
        </w:rPr>
        <w:t>。</w:t>
      </w:r>
    </w:p>
    <w:p w14:paraId="2E520D2A">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9.施工安全、治安保卫和环境保护</w:t>
      </w:r>
    </w:p>
    <w:p w14:paraId="79672613">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9.2承包人的施工安全责任</w:t>
      </w:r>
    </w:p>
    <w:p w14:paraId="174FC52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9.2.1承包人向监理人报送施工安全措施计划的期限：</w:t>
      </w:r>
      <w:r>
        <w:rPr>
          <w:rFonts w:hint="eastAsia" w:ascii="宋体" w:hAnsi="宋体" w:eastAsia="宋体" w:cs="宋体"/>
          <w:color w:val="auto"/>
          <w:sz w:val="24"/>
          <w:szCs w:val="24"/>
          <w:u w:val="single"/>
        </w:rPr>
        <w:t xml:space="preserve"> 签订施工合同后7天内 </w:t>
      </w:r>
      <w:r>
        <w:rPr>
          <w:rFonts w:hint="eastAsia" w:ascii="宋体" w:hAnsi="宋体" w:eastAsia="宋体" w:cs="宋体"/>
          <w:color w:val="auto"/>
          <w:sz w:val="24"/>
          <w:szCs w:val="24"/>
        </w:rPr>
        <w:t>。</w:t>
      </w:r>
    </w:p>
    <w:p w14:paraId="648E538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监理人收到承包人报送的施工安全措施计划后应当在</w:t>
      </w:r>
      <w:r>
        <w:rPr>
          <w:rFonts w:hint="eastAsia" w:ascii="宋体" w:hAnsi="宋体" w:eastAsia="宋体" w:cs="宋体"/>
          <w:color w:val="auto"/>
          <w:sz w:val="24"/>
          <w:szCs w:val="24"/>
          <w:u w:val="single"/>
        </w:rPr>
        <w:t xml:space="preserve">  3  </w:t>
      </w:r>
      <w:r>
        <w:rPr>
          <w:rFonts w:hint="eastAsia" w:ascii="宋体" w:hAnsi="宋体" w:eastAsia="宋体" w:cs="宋体"/>
          <w:color w:val="auto"/>
          <w:sz w:val="24"/>
          <w:szCs w:val="24"/>
        </w:rPr>
        <w:t>天内给予批复。</w:t>
      </w:r>
    </w:p>
    <w:p w14:paraId="719025F3">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9.3治安保卫</w:t>
      </w:r>
    </w:p>
    <w:p w14:paraId="32D571F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9.3.1承包人应当负责统一管理施工场地的治安保卫事项，履行合同工程的治安保卫职责。</w:t>
      </w:r>
    </w:p>
    <w:p w14:paraId="0A1B2C1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9.3.3施工场地治安管理计划和突发治安事件紧急预案的编制责任人：</w:t>
      </w:r>
      <w:r>
        <w:rPr>
          <w:rFonts w:hint="eastAsia" w:ascii="宋体" w:hAnsi="宋体" w:eastAsia="宋体" w:cs="宋体"/>
          <w:color w:val="auto"/>
          <w:sz w:val="24"/>
          <w:szCs w:val="24"/>
          <w:u w:val="single"/>
        </w:rPr>
        <w:t xml:space="preserve">  承包人 </w:t>
      </w:r>
      <w:r>
        <w:rPr>
          <w:rFonts w:hint="eastAsia" w:ascii="宋体" w:hAnsi="宋体" w:eastAsia="宋体" w:cs="宋体"/>
          <w:color w:val="auto"/>
          <w:sz w:val="24"/>
          <w:szCs w:val="24"/>
        </w:rPr>
        <w:t>。</w:t>
      </w:r>
    </w:p>
    <w:p w14:paraId="287B8334">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9.4环境保护</w:t>
      </w:r>
    </w:p>
    <w:p w14:paraId="7E85924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9.4.2施工环保措施计划报送监理人审批的时间：</w:t>
      </w:r>
      <w:r>
        <w:rPr>
          <w:rFonts w:hint="eastAsia" w:ascii="宋体" w:hAnsi="宋体" w:eastAsia="宋体" w:cs="宋体"/>
          <w:color w:val="auto"/>
          <w:sz w:val="24"/>
          <w:szCs w:val="24"/>
          <w:u w:val="single"/>
        </w:rPr>
        <w:t xml:space="preserve">  签订施工合同后7天内      </w:t>
      </w:r>
      <w:r>
        <w:rPr>
          <w:rFonts w:hint="eastAsia" w:ascii="宋体" w:hAnsi="宋体" w:eastAsia="宋体" w:cs="宋体"/>
          <w:color w:val="auto"/>
          <w:sz w:val="24"/>
          <w:szCs w:val="24"/>
        </w:rPr>
        <w:t>。</w:t>
      </w:r>
    </w:p>
    <w:p w14:paraId="614D876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监理人收到承包人报送的施工环保措施计划后应当在</w:t>
      </w:r>
      <w:r>
        <w:rPr>
          <w:rFonts w:hint="eastAsia" w:ascii="宋体" w:hAnsi="宋体" w:eastAsia="宋体" w:cs="宋体"/>
          <w:color w:val="auto"/>
          <w:sz w:val="24"/>
          <w:szCs w:val="24"/>
          <w:u w:val="single"/>
        </w:rPr>
        <w:t xml:space="preserve">  3  </w:t>
      </w:r>
      <w:r>
        <w:rPr>
          <w:rFonts w:hint="eastAsia" w:ascii="宋体" w:hAnsi="宋体" w:eastAsia="宋体" w:cs="宋体"/>
          <w:color w:val="auto"/>
          <w:sz w:val="24"/>
          <w:szCs w:val="24"/>
        </w:rPr>
        <w:t>天内给予批复。</w:t>
      </w:r>
    </w:p>
    <w:p w14:paraId="1474EF9B">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10.进度计划</w:t>
      </w:r>
    </w:p>
    <w:p w14:paraId="054C5B89">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10.1合同进度计划</w:t>
      </w:r>
    </w:p>
    <w:p w14:paraId="7356CFE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(1)承包人应当在收到监理人按照通用合同条款第11.1.1项发出的开工通知后7天内，编制详细的施工进度计划和施工方案说明并报送监理人。承包人编制施工进度计划和施工方案说明的内容：</w:t>
      </w:r>
      <w:r>
        <w:rPr>
          <w:rFonts w:hint="eastAsia" w:ascii="宋体" w:hAnsi="宋体" w:eastAsia="宋体" w:cs="宋体"/>
          <w:color w:val="auto"/>
          <w:sz w:val="24"/>
          <w:szCs w:val="24"/>
          <w:u w:val="single"/>
        </w:rPr>
        <w:t xml:space="preserve"> 承包人应按投标阶段承诺的总进度计划关键线路目标，以及施工顺序和方法要点，向监理人提交更准确更详细的施工进度计划和施工方案 </w:t>
      </w:r>
      <w:r>
        <w:rPr>
          <w:rFonts w:hint="eastAsia" w:ascii="宋体" w:hAnsi="宋体" w:eastAsia="宋体" w:cs="宋体"/>
          <w:color w:val="auto"/>
          <w:sz w:val="24"/>
          <w:szCs w:val="24"/>
        </w:rPr>
        <w:t>，施工进度计划中还应载明要求发包人组织设计人进行阶段性工程设计交底的时间。</w:t>
      </w:r>
    </w:p>
    <w:p w14:paraId="7A21E10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(2)监理人批复或对施工进度计划和施工方案说明提出修改意见的期限：自监理人收到承包人报送的相关进度计划和施工方案说明后14天内。</w:t>
      </w:r>
    </w:p>
    <w:p w14:paraId="7AEEA5A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(3)承包人编制分阶段或分项施工进度计划和施工方案说明的内容：</w:t>
      </w:r>
      <w:r>
        <w:rPr>
          <w:rFonts w:hint="eastAsia" w:ascii="宋体" w:hAnsi="宋体" w:eastAsia="宋体" w:cs="宋体"/>
          <w:color w:val="auto"/>
          <w:sz w:val="24"/>
          <w:szCs w:val="24"/>
          <w:u w:val="single"/>
        </w:rPr>
        <w:t xml:space="preserve">        /          </w:t>
      </w:r>
    </w:p>
    <w:p w14:paraId="3D1E0F3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承包人报送分阶段或分项施工进度计划和施工方案说明的期限：</w:t>
      </w:r>
      <w:r>
        <w:rPr>
          <w:rFonts w:hint="eastAsia" w:ascii="宋体" w:hAnsi="宋体" w:eastAsia="宋体" w:cs="宋体"/>
          <w:color w:val="auto"/>
          <w:sz w:val="24"/>
          <w:szCs w:val="24"/>
          <w:u w:val="single"/>
        </w:rPr>
        <w:t xml:space="preserve">           / </w:t>
      </w:r>
      <w:r>
        <w:rPr>
          <w:rFonts w:hint="eastAsia" w:ascii="宋体" w:hAnsi="宋体" w:eastAsia="宋体" w:cs="宋体"/>
          <w:color w:val="auto"/>
          <w:sz w:val="24"/>
          <w:szCs w:val="24"/>
        </w:rPr>
        <w:t>。</w:t>
      </w:r>
    </w:p>
    <w:p w14:paraId="519B65D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(4)群体工程中单位工程分期进行施工的，承包人应按照发包人提供图纸及有关资料的时间，按单位工程编制进度计划和施工方案说明。群体工程中有关进度计划和施工方案说明的要求：</w:t>
      </w:r>
      <w:r>
        <w:rPr>
          <w:rFonts w:hint="eastAsia" w:ascii="宋体" w:hAnsi="宋体" w:eastAsia="宋体" w:cs="宋体"/>
          <w:color w:val="auto"/>
          <w:sz w:val="24"/>
          <w:szCs w:val="24"/>
          <w:u w:val="single"/>
        </w:rPr>
        <w:t xml:space="preserve">   /   </w:t>
      </w:r>
      <w:r>
        <w:rPr>
          <w:rFonts w:hint="eastAsia" w:ascii="宋体" w:hAnsi="宋体" w:eastAsia="宋体" w:cs="宋体"/>
          <w:color w:val="auto"/>
          <w:sz w:val="24"/>
          <w:szCs w:val="24"/>
        </w:rPr>
        <w:t>。</w:t>
      </w:r>
    </w:p>
    <w:p w14:paraId="0D1D0F6A">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10.2合同进度计划的修订</w:t>
      </w:r>
    </w:p>
    <w:p w14:paraId="098FDF3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(1)承包人报送修订合同进度计划申请报告和相关资料的期限：</w:t>
      </w:r>
      <w:r>
        <w:rPr>
          <w:rFonts w:hint="eastAsia" w:ascii="宋体" w:hAnsi="宋体" w:eastAsia="宋体" w:cs="宋体"/>
          <w:color w:val="auto"/>
          <w:sz w:val="24"/>
          <w:szCs w:val="24"/>
          <w:u w:val="single"/>
        </w:rPr>
        <w:t>实际进度发生滞后的当月25日前。</w:t>
      </w:r>
    </w:p>
    <w:p w14:paraId="473CE05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(2)监理人批复修订合同进度计划申请报告的期限：</w:t>
      </w:r>
      <w:r>
        <w:rPr>
          <w:rFonts w:hint="eastAsia" w:ascii="宋体" w:hAnsi="宋体" w:eastAsia="宋体" w:cs="宋体"/>
          <w:color w:val="auto"/>
          <w:sz w:val="24"/>
          <w:szCs w:val="24"/>
          <w:u w:val="single"/>
        </w:rPr>
        <w:t xml:space="preserve"> 收到修订合同进度计划申请报告后2天内。</w:t>
      </w:r>
    </w:p>
    <w:p w14:paraId="4541918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(3)监理人批复修订合同进度计划的期限：</w:t>
      </w:r>
      <w:r>
        <w:rPr>
          <w:rFonts w:hint="eastAsia" w:ascii="宋体" w:hAnsi="宋体" w:eastAsia="宋体" w:cs="宋体"/>
          <w:color w:val="auto"/>
          <w:sz w:val="24"/>
          <w:szCs w:val="24"/>
          <w:u w:val="single"/>
        </w:rPr>
        <w:t>收到修订合同进度计划后3天内</w:t>
      </w:r>
      <w:r>
        <w:rPr>
          <w:rFonts w:hint="eastAsia" w:ascii="宋体" w:hAnsi="宋体" w:eastAsia="宋体" w:cs="宋体"/>
          <w:color w:val="auto"/>
          <w:sz w:val="24"/>
          <w:szCs w:val="24"/>
        </w:rPr>
        <w:t>。</w:t>
      </w:r>
    </w:p>
    <w:p w14:paraId="43743468">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11.开工和竣工</w:t>
      </w:r>
    </w:p>
    <w:p w14:paraId="5366FDE1">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11.3发包人的工期延误</w:t>
      </w:r>
    </w:p>
    <w:p w14:paraId="32B3AFA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(7)因发包人原因不能按照监理人发出的开工通知中载明的开工日期开工。除发包人原因延期开工外，发包人造成工期延误的其他原因还包括：</w:t>
      </w:r>
      <w:r>
        <w:rPr>
          <w:rFonts w:hint="eastAsia" w:ascii="宋体" w:hAnsi="宋体" w:eastAsia="宋体" w:cs="宋体"/>
          <w:color w:val="auto"/>
          <w:sz w:val="24"/>
          <w:szCs w:val="24"/>
          <w:u w:val="single"/>
        </w:rPr>
        <w:t xml:space="preserve">         /       </w:t>
      </w:r>
      <w:r>
        <w:rPr>
          <w:rFonts w:hint="eastAsia" w:ascii="宋体" w:hAnsi="宋体" w:eastAsia="宋体" w:cs="宋体"/>
          <w:color w:val="auto"/>
          <w:sz w:val="24"/>
          <w:szCs w:val="24"/>
        </w:rPr>
        <w:t>等延误承包人关键线路工作的情况。</w:t>
      </w:r>
    </w:p>
    <w:p w14:paraId="41B302D0">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11.4异常恶劣的气候条件</w:t>
      </w:r>
    </w:p>
    <w:p w14:paraId="05A4BA6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异常恶劣的气候条件的范围和标准：</w:t>
      </w:r>
      <w:r>
        <w:rPr>
          <w:rFonts w:hint="eastAsia" w:ascii="宋体" w:hAnsi="宋体" w:eastAsia="宋体" w:cs="宋体"/>
          <w:color w:val="auto"/>
          <w:sz w:val="24"/>
          <w:szCs w:val="24"/>
          <w:u w:val="single"/>
        </w:rPr>
        <w:t xml:space="preserve">  项目所在地30年以上一遇的罕见气候现象（包括温度、降水、降雪、风等）</w:t>
      </w:r>
      <w:r>
        <w:rPr>
          <w:rFonts w:hint="eastAsia" w:ascii="宋体" w:hAnsi="宋体" w:eastAsia="宋体" w:cs="宋体"/>
          <w:color w:val="auto"/>
          <w:sz w:val="24"/>
          <w:szCs w:val="24"/>
        </w:rPr>
        <w:t>。</w:t>
      </w:r>
    </w:p>
    <w:p w14:paraId="08D8EC83">
      <w:pPr>
        <w:widowControl w:val="0"/>
        <w:kinsoku/>
        <w:wordWrap/>
        <w:overflowPunct/>
        <w:topLinePunct w:val="0"/>
        <w:autoSpaceDE/>
        <w:autoSpaceDN/>
        <w:bidi w:val="0"/>
        <w:spacing w:line="360" w:lineRule="auto"/>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11.5承包人的工期延误</w:t>
      </w:r>
    </w:p>
    <w:p w14:paraId="1DDBAAA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承包人因自身原因未能按照约定的期限内完成本工程，或者未能在相应的期限完成本工程中某单项工程，每延误一天承包人向发包人支付违约金为合同签约总价的 5‰ 及由此引起的所有相关损失。发包人可以向承包人支付的任何款项中扣除此项违约金，此赔偿费的支付并不能解除承包人应完成工程的责任或本合同规定的其他责任。</w:t>
      </w:r>
    </w:p>
    <w:p w14:paraId="38E7772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11.5.1、延期开工：承包人因故不能按时开工，应在约定的开工日期提前五天，向发包人提出延期开工的理由和要求。发包人书面同意延期要求的，工期方可相应顺延。否则，工期不予顺延。</w:t>
      </w:r>
    </w:p>
    <w:p w14:paraId="0F1B301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11.5.2、 暂停施工：发包人代表认为必要时，可提出暂停施工要求。承包人在实施发包人代表处理意见后，应及时提出复工要求，发包人书面予以答复后，方可复工；停工责任在发包人的，工期相应顺延。停工责任在承包人的，由承包人承担发生的费用，并向发包人支付违约金。</w:t>
      </w:r>
    </w:p>
    <w:p w14:paraId="62189E5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11.5.3、 工期延误：下列情况造成竣工日期推迟的，经发包人、监理方代表书面确认，工期相应顺延。</w:t>
      </w:r>
    </w:p>
    <w:p w14:paraId="0985B1D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 工程量变化和设计变更量超过总量的1/4时。</w:t>
      </w:r>
    </w:p>
    <w:p w14:paraId="582D9E6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（2）一周内，非承包人原因停水、停电、扬尘治理、疫情影响施工造成停工连续超过48小时（不含48小时）。</w:t>
      </w:r>
    </w:p>
    <w:p w14:paraId="0B0A2FF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（3）施工中遇到不可预见因素需处理时。</w:t>
      </w:r>
    </w:p>
    <w:p w14:paraId="2C1CF5F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（4）不可抗力（指战争、动乱、空气飞行体坠落或其它非甲、乙双方造成的爆炸、火灾，以及协议条款约定的等级以上的风、雨、雪、震等对工程造成损害的自然灾害）。</w:t>
      </w:r>
    </w:p>
    <w:p w14:paraId="78D6958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11.5.4、承包人在以上情况发生后当天内向发包人、监理方提出书面报告，发包人、监理方在收到报告后五天内予以确认答复，逾期不答复，承包人即可视为延期要求已被确认。</w:t>
      </w:r>
    </w:p>
    <w:p w14:paraId="1F326FB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11.5.5、工期约定：为确保工程按期竣工验收，承包人必须按期保质保量并通过一次性验收合格，由承包人原因造成工期逾期的，每延期一天应承担合同签约总价的 5‰作为因延期给发包人造成损失的赔偿。</w:t>
      </w:r>
    </w:p>
    <w:p w14:paraId="15AFC38D">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11.6工期提前</w:t>
      </w:r>
    </w:p>
    <w:p w14:paraId="6C946B7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提前竣工的奖励办法：</w:t>
      </w:r>
      <w:r>
        <w:rPr>
          <w:rFonts w:hint="eastAsia" w:ascii="宋体" w:hAnsi="宋体" w:eastAsia="宋体" w:cs="宋体"/>
          <w:color w:val="auto"/>
          <w:sz w:val="24"/>
          <w:szCs w:val="24"/>
          <w:u w:val="single"/>
        </w:rPr>
        <w:t xml:space="preserve">           无                        </w:t>
      </w:r>
      <w:r>
        <w:rPr>
          <w:rFonts w:hint="eastAsia" w:ascii="宋体" w:hAnsi="宋体" w:eastAsia="宋体" w:cs="宋体"/>
          <w:color w:val="auto"/>
          <w:sz w:val="24"/>
          <w:szCs w:val="24"/>
        </w:rPr>
        <w:t xml:space="preserve"> 。</w:t>
      </w:r>
    </w:p>
    <w:p w14:paraId="078EA6B6">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12.暂停施工</w:t>
      </w:r>
    </w:p>
    <w:p w14:paraId="1ABE8E5C">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12.1承包人暂停施工的责任</w:t>
      </w:r>
    </w:p>
    <w:p w14:paraId="0235ED77">
      <w:pPr>
        <w:widowControl w:val="0"/>
        <w:kinsoku/>
        <w:wordWrap/>
        <w:overflowPunct/>
        <w:topLinePunct w:val="0"/>
        <w:autoSpaceDE/>
        <w:autoSpaceDN/>
        <w:bidi w:val="0"/>
        <w:spacing w:after="72" w:afterLines="3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(5)承包人承担暂停施工责任的其他情形：</w:t>
      </w:r>
      <w:r>
        <w:rPr>
          <w:rFonts w:hint="eastAsia" w:ascii="宋体" w:hAnsi="宋体" w:eastAsia="宋体" w:cs="宋体"/>
          <w:color w:val="auto"/>
          <w:sz w:val="24"/>
          <w:szCs w:val="24"/>
          <w:u w:val="single"/>
        </w:rPr>
        <w:t xml:space="preserve">         无             </w:t>
      </w:r>
      <w:r>
        <w:rPr>
          <w:rFonts w:hint="eastAsia" w:ascii="宋体" w:hAnsi="宋体" w:eastAsia="宋体" w:cs="宋体"/>
          <w:color w:val="auto"/>
          <w:sz w:val="24"/>
          <w:szCs w:val="24"/>
        </w:rPr>
        <w:t>。</w:t>
      </w:r>
    </w:p>
    <w:p w14:paraId="1B8A6FBD">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12.4暂停施工后的复工</w:t>
      </w:r>
    </w:p>
    <w:p w14:paraId="66DB16A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12.4.3根据通用合同条款第12.4.1款的约定，监理人发出复工通知后，监理人应和承包人一起对受到暂停施工影响的工程、材料和工程设备进行检查。承包人负责修复在暂停施工期间发生在工程、材料和工程设备上的任何损蚀、缺陷或损失，修复费用由承担暂停施工责任的责任人承担。</w:t>
      </w:r>
    </w:p>
    <w:p w14:paraId="4377E3E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12.4.4暂停施工持续56天以上，按合同约定由承包人提供的材料和工程设备，由于暂停施工原因导致承包人在暂停施工前已经订购但被暂停运至施工现场的，发包人应按照承包人订购合同的约定支付相应的订购款项。</w:t>
      </w:r>
    </w:p>
    <w:p w14:paraId="39F48DF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12.4.5复工后，合同计价原则不变，仍按原合同计价，不因工期变化而调整。</w:t>
      </w:r>
    </w:p>
    <w:p w14:paraId="122C9DC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12.4.6因政府主管部门扬尘治理原因通知暂缓施工的，承包人书面办理工期延期签证文件后，施工工期相应顺延，停工期间所产生的相关费用均由承包人承担。</w:t>
      </w:r>
    </w:p>
    <w:p w14:paraId="6FE90ED9">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13.工程质量：</w:t>
      </w:r>
    </w:p>
    <w:p w14:paraId="79444A1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13.1工程质量要求</w:t>
      </w:r>
    </w:p>
    <w:p w14:paraId="168349E9">
      <w:pPr>
        <w:widowControl w:val="0"/>
        <w:kinsoku/>
        <w:wordWrap/>
        <w:overflowPunct/>
        <w:topLinePunct w:val="0"/>
        <w:autoSpaceDE/>
        <w:autoSpaceDN/>
        <w:bidi w:val="0"/>
        <w:spacing w:after="72" w:afterLines="30" w:line="360" w:lineRule="auto"/>
        <w:ind w:firstLine="480" w:firstLineChars="200"/>
        <w:textAlignment w:val="auto"/>
        <w:rPr>
          <w:rFonts w:hint="eastAsia" w:ascii="宋体" w:hAnsi="宋体" w:eastAsia="宋体" w:cs="宋体"/>
          <w:b/>
          <w:color w:val="auto"/>
          <w:sz w:val="24"/>
          <w:szCs w:val="24"/>
          <w:u w:val="single"/>
        </w:rPr>
      </w:pPr>
      <w:r>
        <w:rPr>
          <w:rFonts w:hint="eastAsia" w:ascii="宋体" w:hAnsi="宋体" w:eastAsia="宋体" w:cs="宋体"/>
          <w:color w:val="auto"/>
          <w:sz w:val="24"/>
          <w:szCs w:val="24"/>
        </w:rPr>
        <w:t>13.1.2</w:t>
      </w:r>
      <w:r>
        <w:rPr>
          <w:rFonts w:hint="eastAsia" w:ascii="宋体" w:hAnsi="宋体" w:eastAsia="宋体" w:cs="宋体"/>
          <w:b/>
          <w:color w:val="auto"/>
          <w:sz w:val="24"/>
          <w:szCs w:val="24"/>
          <w:u w:val="single"/>
        </w:rPr>
        <w:t>在工程施工过程中，因承包人偷工减料，使用劣质材料、不合格设备，或因技术、管理等自身原因，造成工程质量达不到合同约定验收标准的，发包人和监理人有权要求承包人返工直至符合合同要求为止，由此造成的费用增加和（或）工期延误由承包人承担。</w:t>
      </w:r>
    </w:p>
    <w:p w14:paraId="58AD6B1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所有施工的项目工程质量必须一次性满足设计图纸中的规定及要求，并达到一次性验收合格；否则，承包人无偿返工至验收合格为止。</w:t>
      </w:r>
    </w:p>
    <w:p w14:paraId="6F901ADD">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13.2承包人的质量管理</w:t>
      </w:r>
    </w:p>
    <w:p w14:paraId="76B8AFD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13.2.1承包人向监理人提交工程质量保证措施文件的期限：</w:t>
      </w:r>
      <w:r>
        <w:rPr>
          <w:rFonts w:hint="eastAsia" w:ascii="宋体" w:hAnsi="宋体" w:eastAsia="宋体" w:cs="宋体"/>
          <w:color w:val="auto"/>
          <w:sz w:val="24"/>
          <w:szCs w:val="24"/>
          <w:u w:val="single"/>
        </w:rPr>
        <w:t>签订施工合同后7天内</w:t>
      </w:r>
      <w:r>
        <w:rPr>
          <w:rFonts w:hint="eastAsia" w:ascii="宋体" w:hAnsi="宋体" w:eastAsia="宋体" w:cs="宋体"/>
          <w:color w:val="auto"/>
          <w:sz w:val="24"/>
          <w:szCs w:val="24"/>
        </w:rPr>
        <w:t>。</w:t>
      </w:r>
    </w:p>
    <w:p w14:paraId="607AE36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监理人审批工程质量保证措施文件的期限：</w:t>
      </w:r>
      <w:r>
        <w:rPr>
          <w:rFonts w:hint="eastAsia" w:ascii="宋体" w:hAnsi="宋体" w:eastAsia="宋体" w:cs="宋体"/>
          <w:color w:val="auto"/>
          <w:sz w:val="24"/>
          <w:szCs w:val="24"/>
          <w:u w:val="single"/>
        </w:rPr>
        <w:t>收到承包人报送的工程质量保证措施文件后3天内给予批复</w:t>
      </w:r>
      <w:r>
        <w:rPr>
          <w:rFonts w:hint="eastAsia" w:ascii="宋体" w:hAnsi="宋体" w:eastAsia="宋体" w:cs="宋体"/>
          <w:color w:val="auto"/>
          <w:sz w:val="24"/>
          <w:szCs w:val="24"/>
        </w:rPr>
        <w:t>。</w:t>
      </w:r>
    </w:p>
    <w:p w14:paraId="79B938AA">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13.3承包人的质量检查 </w:t>
      </w:r>
    </w:p>
    <w:p w14:paraId="27F9A0E0">
      <w:pPr>
        <w:widowControl w:val="0"/>
        <w:kinsoku/>
        <w:wordWrap/>
        <w:overflowPunct/>
        <w:topLinePunct w:val="0"/>
        <w:autoSpaceDE/>
        <w:autoSpaceDN/>
        <w:bidi w:val="0"/>
        <w:spacing w:before="72" w:beforeLines="3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承包人向监理人报送工程质量报表的期限：</w:t>
      </w:r>
      <w:r>
        <w:rPr>
          <w:rFonts w:hint="eastAsia" w:ascii="宋体" w:hAnsi="宋体" w:eastAsia="宋体" w:cs="宋体"/>
          <w:color w:val="auto"/>
          <w:sz w:val="24"/>
          <w:szCs w:val="24"/>
          <w:u w:val="single"/>
        </w:rPr>
        <w:t xml:space="preserve">每月25日前  </w:t>
      </w:r>
      <w:r>
        <w:rPr>
          <w:rFonts w:hint="eastAsia" w:ascii="宋体" w:hAnsi="宋体" w:eastAsia="宋体" w:cs="宋体"/>
          <w:color w:val="auto"/>
          <w:sz w:val="24"/>
          <w:szCs w:val="24"/>
        </w:rPr>
        <w:t>。</w:t>
      </w:r>
    </w:p>
    <w:p w14:paraId="24EB25D1">
      <w:pPr>
        <w:widowControl w:val="0"/>
        <w:kinsoku/>
        <w:wordWrap/>
        <w:overflowPunct/>
        <w:topLinePunct w:val="0"/>
        <w:autoSpaceDE/>
        <w:autoSpaceDN/>
        <w:bidi w:val="0"/>
        <w:spacing w:before="120" w:beforeLines="5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承包人向监理人报送工程质量报表的要求：</w:t>
      </w:r>
      <w:r>
        <w:rPr>
          <w:rFonts w:hint="eastAsia" w:ascii="宋体" w:hAnsi="宋体" w:eastAsia="宋体" w:cs="宋体"/>
          <w:color w:val="auto"/>
          <w:sz w:val="24"/>
          <w:szCs w:val="24"/>
          <w:u w:val="single"/>
        </w:rPr>
        <w:t xml:space="preserve">  按规范及监理人要求  </w:t>
      </w:r>
      <w:r>
        <w:rPr>
          <w:rFonts w:hint="eastAsia" w:ascii="宋体" w:hAnsi="宋体" w:eastAsia="宋体" w:cs="宋体"/>
          <w:color w:val="auto"/>
          <w:sz w:val="24"/>
          <w:szCs w:val="24"/>
        </w:rPr>
        <w:t>。</w:t>
      </w:r>
    </w:p>
    <w:p w14:paraId="17F71147">
      <w:pPr>
        <w:widowControl w:val="0"/>
        <w:kinsoku/>
        <w:wordWrap/>
        <w:overflowPunct/>
        <w:topLinePunct w:val="0"/>
        <w:autoSpaceDE/>
        <w:autoSpaceDN/>
        <w:bidi w:val="0"/>
        <w:spacing w:before="120" w:beforeLines="5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监理人审查工程质量报表的期限：</w:t>
      </w:r>
      <w:r>
        <w:rPr>
          <w:rFonts w:hint="eastAsia" w:ascii="宋体" w:hAnsi="宋体" w:eastAsia="宋体" w:cs="宋体"/>
          <w:color w:val="auto"/>
          <w:sz w:val="24"/>
          <w:szCs w:val="24"/>
          <w:u w:val="single"/>
        </w:rPr>
        <w:t xml:space="preserve">收到承包人报送的工程质量报表后3天内  </w:t>
      </w:r>
      <w:r>
        <w:rPr>
          <w:rFonts w:hint="eastAsia" w:ascii="宋体" w:hAnsi="宋体" w:eastAsia="宋体" w:cs="宋体"/>
          <w:color w:val="auto"/>
          <w:sz w:val="24"/>
          <w:szCs w:val="24"/>
        </w:rPr>
        <w:t>。</w:t>
      </w:r>
    </w:p>
    <w:p w14:paraId="420AA627">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13.4监理人的质量检查</w:t>
      </w:r>
    </w:p>
    <w:p w14:paraId="5CD91967">
      <w:pPr>
        <w:widowControl w:val="0"/>
        <w:kinsoku/>
        <w:wordWrap/>
        <w:overflowPunct/>
        <w:topLinePunct w:val="0"/>
        <w:autoSpaceDE/>
        <w:autoSpaceDN/>
        <w:bidi w:val="0"/>
        <w:spacing w:before="72" w:beforeLines="30"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承包人应当为监理人的检查和检验提供方便，监理人可以进行察看和查阅施工原始记录的其他地方包括：</w:t>
      </w:r>
      <w:r>
        <w:rPr>
          <w:rFonts w:hint="eastAsia" w:ascii="宋体" w:hAnsi="宋体" w:eastAsia="宋体" w:cs="宋体"/>
          <w:color w:val="auto"/>
          <w:sz w:val="24"/>
          <w:szCs w:val="24"/>
          <w:u w:val="single"/>
        </w:rPr>
        <w:t xml:space="preserve">         /           </w:t>
      </w:r>
      <w:r>
        <w:rPr>
          <w:rFonts w:hint="eastAsia" w:ascii="宋体" w:hAnsi="宋体" w:eastAsia="宋体" w:cs="宋体"/>
          <w:color w:val="auto"/>
          <w:sz w:val="24"/>
          <w:szCs w:val="24"/>
        </w:rPr>
        <w:t>。</w:t>
      </w:r>
    </w:p>
    <w:p w14:paraId="7E973FA9">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13.5工程隐蔽部位覆盖前的检查</w:t>
      </w:r>
    </w:p>
    <w:p w14:paraId="3E4A595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13.5.1监理人对工程隐蔽部位进行检查的期限：</w:t>
      </w:r>
      <w:r>
        <w:rPr>
          <w:rFonts w:hint="eastAsia" w:ascii="宋体" w:hAnsi="宋体" w:eastAsia="宋体" w:cs="宋体"/>
          <w:color w:val="auto"/>
          <w:sz w:val="24"/>
          <w:szCs w:val="24"/>
          <w:u w:val="single"/>
        </w:rPr>
        <w:t xml:space="preserve"> 收到承包人的通知后3天内 </w:t>
      </w:r>
      <w:r>
        <w:rPr>
          <w:rFonts w:hint="eastAsia" w:ascii="宋体" w:hAnsi="宋体" w:eastAsia="宋体" w:cs="宋体"/>
          <w:color w:val="auto"/>
          <w:sz w:val="24"/>
          <w:szCs w:val="24"/>
        </w:rPr>
        <w:t>。</w:t>
      </w:r>
    </w:p>
    <w:p w14:paraId="7D062C26">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13.7质量争议</w:t>
      </w:r>
    </w:p>
    <w:p w14:paraId="0618EA77">
      <w:pPr>
        <w:widowControl w:val="0"/>
        <w:kinsoku/>
        <w:wordWrap/>
        <w:overflowPunct/>
        <w:topLinePunct w:val="0"/>
        <w:autoSpaceDE/>
        <w:autoSpaceDN/>
        <w:bidi w:val="0"/>
        <w:spacing w:before="72" w:beforeLines="3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和承包人对工程质量有争议的，除可按合同条款第24条办理外，监理人可提请合同双方委托有相应资质的工程质量检测机构进行鉴定，所需费用及因此造成的损失，由责任人承担，双方均有责任，由双方根据其责任分别承担。经检测，质量确有缺陷的，已竣工验收或已竣工未验收但实际投入使用的工程，其处理按工程保修书的约定执行；已竣工未验收且未实际投入使用的工程以及停工、停建的工程，根据检测结果确定解决方案，或按工程质量监督机构的处理决定执行。</w:t>
      </w:r>
    </w:p>
    <w:p w14:paraId="13267B24">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15.变更</w:t>
      </w:r>
    </w:p>
    <w:p w14:paraId="7855CA08">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15.1变更的范围和内容</w:t>
      </w:r>
    </w:p>
    <w:p w14:paraId="1BAA906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应当进行变更的其他情形：</w:t>
      </w:r>
      <w:r>
        <w:rPr>
          <w:rFonts w:hint="eastAsia" w:ascii="宋体" w:hAnsi="宋体" w:eastAsia="宋体" w:cs="宋体"/>
          <w:color w:val="auto"/>
          <w:sz w:val="24"/>
          <w:szCs w:val="24"/>
          <w:u w:val="single"/>
        </w:rPr>
        <w:t xml:space="preserve">  发包方与承包方根据实际情况另行约定    </w:t>
      </w:r>
      <w:r>
        <w:rPr>
          <w:rFonts w:hint="eastAsia" w:ascii="宋体" w:hAnsi="宋体" w:eastAsia="宋体" w:cs="宋体"/>
          <w:color w:val="auto"/>
          <w:sz w:val="24"/>
          <w:szCs w:val="24"/>
        </w:rPr>
        <w:t>。</w:t>
      </w:r>
    </w:p>
    <w:p w14:paraId="6A45E71B">
      <w:pPr>
        <w:widowControl w:val="0"/>
        <w:kinsoku/>
        <w:wordWrap/>
        <w:overflowPunct/>
        <w:topLinePunct w:val="0"/>
        <w:autoSpaceDE/>
        <w:autoSpaceDN/>
        <w:bidi w:val="0"/>
        <w:spacing w:before="72" w:beforeLines="3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违背通用合同条款15.1(1)目的约定，将被取消的合同中的工作转由发包人或其他人实施的，承包人可向监理人发出通知，要求发包人采取有效措施纠正违约行为。承包人应当按通用合同条款第23.1.1(1)目的约定，在上述28天期限到期后的28天内，向监理人递交索赔意向通知书，并按通用合同条款第23.1.1(2)目的约定，及时向监理人递交正式索赔通知书，说明有权得到的损失赔偿金额并附必要的记录和证明材料。发包人支付给承包人的损失赔偿金额应当包括被取消工作的合同价值中所包含的承包人管理费、利润以及相应的税金和规费。</w:t>
      </w:r>
    </w:p>
    <w:p w14:paraId="014CCB79">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15.3变更程序</w:t>
      </w:r>
    </w:p>
    <w:p w14:paraId="697CF29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15.3.2变更估价</w:t>
      </w:r>
    </w:p>
    <w:p w14:paraId="32C05F04">
      <w:pPr>
        <w:widowControl w:val="0"/>
        <w:kinsoku/>
        <w:wordWrap/>
        <w:overflowPunct/>
        <w:topLinePunct w:val="0"/>
        <w:autoSpaceDE/>
        <w:autoSpaceDN/>
        <w:bidi w:val="0"/>
        <w:spacing w:before="72" w:beforeLines="3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(1)承包人提交变更报价书的期限：</w:t>
      </w:r>
      <w:r>
        <w:rPr>
          <w:rFonts w:hint="eastAsia" w:ascii="宋体" w:hAnsi="宋体" w:eastAsia="宋体" w:cs="宋体"/>
          <w:color w:val="auto"/>
          <w:sz w:val="24"/>
          <w:szCs w:val="24"/>
          <w:u w:val="single"/>
        </w:rPr>
        <w:t xml:space="preserve">   按工程变更报批程序办理 （参照发包人工程变更报批程序） </w:t>
      </w:r>
      <w:r>
        <w:rPr>
          <w:rFonts w:hint="eastAsia" w:ascii="宋体" w:hAnsi="宋体" w:eastAsia="宋体" w:cs="宋体"/>
          <w:color w:val="auto"/>
          <w:sz w:val="24"/>
          <w:szCs w:val="24"/>
        </w:rPr>
        <w:t>。</w:t>
      </w:r>
    </w:p>
    <w:p w14:paraId="7BAB86A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(3)监理人商定或确定变更价格的期限：</w:t>
      </w:r>
      <w:r>
        <w:rPr>
          <w:rFonts w:hint="eastAsia" w:ascii="宋体" w:hAnsi="宋体" w:eastAsia="宋体" w:cs="宋体"/>
          <w:color w:val="auto"/>
          <w:sz w:val="24"/>
          <w:szCs w:val="24"/>
          <w:u w:val="single"/>
        </w:rPr>
        <w:t xml:space="preserve">按工程变更报批程序办理 （参照发包人工程变更报批程序）  </w:t>
      </w:r>
      <w:r>
        <w:rPr>
          <w:rFonts w:hint="eastAsia" w:ascii="宋体" w:hAnsi="宋体" w:eastAsia="宋体" w:cs="宋体"/>
          <w:color w:val="auto"/>
          <w:sz w:val="24"/>
          <w:szCs w:val="24"/>
        </w:rPr>
        <w:t>。</w:t>
      </w:r>
    </w:p>
    <w:p w14:paraId="495B1F5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(4)收到变更指示后，如承包人未在规定的期限内提交变更报价书的，监理人可自行决定是否调整合同价款以及如果监理人决定调整合同价款时，相应调整的具体金额。</w:t>
      </w:r>
    </w:p>
    <w:p w14:paraId="25A422D3">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15.4变更的估价原则</w:t>
      </w:r>
    </w:p>
    <w:p w14:paraId="257CB34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因设计变更追加工程新增加的工程量清单项目，原招标控制价中（或合同中约定的价格）两者有冲突时以合同价格为准，有的按原招标控制价（或合同中约定的价格）确定。原招标控制价（或合同中约定的价格）中没有的按照以下编制依据执行：</w:t>
      </w:r>
    </w:p>
    <w:p w14:paraId="635B98D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1）、《建设工程工程量清单计价规范》（GB 50500-2013）；</w:t>
      </w:r>
    </w:p>
    <w:p w14:paraId="299C7B0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2）、《山东省建设工程工程量清单计价规则》；</w:t>
      </w:r>
    </w:p>
    <w:p w14:paraId="79387A2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3）、《2016山东省建筑、装饰、安装、园林工程消耗量定额》；                           </w:t>
      </w:r>
    </w:p>
    <w:p w14:paraId="4AA43F0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4）、《山东省建筑、装饰、安装、园林建设工程费用项目组成及计算规则》；</w:t>
      </w:r>
    </w:p>
    <w:p w14:paraId="1ADA96C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5）、《建筑业营改增建设工程计价依据调整实施意见》（鲁建办[2019]10号）；</w:t>
      </w:r>
    </w:p>
    <w:p w14:paraId="28AB352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人工费执行合同签订时的邹城现行工日单价；施工过程中出现的零星用工，实际用工按150元/工日（每个工日不低于10个小时计算，包死价），只计取税金；</w:t>
      </w:r>
    </w:p>
    <w:p w14:paraId="10D1612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材料、设备价格执行投标时的价格，投标文件中没有的由双方共同考察确定材料品牌、规格及价格，作为结算的依据。</w:t>
      </w:r>
    </w:p>
    <w:p w14:paraId="3F8E3891">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15.5承包人的合理化建议</w:t>
      </w:r>
    </w:p>
    <w:p w14:paraId="2514971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15.5.2对承包人提出合理化建议的奖励方法：</w:t>
      </w:r>
      <w:r>
        <w:rPr>
          <w:rFonts w:hint="eastAsia" w:ascii="宋体" w:hAnsi="宋体" w:eastAsia="宋体" w:cs="宋体"/>
          <w:color w:val="auto"/>
          <w:sz w:val="24"/>
          <w:szCs w:val="24"/>
          <w:u w:val="single"/>
        </w:rPr>
        <w:t xml:space="preserve">   无                               </w:t>
      </w:r>
    </w:p>
    <w:p w14:paraId="167B2AF6">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15.8暂估价</w:t>
      </w:r>
    </w:p>
    <w:p w14:paraId="78ED360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15.8.1按合同约定应当由发包人和承包人采用招标方式选择专项供应商或专业分包人的，应当由承包人作为招标人，依法组织招标工作并接受有管辖权的建设工程招标投标行政监督部门的监督。与组织招标工作有关的费用应当被认为已经包括在承包人的签约合同价(投标总报价)中：</w:t>
      </w:r>
    </w:p>
    <w:p w14:paraId="7ECB532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(1)在任何招标工作启动前，承包人应当提前至少</w:t>
      </w:r>
      <w:r>
        <w:rPr>
          <w:rFonts w:hint="eastAsia" w:ascii="宋体" w:hAnsi="宋体" w:eastAsia="宋体" w:cs="宋体"/>
          <w:color w:val="auto"/>
          <w:sz w:val="24"/>
          <w:szCs w:val="24"/>
          <w:u w:val="single"/>
        </w:rPr>
        <w:t xml:space="preserve">  7  </w:t>
      </w:r>
      <w:r>
        <w:rPr>
          <w:rFonts w:hint="eastAsia" w:ascii="宋体" w:hAnsi="宋体" w:eastAsia="宋体" w:cs="宋体"/>
          <w:color w:val="auto"/>
          <w:sz w:val="24"/>
          <w:szCs w:val="24"/>
        </w:rPr>
        <w:t>天编制招标工作计划并通过监理人报请发包人审批，招标工作计划应当包括招标工作的时间安排、拟采用的招标方式、拟采用的资格审查方法、主要招标过程文件的编制内容、对投标人的资格条件要求、评标标准和方法、评标委员会组成、是否编制招标控制价和(或)标底以及招标控制价和(或)标底编制原则，发包人应当在监理人收到承包人报送的招标工作计划后</w:t>
      </w:r>
      <w:r>
        <w:rPr>
          <w:rFonts w:hint="eastAsia" w:ascii="宋体" w:hAnsi="宋体" w:eastAsia="宋体" w:cs="宋体"/>
          <w:color w:val="auto"/>
          <w:sz w:val="24"/>
          <w:szCs w:val="24"/>
          <w:u w:val="single"/>
        </w:rPr>
        <w:t xml:space="preserve"> 3 </w:t>
      </w:r>
      <w:r>
        <w:rPr>
          <w:rFonts w:hint="eastAsia" w:ascii="宋体" w:hAnsi="宋体" w:eastAsia="宋体" w:cs="宋体"/>
          <w:color w:val="auto"/>
          <w:sz w:val="24"/>
          <w:szCs w:val="24"/>
        </w:rPr>
        <w:t>天内给予批准或者提出修改意见。承包人应当严格按照经过发包人批准的招标工作计划开展招标工作。</w:t>
      </w:r>
    </w:p>
    <w:p w14:paraId="518891A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(2)承包人应当在发出招标公告(或者资格预审公告或者投标邀请书)、资格预审文件和招标文件前至少</w:t>
      </w:r>
      <w:r>
        <w:rPr>
          <w:rFonts w:hint="eastAsia" w:ascii="宋体" w:hAnsi="宋体" w:eastAsia="宋体" w:cs="宋体"/>
          <w:color w:val="auto"/>
          <w:sz w:val="24"/>
          <w:szCs w:val="24"/>
          <w:u w:val="single"/>
        </w:rPr>
        <w:t xml:space="preserve"> 7  </w:t>
      </w:r>
      <w:r>
        <w:rPr>
          <w:rFonts w:hint="eastAsia" w:ascii="宋体" w:hAnsi="宋体" w:eastAsia="宋体" w:cs="宋体"/>
          <w:color w:val="auto"/>
          <w:sz w:val="24"/>
          <w:szCs w:val="24"/>
        </w:rPr>
        <w:t>天，分别将相关文件通过监理人报请发包人审批，发包人应当在监理人收到承包人报送的相关文件后</w:t>
      </w:r>
      <w:r>
        <w:rPr>
          <w:rFonts w:hint="eastAsia" w:ascii="宋体" w:hAnsi="宋体" w:eastAsia="宋体" w:cs="宋体"/>
          <w:color w:val="auto"/>
          <w:sz w:val="24"/>
          <w:szCs w:val="24"/>
          <w:u w:val="single"/>
        </w:rPr>
        <w:t xml:space="preserve"> 3 </w:t>
      </w:r>
      <w:r>
        <w:rPr>
          <w:rFonts w:hint="eastAsia" w:ascii="宋体" w:hAnsi="宋体" w:eastAsia="宋体" w:cs="宋体"/>
          <w:color w:val="auto"/>
          <w:sz w:val="24"/>
          <w:szCs w:val="24"/>
        </w:rPr>
        <w:t>天内给予批准或者提出修改意见，经发包人批准的相关文件，由承包人负责誊清整理并准备出开展实际招标工作所需要的份数，通过监理人报发包人核查并加盖发包人印章，发包人在相关文件上加盖印章只表明相关文件经过发包人审核批准。最终发出的文件应当分别报送一份给发包人和监理人备查。</w:t>
      </w:r>
    </w:p>
    <w:p w14:paraId="728D0DE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(3)如果发、承包任何一方委派评标代表，评标委员会应当由七人以上单数构成。除发包人或者承包人自愿放弃委派评标代表的权利外，招标人评标代表应当分别由发包人和承包人等额委派。</w:t>
      </w:r>
    </w:p>
    <w:p w14:paraId="76A9BF8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设有标底的，承包人应当在开标前提前48小时将标底报发包人审核认可，发包人应当在收到承包人报送的标底后24小时内给予批准或者提出修改意见。承包人和发包人应当共同制定标底保密措施，不得提前泄露标底。标底的最终审核和决定权属于发包人。</w:t>
      </w:r>
    </w:p>
    <w:p w14:paraId="20EA7EC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设有招标控制价的，承包人应当在招标文件发出前提前7天将招标控制价报发包人审核认可，发包人应当在收到承包人报送的招标控制价后72小时内给予认可或者提出修改意见。招标控制价的最终审核和决定权属于发包人，未经发包人认可，承包人不得发出招标文件。</w:t>
      </w:r>
    </w:p>
    <w:p w14:paraId="423D69A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承包人在收到相关招标项目评标委员会提交的评标报告后，应当在24小时内通过监理人转报发包人核查，发包人应当在监理人收到承包人报送的评标报告后48小时内核查完毕，评标报告经过发包人核查认可后，承包人才可以开始后续程序，依法确定中标人并发出中标通知书。</w:t>
      </w:r>
    </w:p>
    <w:p w14:paraId="217E020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(7)承包人与专业分包人或者专项供应商订立合同前</w:t>
      </w:r>
      <w:r>
        <w:rPr>
          <w:rFonts w:hint="eastAsia" w:ascii="宋体" w:hAnsi="宋体" w:eastAsia="宋体" w:cs="宋体"/>
          <w:color w:val="auto"/>
          <w:sz w:val="24"/>
          <w:szCs w:val="24"/>
          <w:u w:val="single"/>
        </w:rPr>
        <w:t xml:space="preserve"> 7 </w:t>
      </w:r>
      <w:r>
        <w:rPr>
          <w:rFonts w:hint="eastAsia" w:ascii="宋体" w:hAnsi="宋体" w:eastAsia="宋体" w:cs="宋体"/>
          <w:color w:val="auto"/>
          <w:sz w:val="24"/>
          <w:szCs w:val="24"/>
        </w:rPr>
        <w:t>天，应当将准备用于正式签订的合同文件通过监理人报发包人审核，发包人应当在监理人收到相关文件后</w:t>
      </w:r>
      <w:r>
        <w:rPr>
          <w:rFonts w:hint="eastAsia" w:ascii="宋体" w:hAnsi="宋体" w:eastAsia="宋体" w:cs="宋体"/>
          <w:color w:val="auto"/>
          <w:sz w:val="24"/>
          <w:szCs w:val="24"/>
          <w:u w:val="single"/>
        </w:rPr>
        <w:t xml:space="preserve"> 3 </w:t>
      </w:r>
      <w:r>
        <w:rPr>
          <w:rFonts w:hint="eastAsia" w:ascii="宋体" w:hAnsi="宋体" w:eastAsia="宋体" w:cs="宋体"/>
          <w:color w:val="auto"/>
          <w:sz w:val="24"/>
          <w:szCs w:val="24"/>
        </w:rPr>
        <w:t>天内给予批准或者提出修改意见，承包人应当按照发包人批准的合同文件签订相关合同，合同订立后</w:t>
      </w:r>
      <w:r>
        <w:rPr>
          <w:rFonts w:hint="eastAsia" w:ascii="宋体" w:hAnsi="宋体" w:eastAsia="宋体" w:cs="宋体"/>
          <w:color w:val="auto"/>
          <w:sz w:val="24"/>
          <w:szCs w:val="24"/>
          <w:u w:val="single"/>
        </w:rPr>
        <w:t xml:space="preserve"> 3 </w:t>
      </w:r>
      <w:r>
        <w:rPr>
          <w:rFonts w:hint="eastAsia" w:ascii="宋体" w:hAnsi="宋体" w:eastAsia="宋体" w:cs="宋体"/>
          <w:color w:val="auto"/>
          <w:sz w:val="24"/>
          <w:szCs w:val="24"/>
        </w:rPr>
        <w:t>天内，承包人应当将其中的两份副本报送监理人，其中一份由监理人报发包人留存。</w:t>
      </w:r>
    </w:p>
    <w:p w14:paraId="332BF95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(8)发包人对承包人报送文件进行审批或提出的修改意见应当合理，并符合现行有关法律法规的规定。</w:t>
      </w:r>
    </w:p>
    <w:p w14:paraId="63EB85E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承包人违背本项上述约定的程序或者未履行本项上述约定的报批手续的，发包人有权拒绝对相关专业工程或者涉及相关专项供应的材料和工程设备的工程进行验收和拨付相应工程款项，所造成的费用增加和(或)工期延误由承包人承担。发包人未按本项上述约定履行审批手续的，所造成的费用增加和(或)工期延误由发包人承担。</w:t>
      </w:r>
    </w:p>
    <w:p w14:paraId="6B63135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15.8.2发包人给定暂估价的材料和工程设备不属于依法必须招标的范围或未达到规定的规模标准的，按照下列约定：</w:t>
      </w:r>
      <w:r>
        <w:rPr>
          <w:rFonts w:hint="eastAsia" w:ascii="宋体" w:hAnsi="宋体" w:eastAsia="宋体" w:cs="宋体"/>
          <w:b/>
          <w:color w:val="auto"/>
          <w:sz w:val="24"/>
          <w:szCs w:val="24"/>
          <w:u w:val="single"/>
        </w:rPr>
        <w:t>招标文件给定暂估价的材料、工程设备的实施时由发包方与承包方共同考察，确定材料设备品牌、规格及价格，由承包方负责采购和实施，结算时按发包方签证价格进行调整</w:t>
      </w:r>
      <w:r>
        <w:rPr>
          <w:rFonts w:hint="eastAsia" w:ascii="宋体" w:hAnsi="宋体" w:eastAsia="宋体" w:cs="宋体"/>
          <w:color w:val="auto"/>
          <w:sz w:val="24"/>
          <w:szCs w:val="24"/>
          <w:u w:val="single"/>
        </w:rPr>
        <w:t>。</w:t>
      </w:r>
    </w:p>
    <w:p w14:paraId="0E9B267F">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16.价格调整</w:t>
      </w:r>
    </w:p>
    <w:p w14:paraId="31B587E4">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无。</w:t>
      </w:r>
    </w:p>
    <w:p w14:paraId="5E7CF3DE">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17.计量与支付</w:t>
      </w:r>
    </w:p>
    <w:p w14:paraId="3E26EA77">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17.1计量</w:t>
      </w:r>
    </w:p>
    <w:p w14:paraId="63A2981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17.1.2计量方法</w:t>
      </w:r>
    </w:p>
    <w:p w14:paraId="498771B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工程量计算规则执行国家标准《建设工程工程量清单计价规范》(GB50500—2013)及</w:t>
      </w:r>
      <w:r>
        <w:rPr>
          <w:rFonts w:hint="eastAsia" w:ascii="宋体" w:hAnsi="宋体" w:eastAsia="宋体" w:cs="宋体"/>
          <w:b/>
          <w:color w:val="auto"/>
          <w:sz w:val="24"/>
          <w:szCs w:val="24"/>
        </w:rPr>
        <w:t>《山东省建设工程工程量清单计价规则》</w:t>
      </w:r>
      <w:r>
        <w:rPr>
          <w:rFonts w:hint="eastAsia" w:ascii="宋体" w:hAnsi="宋体" w:eastAsia="宋体" w:cs="宋体"/>
          <w:color w:val="auto"/>
          <w:sz w:val="24"/>
          <w:szCs w:val="24"/>
        </w:rPr>
        <w:t>或其适用的修订版本。除合同另有约定外，承包人实际完成的工程量按约定的工程量计算规则和有合同约束力的图纸进行计量。</w:t>
      </w:r>
    </w:p>
    <w:p w14:paraId="587DB5B3">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17.2预付款</w:t>
      </w:r>
    </w:p>
    <w:p w14:paraId="785C7088">
      <w:pPr>
        <w:widowControl w:val="0"/>
        <w:kinsoku/>
        <w:wordWrap/>
        <w:overflowPunct/>
        <w:topLinePunct w:val="0"/>
        <w:autoSpaceDE/>
        <w:autoSpaceDN/>
        <w:bidi w:val="0"/>
        <w:spacing w:before="72" w:beforeLines="30" w:after="72" w:afterLines="3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17.2.1预付款</w:t>
      </w:r>
    </w:p>
    <w:p w14:paraId="3E385372">
      <w:pPr>
        <w:widowControl w:val="0"/>
        <w:kinsoku/>
        <w:wordWrap/>
        <w:overflowPunct/>
        <w:topLinePunct w:val="0"/>
        <w:autoSpaceDE/>
        <w:autoSpaceDN/>
        <w:bidi w:val="0"/>
        <w:spacing w:before="72" w:beforeLines="30" w:after="72" w:afterLines="3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(1)预付款额度</w:t>
      </w:r>
    </w:p>
    <w:p w14:paraId="30E7822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分部分项工程部分的预付款额度：</w:t>
      </w:r>
      <w:r>
        <w:rPr>
          <w:rFonts w:hint="eastAsia" w:ascii="宋体" w:hAnsi="宋体" w:eastAsia="宋体" w:cs="宋体"/>
          <w:color w:val="auto"/>
          <w:sz w:val="24"/>
          <w:szCs w:val="24"/>
          <w:u w:val="single"/>
        </w:rPr>
        <w:t xml:space="preserve">     无  </w:t>
      </w:r>
      <w:r>
        <w:rPr>
          <w:rFonts w:hint="eastAsia" w:ascii="宋体" w:hAnsi="宋体" w:eastAsia="宋体" w:cs="宋体"/>
          <w:color w:val="auto"/>
          <w:sz w:val="24"/>
          <w:szCs w:val="24"/>
        </w:rPr>
        <w:t>。</w:t>
      </w:r>
    </w:p>
    <w:p w14:paraId="548C8BC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措施项目部分预付款额度：</w:t>
      </w:r>
      <w:r>
        <w:rPr>
          <w:rFonts w:hint="eastAsia" w:ascii="宋体" w:hAnsi="宋体" w:eastAsia="宋体" w:cs="宋体"/>
          <w:color w:val="auto"/>
          <w:sz w:val="24"/>
          <w:szCs w:val="24"/>
          <w:u w:val="single"/>
        </w:rPr>
        <w:t xml:space="preserve">           无   </w:t>
      </w:r>
      <w:r>
        <w:rPr>
          <w:rFonts w:hint="eastAsia" w:ascii="宋体" w:hAnsi="宋体" w:eastAsia="宋体" w:cs="宋体"/>
          <w:color w:val="auto"/>
          <w:sz w:val="24"/>
          <w:szCs w:val="24"/>
        </w:rPr>
        <w:t>。</w:t>
      </w:r>
    </w:p>
    <w:p w14:paraId="186D3AF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其中：安全文明施工费用预付额度：</w:t>
      </w:r>
      <w:r>
        <w:rPr>
          <w:rFonts w:hint="eastAsia" w:ascii="宋体" w:hAnsi="宋体" w:eastAsia="宋体" w:cs="宋体"/>
          <w:color w:val="auto"/>
          <w:sz w:val="24"/>
          <w:szCs w:val="24"/>
          <w:u w:val="single"/>
        </w:rPr>
        <w:t xml:space="preserve">   无 </w:t>
      </w:r>
      <w:r>
        <w:rPr>
          <w:rFonts w:hint="eastAsia" w:ascii="宋体" w:hAnsi="宋体" w:eastAsia="宋体" w:cs="宋体"/>
          <w:color w:val="auto"/>
          <w:sz w:val="24"/>
          <w:szCs w:val="24"/>
        </w:rPr>
        <w:t>。</w:t>
      </w:r>
    </w:p>
    <w:p w14:paraId="0A7B34A8">
      <w:pPr>
        <w:widowControl w:val="0"/>
        <w:kinsoku/>
        <w:wordWrap/>
        <w:overflowPunct/>
        <w:topLinePunct w:val="0"/>
        <w:autoSpaceDE/>
        <w:autoSpaceDN/>
        <w:bidi w:val="0"/>
        <w:spacing w:before="72" w:beforeLines="30" w:after="72" w:afterLines="3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(2)预付办法</w:t>
      </w:r>
    </w:p>
    <w:p w14:paraId="1986929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u w:val="single"/>
        </w:rPr>
        <w:t>预付款预付办法：</w:t>
      </w:r>
      <w:r>
        <w:rPr>
          <w:rFonts w:hint="eastAsia" w:ascii="宋体" w:hAnsi="宋体" w:eastAsia="宋体" w:cs="宋体"/>
          <w:color w:val="auto"/>
          <w:sz w:val="24"/>
          <w:szCs w:val="24"/>
          <w:u w:val="single"/>
          <w:lang w:val="en-US" w:eastAsia="zh-CN"/>
        </w:rPr>
        <w:t>/</w:t>
      </w:r>
      <w:r>
        <w:rPr>
          <w:rFonts w:hint="eastAsia" w:ascii="宋体" w:hAnsi="宋体" w:eastAsia="宋体" w:cs="宋体"/>
          <w:color w:val="auto"/>
          <w:sz w:val="24"/>
          <w:szCs w:val="24"/>
          <w:u w:val="single"/>
        </w:rPr>
        <w:t>。</w:t>
      </w:r>
    </w:p>
    <w:p w14:paraId="77FCB1A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u w:val="single"/>
        </w:rPr>
        <w:t>预付款的支付时间：</w:t>
      </w:r>
      <w:r>
        <w:rPr>
          <w:rFonts w:hint="eastAsia" w:ascii="宋体" w:hAnsi="宋体" w:eastAsia="宋体" w:cs="宋体"/>
          <w:color w:val="auto"/>
          <w:sz w:val="24"/>
          <w:szCs w:val="24"/>
          <w:u w:val="single"/>
          <w:lang w:val="en-US" w:eastAsia="zh-CN"/>
        </w:rPr>
        <w:t>/</w:t>
      </w:r>
      <w:r>
        <w:rPr>
          <w:rFonts w:hint="eastAsia" w:ascii="宋体" w:hAnsi="宋体" w:eastAsia="宋体" w:cs="宋体"/>
          <w:color w:val="auto"/>
          <w:sz w:val="24"/>
          <w:szCs w:val="24"/>
          <w:u w:val="single"/>
        </w:rPr>
        <w:t xml:space="preserve"> 。</w:t>
      </w:r>
    </w:p>
    <w:p w14:paraId="6B2F000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发包人逾期支付合同约定的预付款时，双方协商确定逾期支付时间，不承担通用合同条款第22.2款约定的违约责任及专用合同条款第17.3.3(2)目约定的标准和方法计算的逾期付款违约金。</w:t>
      </w:r>
    </w:p>
    <w:p w14:paraId="6806C91A">
      <w:pPr>
        <w:widowControl w:val="0"/>
        <w:kinsoku/>
        <w:wordWrap/>
        <w:overflowPunct/>
        <w:topLinePunct w:val="0"/>
        <w:autoSpaceDE/>
        <w:autoSpaceDN/>
        <w:bidi w:val="0"/>
        <w:spacing w:before="72" w:beforeLines="30" w:after="72" w:afterLines="3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17.2.2预付款保函</w:t>
      </w:r>
    </w:p>
    <w:p w14:paraId="495AA82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预付款保函的金额与预付款金额相同。预付款保函的提交时间：</w:t>
      </w:r>
      <w:r>
        <w:rPr>
          <w:rFonts w:hint="eastAsia" w:ascii="宋体" w:hAnsi="宋体" w:eastAsia="宋体" w:cs="宋体"/>
          <w:color w:val="auto"/>
          <w:sz w:val="24"/>
          <w:szCs w:val="24"/>
          <w:u w:val="single"/>
        </w:rPr>
        <w:t xml:space="preserve">  无   </w:t>
      </w:r>
    </w:p>
    <w:p w14:paraId="064AEFE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预付款保函的担保金额应当根据预付款扣回的金额递减，保函条款中可以设立担保金额递减的条款。发包人在签认每一期进度付款证书后14天内，应当以书面方式通知出具预付款保函的担保人并附上一份经其签认的进度付款证书副本，担保人根据发包人的通知和经发包人签认的进度付款证书中累计扣回的预付款金额等额调减预付款保函的担保金额。自担保人收到发包人通知之日起，该经过递减的担保金额为预付款保函担保金额。</w:t>
      </w:r>
    </w:p>
    <w:p w14:paraId="38427FD5">
      <w:pPr>
        <w:widowControl w:val="0"/>
        <w:kinsoku/>
        <w:wordWrap/>
        <w:overflowPunct/>
        <w:topLinePunct w:val="0"/>
        <w:autoSpaceDE/>
        <w:autoSpaceDN/>
        <w:bidi w:val="0"/>
        <w:spacing w:before="72" w:beforeLines="30" w:after="72" w:afterLines="3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17.2.3预付款的扣回与还清</w:t>
      </w:r>
    </w:p>
    <w:p w14:paraId="0668E8C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预付款的扣回办法：</w:t>
      </w:r>
      <w:r>
        <w:rPr>
          <w:rFonts w:hint="eastAsia" w:ascii="宋体" w:hAnsi="宋体" w:eastAsia="宋体" w:cs="宋体"/>
          <w:color w:val="auto"/>
          <w:sz w:val="24"/>
          <w:szCs w:val="24"/>
          <w:u w:val="single"/>
        </w:rPr>
        <w:t xml:space="preserve">    无    </w:t>
      </w:r>
      <w:r>
        <w:rPr>
          <w:rFonts w:hint="eastAsia" w:ascii="宋体" w:hAnsi="宋体" w:eastAsia="宋体" w:cs="宋体"/>
          <w:color w:val="auto"/>
          <w:sz w:val="24"/>
          <w:szCs w:val="24"/>
        </w:rPr>
        <w:t>。</w:t>
      </w:r>
    </w:p>
    <w:p w14:paraId="33FA033A">
      <w:pPr>
        <w:widowControl w:val="0"/>
        <w:kinsoku/>
        <w:wordWrap/>
        <w:overflowPunct/>
        <w:topLinePunct w:val="0"/>
        <w:autoSpaceDE/>
        <w:autoSpaceDN/>
        <w:bidi w:val="0"/>
        <w:spacing w:before="72" w:beforeLines="30" w:after="72" w:afterLines="3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17.2.4预付款保函的格式</w:t>
      </w:r>
    </w:p>
    <w:p w14:paraId="3ED928D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承包人应当按照专用合同条款第17.2.2项约定的金额和时间以及发包人在本工程招标文件中规定的或者其他经过发包人事先认可的格式向发包人递交一份无条件兑付的和不可撤销的预付款保函。</w:t>
      </w:r>
    </w:p>
    <w:p w14:paraId="7826A3E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17.2.5预付款保函的有效期</w:t>
      </w:r>
    </w:p>
    <w:p w14:paraId="5D3CE69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预付款保函的有效期应当自预付款支付给承包人之日起至发包人签认的进度付款证书说明预付款已完全扣清之日止。</w:t>
      </w:r>
    </w:p>
    <w:p w14:paraId="5601965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17.2.6发包人的通知义务</w:t>
      </w:r>
    </w:p>
    <w:p w14:paraId="47B2BCD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不管保函条款中如何约定，发包人根据担保提出索赔或兑现要求之前，均应通知承包人并说明导致此类索赔或兑现的原因，但此类通知不应理解为是在任何意义上寻求承包人的同意。</w:t>
      </w:r>
    </w:p>
    <w:p w14:paraId="7ACF59A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17.2.7预付款保函的退还</w:t>
      </w:r>
    </w:p>
    <w:p w14:paraId="325477F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预付款保函应在发包人签认的进度付款证书说明预付款已完全扣清之日后14天内退还给承包人。发包人不承担承包人与预付款保函有关的任何利息或其它类似的费用或者收益。</w:t>
      </w:r>
    </w:p>
    <w:p w14:paraId="65EBA683">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17.3工程进度付款</w:t>
      </w:r>
    </w:p>
    <w:p w14:paraId="092443B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17.3.2进度付款申请单</w:t>
      </w:r>
    </w:p>
    <w:p w14:paraId="26527A2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进度付款申请单的份数：</w:t>
      </w:r>
      <w:r>
        <w:rPr>
          <w:rFonts w:hint="eastAsia" w:ascii="宋体" w:hAnsi="宋体" w:eastAsia="宋体" w:cs="宋体"/>
          <w:color w:val="auto"/>
          <w:sz w:val="24"/>
          <w:szCs w:val="24"/>
          <w:u w:val="single"/>
        </w:rPr>
        <w:t xml:space="preserve">贰份 </w:t>
      </w:r>
      <w:r>
        <w:rPr>
          <w:rFonts w:hint="eastAsia" w:ascii="宋体" w:hAnsi="宋体" w:eastAsia="宋体" w:cs="宋体"/>
          <w:color w:val="auto"/>
          <w:sz w:val="24"/>
          <w:szCs w:val="24"/>
        </w:rPr>
        <w:t>。</w:t>
      </w:r>
    </w:p>
    <w:p w14:paraId="6A42978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进度付款申请单的内容：</w:t>
      </w:r>
      <w:r>
        <w:rPr>
          <w:rFonts w:hint="eastAsia" w:ascii="宋体" w:hAnsi="宋体" w:eastAsia="宋体" w:cs="宋体"/>
          <w:color w:val="auto"/>
          <w:sz w:val="24"/>
          <w:szCs w:val="24"/>
          <w:u w:val="single"/>
        </w:rPr>
        <w:t xml:space="preserve">按监理人统一要求办理  </w:t>
      </w:r>
      <w:r>
        <w:rPr>
          <w:rFonts w:hint="eastAsia" w:ascii="宋体" w:hAnsi="宋体" w:eastAsia="宋体" w:cs="宋体"/>
          <w:color w:val="auto"/>
          <w:sz w:val="24"/>
          <w:szCs w:val="24"/>
        </w:rPr>
        <w:t>。</w:t>
      </w:r>
    </w:p>
    <w:p w14:paraId="013D294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17.3.3进度付款证书和支付时间</w:t>
      </w:r>
    </w:p>
    <w:p w14:paraId="49F6578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发包人未按专用合同条款第17.2.1(2)目、通用合同条款第17.3.3(2)目、第17.5.2(2)目和第17.6.2(2)目约定的期限支付承包人依合同约定应当得到的款项，应当从应付之日起向承包人支付逾期付款违约金。承包人应当按通用合同条款第23.1(1)目的约定，在最终付款期限到期后28天内，向监理人递交索赔意向通知书，说明有权得到按本款约定的下列标准和方法计算的逾期付款违约金。承包人要求发包人支付逾期付款违约金不影响承包人要求发包人承担通用合同条款第22.2款约定的其他违约责任的权利。</w:t>
      </w:r>
    </w:p>
    <w:p w14:paraId="4731B2F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逾期付款违约金的计算标准为</w:t>
      </w:r>
      <w:r>
        <w:rPr>
          <w:rFonts w:hint="eastAsia" w:ascii="宋体" w:hAnsi="宋体" w:eastAsia="宋体" w:cs="宋体"/>
          <w:color w:val="auto"/>
          <w:sz w:val="24"/>
          <w:szCs w:val="24"/>
          <w:u w:val="single"/>
        </w:rPr>
        <w:t>无逾期付款违约金</w:t>
      </w:r>
      <w:r>
        <w:rPr>
          <w:rFonts w:hint="eastAsia" w:ascii="宋体" w:hAnsi="宋体" w:eastAsia="宋体" w:cs="宋体"/>
          <w:color w:val="auto"/>
          <w:sz w:val="24"/>
          <w:szCs w:val="24"/>
        </w:rPr>
        <w:t>。</w:t>
      </w:r>
    </w:p>
    <w:p w14:paraId="25AA553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逾期付款违约金的计算方法为</w:t>
      </w:r>
      <w:r>
        <w:rPr>
          <w:rFonts w:hint="eastAsia" w:ascii="宋体" w:hAnsi="宋体" w:eastAsia="宋体" w:cs="宋体"/>
          <w:color w:val="auto"/>
          <w:sz w:val="24"/>
          <w:szCs w:val="24"/>
          <w:u w:val="single"/>
        </w:rPr>
        <w:t>无逾期付款违约金</w:t>
      </w:r>
      <w:r>
        <w:rPr>
          <w:rFonts w:hint="eastAsia" w:ascii="宋体" w:hAnsi="宋体" w:eastAsia="宋体" w:cs="宋体"/>
          <w:color w:val="auto"/>
          <w:sz w:val="24"/>
          <w:szCs w:val="24"/>
        </w:rPr>
        <w:t>。</w:t>
      </w:r>
    </w:p>
    <w:p w14:paraId="77F7E2D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进度付款的支付方法：</w:t>
      </w:r>
    </w:p>
    <w:p w14:paraId="771EEEC1">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u w:val="none"/>
          <w:lang w:eastAsia="zh-CN"/>
        </w:rPr>
      </w:pPr>
      <w:r>
        <w:rPr>
          <w:rFonts w:hint="eastAsia" w:ascii="宋体" w:hAnsi="宋体" w:eastAsia="宋体" w:cs="宋体"/>
          <w:b/>
          <w:bCs/>
          <w:color w:val="auto"/>
          <w:sz w:val="24"/>
          <w:szCs w:val="24"/>
          <w:u w:val="none"/>
          <w:lang w:eastAsia="zh-CN"/>
        </w:rPr>
        <w:t>（（1）每月25日前经甲方及监理方共同验收合格后，施工单位上报每月实际完成付款清单（付款清单=合格工程量乘以固定含税全费用综合单价），首先由甲方项目部及监理方签字确认后，转交公司成本部，成本部收到签字确认的付款清单后组织审计公司进行审计，三方达成一致后，支付每月实际完成合格工程造价的50%（同比例扣除发包人供应材料、设备价款）。</w:t>
      </w:r>
    </w:p>
    <w:p w14:paraId="4184407F">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u w:val="none"/>
          <w:lang w:eastAsia="zh-CN"/>
        </w:rPr>
      </w:pPr>
      <w:r>
        <w:rPr>
          <w:rFonts w:hint="eastAsia" w:ascii="宋体" w:hAnsi="宋体" w:eastAsia="宋体" w:cs="宋体"/>
          <w:b/>
          <w:bCs/>
          <w:color w:val="auto"/>
          <w:sz w:val="24"/>
          <w:szCs w:val="24"/>
          <w:u w:val="none"/>
          <w:lang w:eastAsia="zh-CN"/>
        </w:rPr>
        <w:t>（2）整体工程施工全部完成，并经甲方及监理方验收合格后，累计支付实际完成总额工程造价的60%（同比例扣除发包人供应材料、设备价款）。</w:t>
      </w:r>
    </w:p>
    <w:p w14:paraId="7535D87C">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u w:val="none"/>
          <w:lang w:eastAsia="zh-CN"/>
        </w:rPr>
      </w:pPr>
      <w:r>
        <w:rPr>
          <w:rFonts w:hint="eastAsia" w:ascii="宋体" w:hAnsi="宋体" w:eastAsia="宋体" w:cs="宋体"/>
          <w:b/>
          <w:bCs/>
          <w:color w:val="auto"/>
          <w:sz w:val="24"/>
          <w:szCs w:val="24"/>
          <w:u w:val="none"/>
          <w:lang w:eastAsia="zh-CN"/>
        </w:rPr>
        <w:t>（3）整体工程竣工验收合格移交工程竣工资料并工程备案完毕、经具有工程造价咨询资质的机构审计完成，竣工结算办理完毕手续后累计支付到结算值的97%（全额扣除发包人供应材料、设备价款）。</w:t>
      </w:r>
    </w:p>
    <w:p w14:paraId="499B0333">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u w:val="none"/>
          <w:lang w:eastAsia="zh-CN"/>
        </w:rPr>
      </w:pPr>
      <w:r>
        <w:rPr>
          <w:rFonts w:hint="eastAsia" w:ascii="宋体" w:hAnsi="宋体" w:eastAsia="宋体" w:cs="宋体"/>
          <w:b/>
          <w:bCs/>
          <w:color w:val="auto"/>
          <w:sz w:val="24"/>
          <w:szCs w:val="24"/>
          <w:u w:val="none"/>
          <w:lang w:eastAsia="zh-CN"/>
        </w:rPr>
        <w:t>（4）留结算价的3%作为保修金，在工程整体竣工验收合格之日起满2年后，如工程无质量问题、乙方无违约行为（在保修金支付前乙方须提前20天书面申请甲方对工程进行验收，待甲方组织验收无质量问题并加盖甲方公章书面确认后）后，经乙方书面申请30日内，无息返还保修金。否则，甲方有权延期或拒绝付款，并无须承担违约责任。</w:t>
      </w:r>
    </w:p>
    <w:p w14:paraId="5996CB34">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u w:val="single"/>
        </w:rPr>
      </w:pPr>
      <w:r>
        <w:rPr>
          <w:rFonts w:hint="eastAsia" w:ascii="宋体" w:hAnsi="宋体" w:eastAsia="宋体" w:cs="宋体"/>
          <w:b/>
          <w:bCs/>
          <w:color w:val="auto"/>
          <w:sz w:val="24"/>
          <w:szCs w:val="24"/>
          <w:u w:val="none"/>
          <w:lang w:eastAsia="zh-CN"/>
        </w:rPr>
        <w:t>（5）工程结算总价=确认的固定含税全费用综合单价×实测工程量+设计变更、洽商、签证＋依据本合同的增加项目-依据本合同的减少项目-违约金和（或）损失赔偿额；结算资料需双方签字盖章方为有效，不符合条件的工程结算资料依据均属无效，双方不作为办理结算的依据</w:t>
      </w:r>
      <w:r>
        <w:rPr>
          <w:rFonts w:hint="eastAsia" w:ascii="宋体" w:hAnsi="宋体" w:eastAsia="宋体" w:cs="宋体"/>
          <w:b/>
          <w:bCs/>
          <w:color w:val="auto"/>
          <w:sz w:val="24"/>
          <w:szCs w:val="24"/>
          <w:u w:val="single"/>
        </w:rPr>
        <w:t>。</w:t>
      </w:r>
    </w:p>
    <w:p w14:paraId="4A3293D3">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color w:val="auto"/>
          <w:sz w:val="24"/>
          <w:szCs w:val="24"/>
          <w:u w:val="single"/>
        </w:rPr>
      </w:pPr>
      <w:r>
        <w:rPr>
          <w:rFonts w:hint="eastAsia" w:ascii="宋体" w:hAnsi="宋体" w:eastAsia="宋体" w:cs="宋体"/>
          <w:b/>
          <w:color w:val="auto"/>
          <w:sz w:val="24"/>
          <w:szCs w:val="24"/>
          <w:u w:val="single"/>
        </w:rPr>
        <w:t>为确保工程保质保量按期完工，本项目工程款承包人必须专款专用，如发现承包人挪用工程款现象，由此造成的一切损失均由承包人承担。</w:t>
      </w:r>
    </w:p>
    <w:p w14:paraId="66EB4C20">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color w:val="auto"/>
          <w:sz w:val="24"/>
          <w:szCs w:val="24"/>
        </w:rPr>
      </w:pPr>
      <w:r>
        <w:rPr>
          <w:rFonts w:hint="eastAsia" w:ascii="宋体" w:hAnsi="宋体" w:eastAsia="宋体" w:cs="宋体"/>
          <w:b/>
          <w:color w:val="auto"/>
          <w:sz w:val="24"/>
          <w:szCs w:val="24"/>
          <w:u w:val="single"/>
        </w:rPr>
        <w:t>因承包人原因停止施工的，发包人有权单方解除合同，并要求承包人双倍退回发包人已支付的工程款。</w:t>
      </w:r>
    </w:p>
    <w:p w14:paraId="58C8F0F6">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u w:val="single"/>
        </w:rPr>
      </w:pPr>
      <w:r>
        <w:rPr>
          <w:rFonts w:hint="eastAsia" w:ascii="宋体" w:hAnsi="宋体" w:eastAsia="宋体" w:cs="宋体"/>
          <w:b/>
          <w:bCs/>
          <w:color w:val="auto"/>
          <w:sz w:val="24"/>
          <w:szCs w:val="24"/>
          <w:u w:val="single"/>
        </w:rPr>
        <w:t>甲乙双方办理每一次付款手续前，承包人须向发包人开具与当期已完工并完成对应核算产值或结算产值等额的、合法有效的增值税发票及收款收据，并加盖发票专用章及公司财务专用章。发包人在收取承包人发票及收款收据后支付工程款到承包人提供的自有账户。</w:t>
      </w:r>
    </w:p>
    <w:p w14:paraId="3E2254BD">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u w:val="single"/>
        </w:rPr>
      </w:pPr>
      <w:r>
        <w:rPr>
          <w:rFonts w:hint="eastAsia" w:ascii="宋体" w:hAnsi="宋体" w:eastAsia="宋体" w:cs="宋体"/>
          <w:b/>
          <w:bCs/>
          <w:color w:val="auto"/>
          <w:sz w:val="24"/>
          <w:szCs w:val="24"/>
          <w:u w:val="single"/>
        </w:rPr>
        <w:t>承包人须同时提供其防伪税控系统开具的《销售货物或者提供应税劳务清单》,并加盖发票专用章。发包人收到承包人的增值税发票须经过</w:t>
      </w:r>
      <w:r>
        <w:rPr>
          <w:rFonts w:hint="eastAsia" w:ascii="宋体" w:hAnsi="宋体" w:cs="宋体"/>
          <w:b/>
          <w:bCs/>
          <w:color w:val="auto"/>
          <w:sz w:val="24"/>
          <w:szCs w:val="24"/>
          <w:u w:val="single"/>
          <w:lang w:eastAsia="zh-CN"/>
        </w:rPr>
        <w:t>确认</w:t>
      </w:r>
      <w:r>
        <w:rPr>
          <w:rFonts w:hint="eastAsia" w:ascii="宋体" w:hAnsi="宋体" w:eastAsia="宋体" w:cs="宋体"/>
          <w:b/>
          <w:bCs/>
          <w:color w:val="auto"/>
          <w:sz w:val="24"/>
          <w:szCs w:val="24"/>
          <w:u w:val="single"/>
        </w:rPr>
        <w:t>后方可向承包人付款。如发生发票丢失、毁损及需要开具红字增值税发票等情况时，双方应互相配合进行处理，如承包人不予及时配合解决，全部责任及损失由承包人承担。</w:t>
      </w:r>
    </w:p>
    <w:p w14:paraId="1CB884AD">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u w:val="single"/>
        </w:rPr>
      </w:pPr>
      <w:r>
        <w:rPr>
          <w:rFonts w:hint="eastAsia" w:ascii="宋体" w:hAnsi="宋体" w:eastAsia="宋体" w:cs="宋体"/>
          <w:b/>
          <w:bCs/>
          <w:color w:val="auto"/>
          <w:sz w:val="24"/>
          <w:szCs w:val="24"/>
          <w:u w:val="single"/>
        </w:rPr>
        <w:t>承包人开具的增值税发票必须符合国家税收有关法律规定，不得使用虚假发票或伪造、变造的发票，否则一切责任由承包人自行承担，同时承包人需向发包人承担票面金额20%的违约金，对由此引起的发包人全部损失由承包人负责双倍赔偿。</w:t>
      </w:r>
    </w:p>
    <w:p w14:paraId="66C950EC">
      <w:pPr>
        <w:pStyle w:val="10"/>
        <w:widowControl w:val="0"/>
        <w:kinsoku/>
        <w:wordWrap/>
        <w:overflowPunct/>
        <w:topLinePunct w:val="0"/>
        <w:autoSpaceDE/>
        <w:autoSpaceDN/>
        <w:bidi w:val="0"/>
        <w:spacing w:line="360" w:lineRule="auto"/>
        <w:ind w:firstLine="42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如承包人提供的发票为虚开、伪造、变造、未交税款等导致发包人无法抵扣，或被税务机关认定为取得异常增值税扣税凭证的，相关增值税及增值税附加、城市维护建设税、教育费附加、地方教育费附加，以及由此导致发包人未按税法规定取得合规发票、无法在税前扣除公司，成本减少，企业所得税增加的损失（包括因总体亏损等当年未交所得税，无法在税前扣除影响的将来弥补上年度亏损同样的额度的损失）等均由承包人承担，发包人有权向承包人追偿。</w:t>
      </w:r>
    </w:p>
    <w:p w14:paraId="0D765587">
      <w:pPr>
        <w:pStyle w:val="10"/>
        <w:widowControl w:val="0"/>
        <w:kinsoku/>
        <w:wordWrap/>
        <w:overflowPunct/>
        <w:topLinePunct w:val="0"/>
        <w:autoSpaceDE/>
        <w:autoSpaceDN/>
        <w:bidi w:val="0"/>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承包人知悉并特别承诺，发票是发包人办理付款手续的必须资料，付款前，承包人须开具相等金额的合法发票，否则视为款项不到期，发包人有权拒绝付款并无须承担任何责任。</w:t>
      </w:r>
    </w:p>
    <w:p w14:paraId="6DCDB868">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u w:val="single"/>
        </w:rPr>
      </w:pPr>
      <w:r>
        <w:rPr>
          <w:rFonts w:hint="eastAsia" w:ascii="宋体" w:hAnsi="宋体" w:eastAsia="宋体" w:cs="宋体"/>
          <w:b/>
          <w:bCs/>
          <w:color w:val="auto"/>
          <w:sz w:val="24"/>
          <w:szCs w:val="24"/>
          <w:u w:val="single"/>
        </w:rPr>
        <w:t>进度款与质量挂钩，若所报工程质量达不到验收规范要求，发包人有权不予支付该部分工程款，同时承包人须依据本合同支付违约金并赔偿发包人损失。</w:t>
      </w:r>
    </w:p>
    <w:p w14:paraId="5B739732">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u w:val="single"/>
        </w:rPr>
      </w:pPr>
      <w:r>
        <w:rPr>
          <w:rFonts w:hint="eastAsia" w:ascii="宋体" w:hAnsi="宋体" w:eastAsia="宋体" w:cs="宋体"/>
          <w:b/>
          <w:bCs/>
          <w:color w:val="auto"/>
          <w:sz w:val="24"/>
          <w:szCs w:val="24"/>
          <w:u w:val="single"/>
        </w:rPr>
        <w:t>在质保金退还前，承包人还必须按发包人规定填写《质保金退还申请表》，由发包人的客户服务及负责该工程物业服务的部门确认承包人在该期间履行了保修义务后，方可办理质保金退还及领取手续。在质保金退还后的质保期间，承包人仍应按照合同约定及相关法律规定的质量保修范围承担质保义务，承包人未尽质保义务的，因此发生的责任和费用由承包人承担。</w:t>
      </w:r>
    </w:p>
    <w:p w14:paraId="49DD6DBA">
      <w:pPr>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（3）发包人增值税发票开票信息</w:t>
      </w:r>
    </w:p>
    <w:p w14:paraId="42C1CFB2">
      <w:pPr>
        <w:keepNext w:val="0"/>
        <w:keepLines w:val="0"/>
        <w:pageBreakBefore w:val="0"/>
        <w:widowControl w:val="0"/>
        <w:kinsoku/>
        <w:wordWrap/>
        <w:overflowPunct/>
        <w:topLinePunct w:val="0"/>
        <w:autoSpaceDE/>
        <w:autoSpaceDN/>
        <w:bidi w:val="0"/>
        <w:adjustRightInd w:val="0"/>
        <w:snapToGrid w:val="0"/>
        <w:spacing w:line="360" w:lineRule="auto"/>
        <w:ind w:firstLine="720" w:firstLineChars="3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(1)名称：</w:t>
      </w:r>
      <w:r>
        <w:rPr>
          <w:rFonts w:hint="eastAsia" w:ascii="宋体" w:hAnsi="宋体" w:eastAsia="宋体" w:cs="宋体"/>
          <w:color w:val="auto"/>
          <w:sz w:val="24"/>
          <w:szCs w:val="24"/>
          <w:u w:val="single"/>
          <w:lang w:eastAsia="zh-CN"/>
        </w:rPr>
        <w:t>邹城市钢山街道李官庄村村民委员会</w:t>
      </w:r>
    </w:p>
    <w:p w14:paraId="7C592BBB">
      <w:pPr>
        <w:keepNext w:val="0"/>
        <w:keepLines w:val="0"/>
        <w:pageBreakBefore w:val="0"/>
        <w:widowControl w:val="0"/>
        <w:kinsoku/>
        <w:wordWrap/>
        <w:overflowPunct/>
        <w:topLinePunct w:val="0"/>
        <w:autoSpaceDE/>
        <w:autoSpaceDN/>
        <w:bidi w:val="0"/>
        <w:adjustRightInd w:val="0"/>
        <w:snapToGrid w:val="0"/>
        <w:spacing w:line="360" w:lineRule="auto"/>
        <w:ind w:firstLine="720" w:firstLineChars="3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(2)纳税人设别号：</w:t>
      </w:r>
      <w:r>
        <w:rPr>
          <w:rFonts w:hint="eastAsia" w:ascii="宋体" w:hAnsi="宋体" w:eastAsia="宋体" w:cs="宋体"/>
          <w:color w:val="auto"/>
          <w:sz w:val="24"/>
          <w:szCs w:val="24"/>
          <w:u w:val="single"/>
          <w:lang w:eastAsia="zh-CN"/>
        </w:rPr>
        <w:t>54370883B4784119X4</w:t>
      </w:r>
    </w:p>
    <w:p w14:paraId="6E78824A">
      <w:pPr>
        <w:keepNext w:val="0"/>
        <w:keepLines w:val="0"/>
        <w:pageBreakBefore w:val="0"/>
        <w:widowControl w:val="0"/>
        <w:kinsoku/>
        <w:wordWrap/>
        <w:overflowPunct/>
        <w:topLinePunct w:val="0"/>
        <w:autoSpaceDE/>
        <w:autoSpaceDN/>
        <w:bidi w:val="0"/>
        <w:adjustRightInd w:val="0"/>
        <w:snapToGrid w:val="0"/>
        <w:spacing w:line="360" w:lineRule="auto"/>
        <w:ind w:firstLine="720" w:firstLineChars="300"/>
        <w:textAlignment w:val="auto"/>
        <w:rPr>
          <w:rFonts w:hint="eastAsia" w:ascii="宋体" w:hAnsi="宋体" w:eastAsia="宋体" w:cs="宋体"/>
          <w:color w:val="auto"/>
          <w:sz w:val="24"/>
          <w:szCs w:val="24"/>
          <w:u w:val="single"/>
          <w:lang w:eastAsia="zh-CN"/>
        </w:rPr>
      </w:pPr>
      <w:r>
        <w:rPr>
          <w:rFonts w:hint="eastAsia" w:ascii="宋体" w:hAnsi="宋体" w:eastAsia="宋体" w:cs="宋体"/>
          <w:color w:val="auto"/>
          <w:sz w:val="24"/>
          <w:szCs w:val="24"/>
        </w:rPr>
        <w:t>(3)工程地点：</w:t>
      </w:r>
      <w:r>
        <w:rPr>
          <w:rFonts w:hint="eastAsia" w:ascii="宋体" w:hAnsi="宋体" w:eastAsia="宋体" w:cs="宋体"/>
          <w:color w:val="auto"/>
          <w:sz w:val="24"/>
          <w:szCs w:val="24"/>
          <w:u w:val="single"/>
          <w:lang w:eastAsia="zh-CN"/>
        </w:rPr>
        <w:t>邹城市钢山花园社区内</w:t>
      </w:r>
    </w:p>
    <w:p w14:paraId="4F8B1010">
      <w:pPr>
        <w:keepNext w:val="0"/>
        <w:keepLines w:val="0"/>
        <w:pageBreakBefore w:val="0"/>
        <w:widowControl w:val="0"/>
        <w:kinsoku/>
        <w:wordWrap/>
        <w:overflowPunct/>
        <w:topLinePunct w:val="0"/>
        <w:autoSpaceDE/>
        <w:autoSpaceDN/>
        <w:bidi w:val="0"/>
        <w:adjustRightInd w:val="0"/>
        <w:snapToGrid w:val="0"/>
        <w:spacing w:line="360" w:lineRule="auto"/>
        <w:ind w:firstLine="720" w:firstLineChars="3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(4)工程名称：</w:t>
      </w:r>
      <w:r>
        <w:rPr>
          <w:rFonts w:hint="eastAsia" w:ascii="宋体" w:hAnsi="宋体" w:cs="宋体"/>
          <w:color w:val="auto"/>
          <w:sz w:val="24"/>
          <w:szCs w:val="24"/>
          <w:u w:val="single"/>
          <w:lang w:eastAsia="zh-CN"/>
        </w:rPr>
        <w:t>邹城市钢山街道办事处钢山花园小区李官村三期热力工程</w:t>
      </w:r>
      <w:r>
        <w:rPr>
          <w:rFonts w:hint="eastAsia" w:ascii="宋体" w:hAnsi="宋体" w:eastAsia="宋体" w:cs="宋体"/>
          <w:color w:val="auto"/>
          <w:sz w:val="24"/>
          <w:szCs w:val="24"/>
        </w:rPr>
        <w:t>；</w:t>
      </w:r>
    </w:p>
    <w:p w14:paraId="19B6A902">
      <w:pPr>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(4)承包人增值税发票开票信息</w:t>
      </w:r>
    </w:p>
    <w:p w14:paraId="781095E9">
      <w:pPr>
        <w:widowControl w:val="0"/>
        <w:kinsoku/>
        <w:wordWrap/>
        <w:overflowPunct/>
        <w:topLinePunct w:val="0"/>
        <w:autoSpaceDE/>
        <w:autoSpaceDN/>
        <w:bidi w:val="0"/>
        <w:adjustRightInd w:val="0"/>
        <w:snapToGrid w:val="0"/>
        <w:spacing w:line="360" w:lineRule="auto"/>
        <w:ind w:firstLine="720" w:firstLineChars="3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（1）公 司  名 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5703F4C7">
      <w:pPr>
        <w:widowControl w:val="0"/>
        <w:kinsoku/>
        <w:wordWrap/>
        <w:overflowPunct/>
        <w:topLinePunct w:val="0"/>
        <w:autoSpaceDE/>
        <w:autoSpaceDN/>
        <w:bidi w:val="0"/>
        <w:adjustRightInd w:val="0"/>
        <w:snapToGrid w:val="0"/>
        <w:spacing w:line="360" w:lineRule="auto"/>
        <w:ind w:firstLine="720" w:firstLineChars="3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（2）纳税人识别号：</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none"/>
        </w:rPr>
        <w:t>；</w:t>
      </w:r>
    </w:p>
    <w:p w14:paraId="4C5AB577">
      <w:pPr>
        <w:widowControl w:val="0"/>
        <w:kinsoku/>
        <w:wordWrap/>
        <w:overflowPunct/>
        <w:topLinePunct w:val="0"/>
        <w:autoSpaceDE/>
        <w:autoSpaceDN/>
        <w:bidi w:val="0"/>
        <w:adjustRightInd w:val="0"/>
        <w:snapToGrid w:val="0"/>
        <w:spacing w:line="360" w:lineRule="auto"/>
        <w:ind w:firstLine="720" w:firstLineChars="3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（3）开 户 行名称：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4D9879B7">
      <w:pPr>
        <w:widowControl w:val="0"/>
        <w:kinsoku/>
        <w:wordWrap/>
        <w:overflowPunct/>
        <w:topLinePunct w:val="0"/>
        <w:autoSpaceDE/>
        <w:autoSpaceDN/>
        <w:bidi w:val="0"/>
        <w:adjustRightInd w:val="0"/>
        <w:snapToGrid w:val="0"/>
        <w:spacing w:line="360" w:lineRule="auto"/>
        <w:ind w:firstLine="720" w:firstLineChars="3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（4）开 户  账 号：</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44CE22C7">
      <w:pPr>
        <w:widowControl w:val="0"/>
        <w:kinsoku/>
        <w:wordWrap/>
        <w:overflowPunct/>
        <w:topLinePunct w:val="0"/>
        <w:autoSpaceDE/>
        <w:autoSpaceDN/>
        <w:bidi w:val="0"/>
        <w:adjustRightInd w:val="0"/>
        <w:snapToGrid w:val="0"/>
        <w:spacing w:line="360" w:lineRule="auto"/>
        <w:ind w:firstLine="720" w:firstLineChars="3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（5）公 司  地 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5DDD1477">
      <w:pPr>
        <w:widowControl w:val="0"/>
        <w:kinsoku/>
        <w:wordWrap/>
        <w:overflowPunct/>
        <w:topLinePunct w:val="0"/>
        <w:autoSpaceDE/>
        <w:autoSpaceDN/>
        <w:bidi w:val="0"/>
        <w:adjustRightInd w:val="0"/>
        <w:snapToGrid w:val="0"/>
        <w:spacing w:line="360" w:lineRule="auto"/>
        <w:ind w:firstLine="720" w:firstLineChars="3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（6）公 司  电 话：</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040AF3AA">
      <w:pPr>
        <w:widowControl w:val="0"/>
        <w:kinsoku/>
        <w:wordWrap/>
        <w:overflowPunct/>
        <w:topLinePunct w:val="0"/>
        <w:autoSpaceDE/>
        <w:autoSpaceDN/>
        <w:bidi w:val="0"/>
        <w:adjustRightInd w:val="0"/>
        <w:snapToGrid w:val="0"/>
        <w:spacing w:line="360" w:lineRule="auto"/>
        <w:ind w:firstLine="720" w:firstLineChars="3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（7）公司电子邮箱：</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1771E3B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17.3.5临时付款证书</w:t>
      </w:r>
    </w:p>
    <w:p w14:paraId="093F334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合同约定的期限内，承包人和监理人无法对当期已完工程量和按合同约定应当支付的其他款项达成一致的，监理人应当在收到承包人报送的进度付款申请单等文件后14天内，就承包人没有异议的金额准备一个临时付款证书，报送发包人审查。临时付款证书中应当说明承包人有异议部分的金额及其原因，经发包人签认后，由监理人向承包人出具临时付款证书。发包人应当在监理人收到进度付款申请单后28天内，将临时付款证书中确定的应付金额支付给承包人。发包人和监理人均不得以任何理由延期支付工程进度付款。</w:t>
      </w:r>
    </w:p>
    <w:p w14:paraId="5234200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对临时付款证书中列明的承包人有异议部分的金额，承包人应当按照监理人要求，提交进一步的支持性文件和(或)与监理人做进一步共同复核工作，经监理人进一步审核并认可的应付金额，应当按通用合同条款第17.3.4项的约定纳入到下一期进度付款证书中。经过进一步努力，承包人仍有异议的，按合同条款第24条的约定办理。</w:t>
      </w:r>
    </w:p>
    <w:p w14:paraId="4B0986E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有异议款项中经监理人进一步审核后认可的或者经过合同条款第24条约定的争议解决方式确定的应付金额，其应付之日为引发异议的进度付款证书的应付之日，承包人有权得到按专用合同条款17.3.3(2)目约定计算的逾期付款违约金。</w:t>
      </w:r>
    </w:p>
    <w:p w14:paraId="326BCD10">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17.4质量保证金</w:t>
      </w:r>
    </w:p>
    <w:p w14:paraId="5356938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免费质量包修期内，出现质量问题，承包人接到发包人维修通知后，未能在规定时间内进行维修，则视为授权发包人（或发包人指定的物业公司）组织维修，并由承包人承担所有费用和质量责任。上述费用在承包人质保金中直接双倍扣除后，若质保金额不足以支付以上费用，承包人负责补足质保金。</w:t>
      </w:r>
    </w:p>
    <w:p w14:paraId="1F0C00C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在免费质量包修期内，出现质量问题，由于承包人原因，发包人（或发包人指定的物业公司）无法同承包人取得联系，按照上条执行。</w:t>
      </w:r>
    </w:p>
    <w:p w14:paraId="6F7515C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出现质量问题后，发包人（或发包人指定的物业公司）是否与承包人指定的联系人取得联系及联系时间以发包人（或发包人指定的物业公司）联系记录为准，维修项目及费用以发包人、物业公司、实际施工方三方签字的资料为准。</w:t>
      </w:r>
    </w:p>
    <w:p w14:paraId="13D90C6E">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17.5竣工结算</w:t>
      </w:r>
    </w:p>
    <w:p w14:paraId="4315857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17.5.1竣工付款申请单</w:t>
      </w:r>
    </w:p>
    <w:p w14:paraId="52AD0A9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承包人提交竣工付款申请单的份数：</w:t>
      </w:r>
      <w:r>
        <w:rPr>
          <w:rFonts w:hint="eastAsia" w:ascii="宋体" w:hAnsi="宋体" w:eastAsia="宋体" w:cs="宋体"/>
          <w:color w:val="auto"/>
          <w:sz w:val="24"/>
          <w:szCs w:val="24"/>
          <w:u w:val="single"/>
        </w:rPr>
        <w:t xml:space="preserve">   贰份                              </w:t>
      </w:r>
      <w:r>
        <w:rPr>
          <w:rFonts w:hint="eastAsia" w:ascii="宋体" w:hAnsi="宋体" w:eastAsia="宋体" w:cs="宋体"/>
          <w:color w:val="auto"/>
          <w:sz w:val="24"/>
          <w:szCs w:val="24"/>
        </w:rPr>
        <w:t>。</w:t>
      </w:r>
    </w:p>
    <w:p w14:paraId="7CF12F3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承包人提交竣工付款申请单的期限：</w:t>
      </w:r>
      <w:r>
        <w:rPr>
          <w:rFonts w:hint="eastAsia" w:ascii="宋体" w:hAnsi="宋体" w:eastAsia="宋体" w:cs="宋体"/>
          <w:color w:val="auto"/>
          <w:sz w:val="24"/>
          <w:szCs w:val="24"/>
          <w:u w:val="single"/>
        </w:rPr>
        <w:t xml:space="preserve">  竣工验收合格后28天内              </w:t>
      </w:r>
      <w:r>
        <w:rPr>
          <w:rFonts w:hint="eastAsia" w:ascii="宋体" w:hAnsi="宋体" w:eastAsia="宋体" w:cs="宋体"/>
          <w:color w:val="auto"/>
          <w:sz w:val="24"/>
          <w:szCs w:val="24"/>
        </w:rPr>
        <w:t>。</w:t>
      </w:r>
    </w:p>
    <w:p w14:paraId="2EC0D20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竣工付款申请单的内容：</w:t>
      </w:r>
      <w:r>
        <w:rPr>
          <w:rFonts w:hint="eastAsia" w:ascii="宋体" w:hAnsi="宋体" w:eastAsia="宋体" w:cs="宋体"/>
          <w:color w:val="auto"/>
          <w:sz w:val="24"/>
          <w:szCs w:val="24"/>
          <w:u w:val="single"/>
        </w:rPr>
        <w:t>竣工结算合同总价、已支付的工程价款、应扣留的质量保证金、应支付的竣工付款金额等</w:t>
      </w:r>
      <w:r>
        <w:rPr>
          <w:rFonts w:hint="eastAsia" w:ascii="宋体" w:hAnsi="宋体" w:eastAsia="宋体" w:cs="宋体"/>
          <w:color w:val="auto"/>
          <w:sz w:val="24"/>
          <w:szCs w:val="24"/>
        </w:rPr>
        <w:t>。</w:t>
      </w:r>
    </w:p>
    <w:p w14:paraId="4EE1650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未按本项约定的期限和内容提交竣工付款申请单或者未按通用合同条款第17.5.1(2)目约定提交修正后的竣工付款申请单，经监理人催促后14天内仍未提交或者没有明确答复的，监理人和发包人有权根据已有资料进行审查，审查确定的竣工结算合同总价和竣工付款金额视同是经承包人认可的工程竣工结算合同总价和竣工付款金额。</w:t>
      </w:r>
    </w:p>
    <w:p w14:paraId="3E06728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u w:val="single"/>
          <w:lang w:val="zh-CN"/>
        </w:rPr>
        <w:t>工程结算总价</w:t>
      </w:r>
      <w:r>
        <w:rPr>
          <w:rFonts w:hint="eastAsia" w:ascii="宋体" w:hAnsi="宋体" w:eastAsia="宋体" w:cs="宋体"/>
          <w:color w:val="auto"/>
          <w:sz w:val="24"/>
          <w:szCs w:val="24"/>
          <w:u w:val="single"/>
        </w:rPr>
        <w:t>=确认的固定含税全费用综合单价×实测工程量</w:t>
      </w:r>
      <w:r>
        <w:rPr>
          <w:rFonts w:hint="eastAsia" w:ascii="宋体" w:hAnsi="宋体" w:eastAsia="宋体" w:cs="宋体"/>
          <w:color w:val="auto"/>
          <w:sz w:val="24"/>
          <w:szCs w:val="24"/>
          <w:u w:val="single"/>
          <w:lang w:val="zh-CN"/>
        </w:rPr>
        <w:t>+设计变更、洽商、签证＋依据本合同的增加项目-依据本合同的减少项目-违约金和（或）损失赔偿额；</w:t>
      </w:r>
      <w:r>
        <w:rPr>
          <w:rFonts w:hint="eastAsia" w:ascii="宋体" w:hAnsi="宋体" w:eastAsia="宋体" w:cs="宋体"/>
          <w:color w:val="auto"/>
          <w:sz w:val="24"/>
          <w:szCs w:val="24"/>
          <w:u w:val="single"/>
        </w:rPr>
        <w:t>结算资料需双方签字盖章方为有效，不符合条件的工程结算资料依据均属无效，双方不作为办理结算的依据。</w:t>
      </w:r>
    </w:p>
    <w:p w14:paraId="3F39578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不管通用合同条款17.5.2项如何约定，发包人和承包人应当在监理人颁发(出具)工程接收证书后90天内办清竣工结算和竣工付款。</w:t>
      </w:r>
    </w:p>
    <w:p w14:paraId="575F52CD">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17.6最终结清</w:t>
      </w:r>
    </w:p>
    <w:p w14:paraId="5D62A29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17.6.1最终结清申请单</w:t>
      </w:r>
    </w:p>
    <w:p w14:paraId="3F55B66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承包人提交最终结清申请单的份数：</w:t>
      </w:r>
      <w:r>
        <w:rPr>
          <w:rFonts w:hint="eastAsia" w:ascii="宋体" w:hAnsi="宋体" w:eastAsia="宋体" w:cs="宋体"/>
          <w:color w:val="auto"/>
          <w:sz w:val="24"/>
          <w:szCs w:val="24"/>
          <w:u w:val="single"/>
        </w:rPr>
        <w:t xml:space="preserve">   五份 </w:t>
      </w:r>
      <w:r>
        <w:rPr>
          <w:rFonts w:hint="eastAsia" w:ascii="宋体" w:hAnsi="宋体" w:eastAsia="宋体" w:cs="宋体"/>
          <w:color w:val="auto"/>
          <w:sz w:val="24"/>
          <w:szCs w:val="24"/>
        </w:rPr>
        <w:t>。</w:t>
      </w:r>
    </w:p>
    <w:p w14:paraId="35235A5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承包人提交最终结清申请单的期限：</w:t>
      </w:r>
      <w:r>
        <w:rPr>
          <w:rFonts w:hint="eastAsia" w:ascii="宋体" w:hAnsi="宋体" w:eastAsia="宋体" w:cs="宋体"/>
          <w:color w:val="auto"/>
          <w:sz w:val="24"/>
          <w:szCs w:val="24"/>
          <w:u w:val="single"/>
        </w:rPr>
        <w:t xml:space="preserve">  缺陷责任期终止证书签发后30天内   </w:t>
      </w:r>
      <w:r>
        <w:rPr>
          <w:rFonts w:hint="eastAsia" w:ascii="宋体" w:hAnsi="宋体" w:eastAsia="宋体" w:cs="宋体"/>
          <w:color w:val="auto"/>
          <w:sz w:val="24"/>
          <w:szCs w:val="24"/>
        </w:rPr>
        <w:t>。</w:t>
      </w:r>
    </w:p>
    <w:p w14:paraId="1977D4CD">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18.竣工验收</w:t>
      </w:r>
    </w:p>
    <w:p w14:paraId="4717DC73">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18.2竣工验收申请报告</w:t>
      </w:r>
    </w:p>
    <w:p w14:paraId="6CA16C4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(2)承包人负责整理和提交的竣工验收资料应当符合工程所在地建设行政主管部门和(或)城市建设档案管理机构有关施工资料的要求，具体内容包括：</w:t>
      </w:r>
      <w:r>
        <w:rPr>
          <w:rFonts w:hint="eastAsia" w:ascii="宋体" w:hAnsi="宋体" w:eastAsia="宋体" w:cs="宋体"/>
          <w:color w:val="auto"/>
          <w:sz w:val="24"/>
          <w:szCs w:val="24"/>
          <w:u w:val="single"/>
        </w:rPr>
        <w:t xml:space="preserve">  按工程所在地建设行政主管部门和(或)城市建设档案管理机构对竣工验收资料内容的规定    </w:t>
      </w:r>
      <w:r>
        <w:rPr>
          <w:rFonts w:hint="eastAsia" w:ascii="宋体" w:hAnsi="宋体" w:eastAsia="宋体" w:cs="宋体"/>
          <w:color w:val="auto"/>
          <w:sz w:val="24"/>
          <w:szCs w:val="24"/>
        </w:rPr>
        <w:t>。</w:t>
      </w:r>
    </w:p>
    <w:p w14:paraId="7CB5EF3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竣工验收资料的份数：</w:t>
      </w:r>
      <w:r>
        <w:rPr>
          <w:rFonts w:hint="eastAsia" w:ascii="宋体" w:hAnsi="宋体" w:eastAsia="宋体" w:cs="宋体"/>
          <w:color w:val="auto"/>
          <w:sz w:val="24"/>
          <w:szCs w:val="24"/>
          <w:u w:val="single"/>
        </w:rPr>
        <w:t xml:space="preserve">按工程所在地建设行政主管部门和(或)城市建设档案管理机构的规定及发包人要求    </w:t>
      </w:r>
      <w:r>
        <w:rPr>
          <w:rFonts w:hint="eastAsia" w:ascii="宋体" w:hAnsi="宋体" w:eastAsia="宋体" w:cs="宋体"/>
          <w:color w:val="auto"/>
          <w:sz w:val="24"/>
          <w:szCs w:val="24"/>
        </w:rPr>
        <w:t>。</w:t>
      </w:r>
    </w:p>
    <w:p w14:paraId="1F7C857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竣工验收资料的费用支付方式：</w:t>
      </w:r>
      <w:r>
        <w:rPr>
          <w:rFonts w:hint="eastAsia" w:ascii="宋体" w:hAnsi="宋体" w:eastAsia="宋体" w:cs="宋体"/>
          <w:color w:val="auto"/>
          <w:sz w:val="24"/>
          <w:szCs w:val="24"/>
          <w:u w:val="single"/>
        </w:rPr>
        <w:t xml:space="preserve">  由承包人自行承担  </w:t>
      </w:r>
      <w:r>
        <w:rPr>
          <w:rFonts w:hint="eastAsia" w:ascii="宋体" w:hAnsi="宋体" w:eastAsia="宋体" w:cs="宋体"/>
          <w:color w:val="auto"/>
          <w:sz w:val="24"/>
          <w:szCs w:val="24"/>
        </w:rPr>
        <w:t>。</w:t>
      </w:r>
    </w:p>
    <w:p w14:paraId="09281F60">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18.3验收</w:t>
      </w:r>
    </w:p>
    <w:p w14:paraId="3580521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18.3.5经验收合格的工程，实际竣工日期为承包人按照第18.2款提交竣工验收申请报告或按照本款重新提交竣工验收申请报告的日期(以两者中时间在后者为准)。</w:t>
      </w:r>
    </w:p>
    <w:p w14:paraId="53D43302">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18.5施工期运行</w:t>
      </w:r>
    </w:p>
    <w:p w14:paraId="5F3DB65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18.5.1需要施工期运行的单位工程或设备安装工程：</w:t>
      </w:r>
      <w:r>
        <w:rPr>
          <w:rFonts w:hint="eastAsia" w:ascii="宋体" w:hAnsi="宋体" w:eastAsia="宋体" w:cs="宋体"/>
          <w:color w:val="auto"/>
          <w:sz w:val="24"/>
          <w:szCs w:val="24"/>
          <w:u w:val="single"/>
        </w:rPr>
        <w:t xml:space="preserve">   根据实际情况按发包人要求  </w:t>
      </w:r>
      <w:r>
        <w:rPr>
          <w:rFonts w:hint="eastAsia" w:ascii="宋体" w:hAnsi="宋体" w:eastAsia="宋体" w:cs="宋体"/>
          <w:color w:val="auto"/>
          <w:sz w:val="24"/>
          <w:szCs w:val="24"/>
        </w:rPr>
        <w:t>。</w:t>
      </w:r>
    </w:p>
    <w:p w14:paraId="03F39F25">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18.6试运行</w:t>
      </w:r>
    </w:p>
    <w:p w14:paraId="7904CAD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18.6.1工程及工程设备试运行的组织与费用承担</w:t>
      </w:r>
    </w:p>
    <w:p w14:paraId="3E24B3A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（1）工程设备安装具备单机无负荷试运行条件，由承包人组织试运行，费用由承包人承担。</w:t>
      </w:r>
    </w:p>
    <w:p w14:paraId="6BB8B72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（2）工程设备安装具备无负荷联动试运行条件，由发包人组织试运行，费用由发包人承担。</w:t>
      </w:r>
    </w:p>
    <w:p w14:paraId="7500522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（3）投料试运行应在工程竣工验收后由发包人负责，如发包人要求在工程竣工验收前进行或需要承包人配合时，应征得承包人同意，另行签订补充协议。</w:t>
      </w:r>
    </w:p>
    <w:p w14:paraId="663C0DB4">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18.7竣工清场</w:t>
      </w:r>
    </w:p>
    <w:p w14:paraId="74B7452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18.7.1监理人颁发(出具)工程接收证书后，承包人负责按照通用合同条款本项约定的要求对施工场地进行清理并承担相关费用，直至监理人检验合格为止。</w:t>
      </w:r>
    </w:p>
    <w:p w14:paraId="0B20DE74">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18.8施工队伍的撤离</w:t>
      </w:r>
    </w:p>
    <w:p w14:paraId="1B75365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按照通用合同条款第18.8款约定撤离施工场地(现场)时，监理人和承包人应当办理永久工程和施工场地移交手续，移交手续以书面方式出具，并分别经过发包人、监理人和承包人的签认。但是，监理人和发包人未按专用合同条款17.5.1项约定的期限办清竣工结算和竣工付款的，本工程不得交付使用，发包人和监理人也无权要求承包人按合同约定的期限撤离施工场地(现场)和办理工程移交手续。</w:t>
      </w:r>
    </w:p>
    <w:p w14:paraId="345E1B9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缺陷责任期满时，承包人可以继续在施工场地保留的人员和施工设备以及最终撤离的期限：</w:t>
      </w:r>
      <w:r>
        <w:rPr>
          <w:rFonts w:hint="eastAsia" w:ascii="宋体" w:hAnsi="宋体" w:eastAsia="宋体" w:cs="宋体"/>
          <w:color w:val="auto"/>
          <w:sz w:val="24"/>
          <w:szCs w:val="24"/>
          <w:u w:val="single"/>
        </w:rPr>
        <w:t xml:space="preserve">缺陷责任期满时，承包人的人员和施工设备应全部撤离施工场地     </w:t>
      </w:r>
      <w:r>
        <w:rPr>
          <w:rFonts w:hint="eastAsia" w:ascii="宋体" w:hAnsi="宋体" w:eastAsia="宋体" w:cs="宋体"/>
          <w:color w:val="auto"/>
          <w:sz w:val="24"/>
          <w:szCs w:val="24"/>
        </w:rPr>
        <w:t>。</w:t>
      </w:r>
    </w:p>
    <w:p w14:paraId="504FE526">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18.9中间验收</w:t>
      </w:r>
    </w:p>
    <w:p w14:paraId="0AEC646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本工程需要进行中间验收的部位如下：</w:t>
      </w:r>
      <w:r>
        <w:rPr>
          <w:rFonts w:hint="eastAsia" w:ascii="宋体" w:hAnsi="宋体" w:eastAsia="宋体" w:cs="宋体"/>
          <w:color w:val="auto"/>
          <w:sz w:val="24"/>
          <w:szCs w:val="24"/>
          <w:u w:val="single"/>
        </w:rPr>
        <w:t xml:space="preserve">                                                                                     </w:t>
      </w:r>
    </w:p>
    <w:p w14:paraId="4574859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当工程进度达到本款约定的中间验收部位时，承包人应当进行自检，并在中间验收前48小时以书面形式通知监理人验收。书面通知应包括中间验收的内容、验收时间和地点。承包人应当准备验收记录。只有监理人验收合格并在验收记录上签字后，承包人方可继续施工。验收不合格的，承包人在</w:t>
      </w:r>
      <w:r>
        <w:rPr>
          <w:rFonts w:hint="eastAsia" w:ascii="宋体" w:hAnsi="宋体" w:eastAsia="宋体" w:cs="宋体"/>
          <w:color w:val="auto"/>
          <w:sz w:val="24"/>
          <w:szCs w:val="24"/>
          <w:u w:val="single"/>
        </w:rPr>
        <w:t xml:space="preserve"> 监理人要求的 </w:t>
      </w:r>
      <w:r>
        <w:rPr>
          <w:rFonts w:hint="eastAsia" w:ascii="宋体" w:hAnsi="宋体" w:eastAsia="宋体" w:cs="宋体"/>
          <w:color w:val="auto"/>
          <w:sz w:val="24"/>
          <w:szCs w:val="24"/>
        </w:rPr>
        <w:t>期限内进行修改后重新验收。</w:t>
      </w:r>
    </w:p>
    <w:p w14:paraId="2258CB2B">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监理人不能按时进行验收的，应在验收前24小时以书面形式向承包人提出延期要求，延期不能超过48小时。监理人未能按本款约定的时限提出延期要求，又未按期进行验收的，承包人可自行组织验收，监理人必须认同验收记录。</w:t>
      </w:r>
    </w:p>
    <w:p w14:paraId="1DC3BB0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经监理人验收后工程质量符合约定的验收标准，但验收24小时后监理人仍不在验收记录上签字的，视为监理人已经认可验收记录，承包人可继续施工。</w:t>
      </w:r>
    </w:p>
    <w:p w14:paraId="3DA11A39">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19.缺陷责任与保修责任</w:t>
      </w:r>
    </w:p>
    <w:p w14:paraId="0B4B5010">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19.7保修责任</w:t>
      </w:r>
    </w:p>
    <w:p w14:paraId="4F70E9D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(1)工程质量保修范围：</w:t>
      </w:r>
      <w:r>
        <w:rPr>
          <w:rFonts w:hint="eastAsia" w:ascii="宋体" w:hAnsi="宋体" w:eastAsia="宋体" w:cs="宋体"/>
          <w:color w:val="auto"/>
          <w:sz w:val="24"/>
          <w:szCs w:val="24"/>
          <w:u w:val="single"/>
        </w:rPr>
        <w:t xml:space="preserve"> 详见质量保修书   </w:t>
      </w:r>
      <w:r>
        <w:rPr>
          <w:rFonts w:hint="eastAsia" w:ascii="宋体" w:hAnsi="宋体" w:eastAsia="宋体" w:cs="宋体"/>
          <w:color w:val="auto"/>
          <w:sz w:val="24"/>
          <w:szCs w:val="24"/>
        </w:rPr>
        <w:t>。</w:t>
      </w:r>
    </w:p>
    <w:p w14:paraId="5A419CE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(2)工程质量保修期限：</w:t>
      </w:r>
      <w:r>
        <w:rPr>
          <w:rFonts w:hint="eastAsia" w:ascii="宋体" w:hAnsi="宋体" w:eastAsia="宋体" w:cs="宋体"/>
          <w:color w:val="auto"/>
          <w:sz w:val="24"/>
          <w:szCs w:val="24"/>
          <w:u w:val="single"/>
        </w:rPr>
        <w:t xml:space="preserve"> 详见质量保修书   </w:t>
      </w:r>
      <w:r>
        <w:rPr>
          <w:rFonts w:hint="eastAsia" w:ascii="宋体" w:hAnsi="宋体" w:eastAsia="宋体" w:cs="宋体"/>
          <w:color w:val="auto"/>
          <w:sz w:val="24"/>
          <w:szCs w:val="24"/>
        </w:rPr>
        <w:t>。</w:t>
      </w:r>
    </w:p>
    <w:p w14:paraId="444DF0C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(3)工程质量保修责任：</w:t>
      </w:r>
      <w:r>
        <w:rPr>
          <w:rFonts w:hint="eastAsia" w:ascii="宋体" w:hAnsi="宋体" w:eastAsia="宋体" w:cs="宋体"/>
          <w:color w:val="auto"/>
          <w:sz w:val="24"/>
          <w:szCs w:val="24"/>
          <w:u w:val="single"/>
        </w:rPr>
        <w:t xml:space="preserve"> 详见质量保修书    </w:t>
      </w:r>
      <w:r>
        <w:rPr>
          <w:rFonts w:hint="eastAsia" w:ascii="宋体" w:hAnsi="宋体" w:eastAsia="宋体" w:cs="宋体"/>
          <w:color w:val="auto"/>
          <w:sz w:val="24"/>
          <w:szCs w:val="24"/>
        </w:rPr>
        <w:t>。</w:t>
      </w:r>
    </w:p>
    <w:p w14:paraId="007E6C8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质量保修书是竣工验收申请报告的组成内容。承包人应当按照有关法律法规规定和合同所附的格式出具质量保修书，质量保修书的主要内容应当与本款上述约定内容一致。承包人在递交合同条款第18.2款约定的竣工验收报告的同时，将质量保修书一并报送监理人。</w:t>
      </w:r>
    </w:p>
    <w:p w14:paraId="3D598F14">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20.保险</w:t>
      </w:r>
    </w:p>
    <w:p w14:paraId="26A58A3F">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20.1工程保险</w:t>
      </w:r>
    </w:p>
    <w:p w14:paraId="21BD8FD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本工程</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工程保险。投保工程保险时，险种为：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，并符合以下约定。</w:t>
      </w:r>
    </w:p>
    <w:p w14:paraId="5E138CC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(1)投保人：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594D072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(2)投保内容：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382012C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(3)保险费率：由投保人与合同双方同意的保险人商定。</w:t>
      </w:r>
    </w:p>
    <w:p w14:paraId="5D98E34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(4)保险金额：</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1B0833A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(5)保险期限：</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8981416">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20.4第三者责任险</w:t>
      </w:r>
    </w:p>
    <w:p w14:paraId="68946FE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20.4.2保险金额：</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，保险费率由承包人与发包人同意的保险人商定，相关保险费由</w:t>
      </w:r>
      <w:r>
        <w:rPr>
          <w:rFonts w:hint="eastAsia" w:ascii="宋体" w:hAnsi="宋体" w:eastAsia="宋体" w:cs="宋体"/>
          <w:color w:val="auto"/>
          <w:sz w:val="24"/>
          <w:szCs w:val="24"/>
          <w:highlight w:val="none"/>
          <w:u w:val="single"/>
        </w:rPr>
        <w:t xml:space="preserve"> 承包人 </w:t>
      </w:r>
      <w:r>
        <w:rPr>
          <w:rFonts w:hint="eastAsia" w:ascii="宋体" w:hAnsi="宋体" w:eastAsia="宋体" w:cs="宋体"/>
          <w:color w:val="auto"/>
          <w:sz w:val="24"/>
          <w:szCs w:val="24"/>
          <w:highlight w:val="none"/>
        </w:rPr>
        <w:t>承担。</w:t>
      </w:r>
    </w:p>
    <w:p w14:paraId="582F3659">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20.5其他保险</w:t>
      </w:r>
    </w:p>
    <w:p w14:paraId="0363AE0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承包人应为其施工设备、进场材料和工程设备等办理的保险：</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21B16A22">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20.6对各项保险的一般要求</w:t>
      </w:r>
    </w:p>
    <w:p w14:paraId="41F6E5FD">
      <w:pPr>
        <w:widowControl w:val="0"/>
        <w:kinsoku/>
        <w:wordWrap/>
        <w:overflowPunct/>
        <w:topLinePunct w:val="0"/>
        <w:autoSpaceDE/>
        <w:autoSpaceDN/>
        <w:bidi w:val="0"/>
        <w:spacing w:before="72" w:beforeLines="30" w:after="72" w:afterLines="3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20.6.1保险凭证</w:t>
      </w:r>
    </w:p>
    <w:p w14:paraId="4EFE1DF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承包人向发包人提交各项保险生效的证据和保险单副本的期限：</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49DEB4FE">
      <w:pPr>
        <w:widowControl w:val="0"/>
        <w:kinsoku/>
        <w:wordWrap/>
        <w:overflowPunct/>
        <w:topLinePunct w:val="0"/>
        <w:autoSpaceDE/>
        <w:autoSpaceDN/>
        <w:bidi w:val="0"/>
        <w:spacing w:before="72" w:beforeLines="30" w:after="72" w:afterLines="3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20.6.4保险金不足的补偿</w:t>
      </w:r>
    </w:p>
    <w:p w14:paraId="4D8F952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保险金不足以补偿损失时，承包人和发包人负责补偿的责任分摊：</w:t>
      </w:r>
      <w:r>
        <w:rPr>
          <w:rFonts w:hint="eastAsia" w:ascii="宋体" w:hAnsi="宋体" w:eastAsia="宋体" w:cs="宋体"/>
          <w:color w:val="auto"/>
          <w:sz w:val="24"/>
          <w:szCs w:val="24"/>
          <w:highlight w:val="none"/>
          <w:u w:val="single"/>
        </w:rPr>
        <w:t xml:space="preserve">      。 </w:t>
      </w:r>
    </w:p>
    <w:p w14:paraId="20F5055E">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21.不可抗力</w:t>
      </w:r>
    </w:p>
    <w:p w14:paraId="3A64860D">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21.1不可抗力的确认</w:t>
      </w:r>
    </w:p>
    <w:p w14:paraId="3BA54C7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21.1.1通用合同条款第21.1.1项约定的不可抗力以外的其他情形：</w:t>
      </w:r>
      <w:r>
        <w:rPr>
          <w:rFonts w:hint="eastAsia" w:ascii="宋体" w:hAnsi="宋体" w:eastAsia="宋体" w:cs="宋体"/>
          <w:color w:val="auto"/>
          <w:sz w:val="24"/>
          <w:szCs w:val="24"/>
          <w:u w:val="single"/>
        </w:rPr>
        <w:t xml:space="preserve">  按国家有关部门认定的标准。 </w:t>
      </w:r>
    </w:p>
    <w:p w14:paraId="1648D82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不可抗力的等级范围约定：</w:t>
      </w:r>
      <w:r>
        <w:rPr>
          <w:rFonts w:hint="eastAsia" w:ascii="宋体" w:hAnsi="宋体" w:eastAsia="宋体" w:cs="宋体"/>
          <w:color w:val="auto"/>
          <w:sz w:val="24"/>
          <w:szCs w:val="24"/>
          <w:u w:val="single"/>
        </w:rPr>
        <w:t xml:space="preserve">  发包人与承包人另行协商约定         。 </w:t>
      </w:r>
    </w:p>
    <w:p w14:paraId="2C0CE14D">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21.3不可抗力后果及其处理</w:t>
      </w:r>
    </w:p>
    <w:p w14:paraId="2A013DC3">
      <w:pPr>
        <w:widowControl w:val="0"/>
        <w:kinsoku/>
        <w:wordWrap/>
        <w:overflowPunct/>
        <w:topLinePunct w:val="0"/>
        <w:autoSpaceDE/>
        <w:autoSpaceDN/>
        <w:bidi w:val="0"/>
        <w:spacing w:before="72" w:beforeLines="30" w:after="72" w:afterLines="3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21.3.1不可抗力造成损害的责任</w:t>
      </w:r>
    </w:p>
    <w:p w14:paraId="77C0F2B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不可抗力导致的人员伤亡、财产损失、费用增加和(或)工期延误等后果，由合同双方按通用合同条款第21.3.1项约定的原则承担。</w:t>
      </w:r>
    </w:p>
    <w:p w14:paraId="5A7E3A64">
      <w:pPr>
        <w:pStyle w:val="4"/>
        <w:widowControl w:val="0"/>
        <w:numPr>
          <w:ilvl w:val="0"/>
          <w:numId w:val="4"/>
        </w:numPr>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违约</w:t>
      </w:r>
    </w:p>
    <w:p w14:paraId="174F6EF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第22.1.1条补充如下：</w:t>
      </w:r>
    </w:p>
    <w:p w14:paraId="6E05437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 所有特殊工种人员均应符合有关规定，获得上岗资格，持有有关部门颁发的资质证书或上岗证（且在有效期内），并在施工上岗之前提供给监理工程师审查，施工中持证上岗，并佩戴单位上岗证。在特殊工种的施工中，若发现不佩戴岗位证的人员，不持有资格证书施工，则按每发现一次，按照人民币1000元/人次向发包人支付违约金。累计10次则停工整顿。</w:t>
      </w:r>
    </w:p>
    <w:p w14:paraId="5F4E88C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 在工程施工过程中以及保修期内，由于承包人责任出现质量问题、劳资纠纷、拖欠工人工资或者其他原因，受到报纸、电视等媒体的曝光或上访、政府有关主管部门的通报批评，每次由承包人向发包人支付人民币5万元/次违约金，从承包人当期工程款项、结算款或质保金中扣除，不足部分以实际损失为限，由承包人补足。</w:t>
      </w:r>
    </w:p>
    <w:p w14:paraId="143F279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 因承包人原因工程竣工资料（按档案馆要求，含相应的电子磁盘资料、声像资料）延误移交，每延误一天，承包人支付发包人违约金人民币5万元。此外因其工程竣工资料导致的竣工日期及交房日期延误，造成的一切经济损失由承包人承担。</w:t>
      </w:r>
    </w:p>
    <w:p w14:paraId="65AAB17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 承包人员工或其分包人员到政府部门、发包人办公室、售楼处等处围攻、静坐等现象发生的，每发生一次承包人支付发包人违约金人民币2万元/次。</w:t>
      </w:r>
    </w:p>
    <w:p w14:paraId="4C00B0B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 承包人未在发包人或监理通知单规定时间内完成整改并回复的，罚款人民币1万元/次。且发包人有权指定其他单位代为实施，所发生费用（另加20%的管理费）及责任由承包人承担。</w:t>
      </w:r>
    </w:p>
    <w:p w14:paraId="62D149A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 发包人指令要求的销售配合工作，承包人需按双方确认的工期按时完成，延误销售开放的，每延期一天，承包人向发包人支付违约金人民币10,000元。</w:t>
      </w:r>
    </w:p>
    <w:p w14:paraId="7998CA5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 发包人、监理、承包人三方提前1个月约定分包的进场时间。经发包人、监理判定，若承包人不能及时按约定时间给分包提供进场条件，超过7天后承包人仍不能给分包提供进场条件，罚款人民币10,000元/日。</w:t>
      </w:r>
    </w:p>
    <w:p w14:paraId="2D28FD4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 承包人不按时参加相关会议，承包人应向发包人支付人民币500元/人.次的违约金。</w:t>
      </w:r>
    </w:p>
    <w:p w14:paraId="26B7601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 承包人延迟申报完成预结算资料或核对不配合，承包人应向发包人支付人民币1,000元/天的违约金。</w:t>
      </w:r>
    </w:p>
    <w:p w14:paraId="3BCC3BA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因承包人原因工程质量达不到约定的质量标准，承包人应按本合同结算总价款的2﹪向发包人支付违约金。承包人的施工存在质量问题，经两次整改后仍不能合格的，发包人有权解除合同，将工程另行委托第三方完成，承包人须赔偿发包人的一切损失。承包人如违反工程施工质量管理相关要求，承包人应向发包人支付人民币1,000 元/次的违约金。</w:t>
      </w:r>
    </w:p>
    <w:p w14:paraId="6AF13AB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(11)因承包人分项工程质量不符合本合同附件相关质量标准要求，发包人视质量问题严重程度，承包人应向发包人支付人民币500－10,000元/次的违约金。</w:t>
      </w:r>
    </w:p>
    <w:p w14:paraId="135FC93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 承包人未按本合同约定期限完工、竣工或交付使用，每逾期一日,按合同签约总价的</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‰向发包人支付违约金，并赔偿发包人因延误开工生产所造成的全部损失，逾期超过30天，发包人有权单方解除合同，并有权勒令停止承包人施工，将工程另行委托第三方完成，承包人须赔偿发包人的一切损失。</w:t>
      </w:r>
    </w:p>
    <w:p w14:paraId="07484DE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承包人有义务对分包单位进行进度、质量、安全、文明施工的管理，提供临时水电源，挂表按相关单位收费标准收费。承包人不得故意刁难，收受不合理的费用，若出现分包单位举报，经落实事实确凿，每出现一次承包人向发包人支付违约金20000元。</w:t>
      </w:r>
    </w:p>
    <w:p w14:paraId="6EB5A52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为确保工程施工质量和安全施工，本项目工程严禁违法转包、违法分包和挂靠，如出现违法转包、违法分包和挂靠现象，承包人承诺已施工完成的合格工程，按实际合格工程量的50%进行结算，承包人应无条件7日内全部人员及物料撤场，发包人有权解除合同。</w:t>
      </w:r>
    </w:p>
    <w:p w14:paraId="447357CA">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承包人必须按设计施工图纸和发包人确认的工程设计变更施工，承包人承诺如出现不按图施工现象，承包人无条件拆除此部分工程，所产生的所有损失均由承包人承担，并向发包人支付违约金壹拾万元。回填土工程未按施工图和施工规范施工，一经发现承包人向发包人支付违约金贰拾万元。</w:t>
      </w:r>
    </w:p>
    <w:p w14:paraId="16646CB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（16）承包人的其他违约行为，但未约定具体处罚金额的，发包人有权在人民币200-20,000元范围内要求承包人支付违约金，并赔偿因此给发包人造成的全部损失。</w:t>
      </w:r>
    </w:p>
    <w:p w14:paraId="24FBC7B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承包人按邹城市相关企业收费标准挂表缴纳水电费。包干价中已包含施工用水电费用，若承包人自行打备用井用于施工，所发生的费用和相关政府主管部门所收取的费用、责任、关系协调及对应的相关违规责任均有承包人承担。</w:t>
      </w:r>
    </w:p>
    <w:p w14:paraId="4679B9C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（18）临时停水、停电、二次搬运、成品保护等所需措施的一切费用和工期承包人已充分考虑，并已考虑了各种可能因素影响施工所增加的费用，因此，发生上述情况，发包人不另行增加费用。</w:t>
      </w:r>
    </w:p>
    <w:p w14:paraId="6D28995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19）承包人承担因违反以上各条而导致的一切责任和费用，且不得以任何理由停工和向发包人提出经济和工期补偿要求。确保不会因上述原因使发包人声誉受到不良影响。在工程施工过程中以及工程竣工保修期内，由于承包人责任出现质量问题、安全事故或者因其他原因，受到报纸、电视等媒体的曝光或被政府有关主管部门的通报批评，均会给本工程的社会形象造成损失，每次由承包人向发包人支付5万元违约金，从承包人工程进度款或保修款中扣除。</w:t>
      </w:r>
    </w:p>
    <w:p w14:paraId="69CFC34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（20）发包人发给承包人所有的文件、函件、资料、指令，承包人必须无条件接收，否则每拒收一次，发包人将给予处罚1000元，并视为已经送达。</w:t>
      </w:r>
    </w:p>
    <w:p w14:paraId="4F4D729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（21）因承包人原因导致合同提前解除的：</w:t>
      </w:r>
    </w:p>
    <w:p w14:paraId="77A089B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a、发包人有权委托第三人对未完工程进行施工，由此导致发包人比由承包人按合同约定完成工程所增加的费用由承包人承担。</w:t>
      </w:r>
    </w:p>
    <w:p w14:paraId="6B1B280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B、在第三人未将剩余工程施工完毕、发包人与第三人未结算完毕前，承包人不得要求支付工程款。待发包人与第三人结算完毕后，发包人在扣除承包人应承担的违约金和各项费用以后，发包人向承包人支付剩余工程款。</w:t>
      </w:r>
    </w:p>
    <w:p w14:paraId="7173D8F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C、承包人仍需对其已完成工程承担保修义务，且发包人有权将质量保修金提高至结算工程款的15%。</w:t>
      </w:r>
    </w:p>
    <w:p w14:paraId="593F7C05">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24.争议的解决</w:t>
      </w:r>
    </w:p>
    <w:p w14:paraId="5A13071C">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24.1争议的解决方式</w:t>
      </w:r>
    </w:p>
    <w:p w14:paraId="46AC441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因本合同引起的或与本合同有关的任何争议，合同双方友好协商不成、不愿提请争议组评审或者不愿接受争议评审组意见的，向工程所在地有管辖权的人民法院提起诉讼。</w:t>
      </w:r>
    </w:p>
    <w:p w14:paraId="281F1761">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24.3争议评审</w:t>
      </w:r>
    </w:p>
    <w:p w14:paraId="539FF77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24.3.4争议评审组邀请合同双方代表人和有关人员举行调查会的期限：</w:t>
      </w:r>
      <w:r>
        <w:rPr>
          <w:rFonts w:hint="eastAsia" w:ascii="宋体" w:hAnsi="宋体" w:eastAsia="宋体" w:cs="宋体"/>
          <w:color w:val="auto"/>
          <w:sz w:val="24"/>
          <w:szCs w:val="24"/>
          <w:u w:val="single"/>
        </w:rPr>
        <w:t>争议评审组在收到合同双方报告后的14天内。</w:t>
      </w:r>
    </w:p>
    <w:p w14:paraId="29A07B0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24.3.5争议评审组在调查会后作出争议评审意见的期限：</w:t>
      </w:r>
      <w:r>
        <w:rPr>
          <w:rFonts w:hint="eastAsia" w:ascii="宋体" w:hAnsi="宋体" w:eastAsia="宋体" w:cs="宋体"/>
          <w:color w:val="auto"/>
          <w:sz w:val="24"/>
          <w:szCs w:val="24"/>
          <w:u w:val="single"/>
        </w:rPr>
        <w:t xml:space="preserve">在调查会结束后的14天内。  </w:t>
      </w:r>
    </w:p>
    <w:p w14:paraId="0320C02B">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 补充条款</w:t>
      </w:r>
    </w:p>
    <w:p w14:paraId="1AFBAF4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25.1施工期间的安全问题、地方关系或个体关系由承包人单位自行解决，发生费用包含在</w:t>
      </w:r>
      <w:r>
        <w:rPr>
          <w:rStyle w:val="50"/>
          <w:rFonts w:hint="eastAsia" w:ascii="宋体" w:hAnsi="宋体" w:eastAsia="宋体" w:cs="宋体"/>
          <w:color w:val="auto"/>
          <w:sz w:val="24"/>
          <w:szCs w:val="24"/>
          <w:lang w:val="en-US" w:eastAsia="zh-CN"/>
        </w:rPr>
        <w:t>固定含税</w:t>
      </w:r>
      <w:r>
        <w:rPr>
          <w:rFonts w:hint="eastAsia" w:ascii="宋体" w:hAnsi="宋体" w:eastAsia="宋体" w:cs="宋体"/>
          <w:color w:val="auto"/>
          <w:sz w:val="24"/>
          <w:szCs w:val="24"/>
          <w:lang w:val="en-US" w:eastAsia="zh-CN"/>
        </w:rPr>
        <w:t>全费用综合单价</w:t>
      </w:r>
      <w:r>
        <w:rPr>
          <w:rFonts w:hint="eastAsia" w:ascii="宋体" w:hAnsi="宋体" w:eastAsia="宋体" w:cs="宋体"/>
          <w:color w:val="auto"/>
          <w:sz w:val="24"/>
          <w:szCs w:val="24"/>
        </w:rPr>
        <w:t>内，不再另行计取。</w:t>
      </w:r>
    </w:p>
    <w:p w14:paraId="32C3949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25.2承包人应无条件接受发包人及监理单位的现场指导，并保持与工程其他专业队伍的严密配合对接，因拒绝现场指导，配合不足造成其他专业进度延误以及经济损失等情况，一切责任及损失概由承包人承担。</w:t>
      </w:r>
    </w:p>
    <w:p w14:paraId="2741F3B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25.3本招标文件技术标准和要求中第16.1条列出的图纸变更等因素已包括在合同固定含税全费用综合单价中。</w:t>
      </w:r>
    </w:p>
    <w:p w14:paraId="775041B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25.4承诺能够按照设计要求、相关规范和发包人企业标准完成约定的内容，并提供良好的服务。</w:t>
      </w:r>
    </w:p>
    <w:p w14:paraId="658DADF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25.5承包人应了解当地法规、政策，了解政府相关部门的管理规定，承诺能够在当前政策条件下完成约定内容，遵守法律、法规和政策，接受政府相关部门的管理。</w:t>
      </w:r>
    </w:p>
    <w:p w14:paraId="4894C2D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25.6承包人应了解当地建筑材料及劳动力市场状况，承诺能够组织足够的建筑设备、材料及劳动力，并承诺农忙不减员、按时支付农民工工资等条件。</w:t>
      </w:r>
    </w:p>
    <w:p w14:paraId="4FE8F5F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25.7承包人已充分了解工程所在地的天气状况和变化规律，承诺能够在现有自然条件下按照约定条款完成约定的工程内容。</w:t>
      </w:r>
    </w:p>
    <w:p w14:paraId="00902D1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25.8竣工后的场地，承包人将该场地内平整至图纸标高。</w:t>
      </w:r>
    </w:p>
    <w:p w14:paraId="7AC67F3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25.9承包人基本税务信息</w:t>
      </w:r>
    </w:p>
    <w:p w14:paraId="2B76B12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cs="宋体"/>
          <w:color w:val="auto"/>
          <w:sz w:val="24"/>
          <w:szCs w:val="24"/>
          <w:lang w:eastAsia="zh-CN"/>
        </w:rPr>
        <w:t>承包人应依法纳税并开具合法有效的增值税发票</w:t>
      </w:r>
      <w:r>
        <w:rPr>
          <w:rFonts w:hint="eastAsia" w:ascii="宋体" w:hAnsi="宋体" w:eastAsia="宋体" w:cs="宋体"/>
          <w:color w:val="auto"/>
          <w:sz w:val="24"/>
          <w:szCs w:val="24"/>
        </w:rPr>
        <w:t>。</w:t>
      </w:r>
    </w:p>
    <w:p w14:paraId="3440C95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25.10重要节点延误30天以上的，发包人有权单方解除合同，承包人无条件撤场。</w:t>
      </w:r>
    </w:p>
    <w:p w14:paraId="6FA6D66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25.11发包人将从应付给承包人的最后一笔工程款中预留壹拾万元人民币作为档案押金，若承包人能按期移交工程档案，在获取发包人档案验收合格证后可返还所有档案押金(无息)。若承包人不能按期移交工程档案，承包人将按照施工承包合同承担违约责任，发包人按每拖交14日历天将扣除承包人工程档案押金的50％，即伍万元人民币。</w:t>
      </w:r>
    </w:p>
    <w:p w14:paraId="11EEF12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25.12本工程可能涉及到的所有控制价中包含的、或实际施工过程中需发生的规费（如工程排污费、建筑安全生产监督费、建设工程社会保障费及住房公积金等），已经包含在投标总价及合同固定含税全费用综合单价中。即使明确规定由发包人名义缴纳的，也将由发包人代缴后，从承包人工程款中分四次等额代扣（代扣金额=代缴费用+缴纳过程中产生的税金及费用），首次代扣时间为第二次进度款支付时开始扣除。工程竣工后，由承包人向有关部门进行协调，办理可能的退款事宜（可能的退款金额由承包人自行协调解决）。</w:t>
      </w:r>
    </w:p>
    <w:p w14:paraId="71333AA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25.13墙改、散装水泥及城建档案资料等保证金或押金由发包人负责缴纳，承包人接到发包人通知后15个日历天内提供符合发包人要求的合法发票及合格的资料。否则由于承包人原因造成有关保证金或押金未能全部退回的，扣除部分的保证金或押金由承包人负责，发包人有权从支付承包人的任何工程款项中扣除。</w:t>
      </w:r>
    </w:p>
    <w:p w14:paraId="797CEDA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25.14农民工工资专项条款</w:t>
      </w:r>
    </w:p>
    <w:p w14:paraId="3FBFCC9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根据《济宁市住房和城乡建设局关于全面落实建筑领域农民工实名制和工资专用账户管理制度执行委托银行按月代发工资办法的实施意见》济建行发字【2018】8号文精神，甲乙双方确实做好农民工工资发放工作。</w:t>
      </w:r>
    </w:p>
    <w:p w14:paraId="70C0FBC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如果承包人对工程进行分包的，承包人须于每月第5个工作日前，将上月农民工工资暂付款拨付到分包企业专用账户，以保障农民工工资按月支付。</w:t>
      </w:r>
    </w:p>
    <w:p w14:paraId="1BE56A7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如果承包人直接招用农民工，承包人须依法与农民工签订劳动合同，建立农民工个人工作银行卡名册，与监管银行签订农民工工资委托代发协议，并在监管银行为农民工办理个人工资银行卡。承包人应当制定内部工资支付方法，并告知本企业全体农民工。</w:t>
      </w:r>
    </w:p>
    <w:p w14:paraId="008626E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确保本施工合同项下不因农民工工资未能按时足额发放到位而引发讨薪事件。</w:t>
      </w:r>
    </w:p>
    <w:p w14:paraId="556984A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为确保农民工工资月结月清，发包人将每次工程付款节点前承包人农民工工资支付清单作为拨付工程进度款的前置条件。在发包人支付每笔款项之前，承包人须提供有关农民工工资已按时发放的书面承诺函件及农民工身份证复印件，并且要有十个以上的农民工代表的签字、摁手印，否则，发包人有权拒绝付款。</w:t>
      </w:r>
    </w:p>
    <w:p w14:paraId="741CBCA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25.15承包人应按时足额支付农民工的工资和分包人的工程款，若发生因欠款情况导致民工或分包单位上访或媒体披露或诉讼及其它恶性事件的，发包人有权根据法院送达的《协助执行通知书》或政府主管部门的指令性通知，对承包人的违约行为可同时作如下处理，并保留进一步追诉的权利：</w:t>
      </w:r>
    </w:p>
    <w:p w14:paraId="5289983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 从上访事件及其它恶性事件发生当月起，暂扣当月发包人应付承包人工程款的50%，在承包人处理好拖欠农民工工资问题，并取得政府处理意见后，再支付暂扣工程款。当月没有处理完的，下次付款继续按照50%比例暂扣工程款。</w:t>
      </w:r>
    </w:p>
    <w:p w14:paraId="12C3B82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 发包人按照政府主管部门的指令性通知文件或根据法院送达的《协助执行通知书》，在相关部门的见证下可直接向农民工、分包人、法院或政府主管部门支付承包人欠付的工资或工程款、材料款等各项欠款，且发包人有权从应付承包人的任何一笔工程款中扣除相应的金额。</w:t>
      </w:r>
    </w:p>
    <w:p w14:paraId="4ADF060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25.16项目安全生产的达标目标及相应事项的约定：除执行通用条款外，执行现行的济宁市建筑工地扬尘防治及施工现场标准。承包人承包的全部工程（含合同内工程及增加工程）之工程安全文明施工须达到标准，发生费用包含在固定含税全费用综合单价内，不再另行计取。若未达到标准，承包人向发包人按5元/平方米（建筑面积）支付违约金，并可在发包人向承包人的任意一次付款中予以扣除。</w:t>
      </w:r>
    </w:p>
    <w:p w14:paraId="0430FFD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25.17施工机械设备保险</w:t>
      </w:r>
    </w:p>
    <w:p w14:paraId="6AA75E3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承包人所拥有或提供的机械设备，由承包人负责投保并承担费用。</w:t>
      </w:r>
    </w:p>
    <w:p w14:paraId="3D44512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25.18运输险及存仓保险</w:t>
      </w:r>
    </w:p>
    <w:p w14:paraId="6432AA8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承包人应当负责其供应的材料及设备在运送途中直至运抵现场的安全；如果认为有需要，承包人应当自行购买有关保险。</w:t>
      </w:r>
    </w:p>
    <w:p w14:paraId="09FE8BA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25.19其他商业保险</w:t>
      </w:r>
    </w:p>
    <w:p w14:paraId="394D7A8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承包人必须为从事危险作业的职工办理意外伤害保险，支付保险费。为了分散或降低风险，承包人可办理其他商业保险，其费用由承包人自行负担。</w:t>
      </w:r>
    </w:p>
    <w:p w14:paraId="5327578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25.20保险事故发生时承包人应立即向保险公司报案并通知发包人，若承包人未能在 24 小时内向保险公司报案或未采取必要措施防止或减少损失，导致保险公司拒赔或者不能足额赔付，则由此发生的损失由承包人自行承担。</w:t>
      </w:r>
    </w:p>
    <w:p w14:paraId="2DB83E5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25.21如果工程出现损失、损害或损坏、承包人须立即负责修复、补救及更换或维修任何受破坏或损坏之物料，清理及弃置任何残骸。所有由发包人或承包人按本条款获得有关本工程之保险赔偿须用于本工程之修复、重建、更换、维修或完成工作。除从保险获得之赔偿外，承包人将无权向发包人收取为修复受损工程、更换及维修任何物料或货物、以及为清理及弃置残骸而发生之费用。</w:t>
      </w:r>
    </w:p>
    <w:p w14:paraId="43D530C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25.22在承保人赔偿未发放前，所有关于本工程的抢险费用均先由承包人支付。</w:t>
      </w:r>
    </w:p>
    <w:p w14:paraId="200C363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25.23施工企业外来从业人员保险</w:t>
      </w:r>
    </w:p>
    <w:p w14:paraId="648873D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承包人应当按照邹城市关于外来从业人员保险的最新规定为外来从业人员购买相关保险，相关费用已包括在合同固定含税全费用综合单价内，如须发包人代缴，将从应付的中期付款中相应扣除。</w:t>
      </w:r>
    </w:p>
    <w:p w14:paraId="7CF9423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25.24施工期间若出现任何安全事故及给第三者造成的安全事故均由承包人负责，与发包人无关，如给发包人造成损失，发包人有权向承包人追偿。</w:t>
      </w:r>
    </w:p>
    <w:p w14:paraId="5106717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25.25 工程结算流程</w:t>
      </w:r>
    </w:p>
    <w:p w14:paraId="09D0B76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25.25.1 承包人上报施工图预算及竣工结算（含广联达算量图形及工程量计算式）、竣工图纸、变更签证等资料、验收合格证明等资料一次性上报齐全，发包人将进行社会审价或发包人内部审价，造价咨询公司审核并经发包人确认后的预算价为工程结算造价的一部分。在一审的预结算审核结果基础上，发包人有权进行二审，二审工作由二审咨询单位与一审咨询单位对接，承包人必须全力配合一审咨询公司的各项工作，经发包人审核确认后双方协商一致确定最终结算价。</w:t>
      </w:r>
    </w:p>
    <w:p w14:paraId="1341D5B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工程结算总价</w:t>
      </w:r>
      <w:r>
        <w:rPr>
          <w:rFonts w:hint="eastAsia" w:ascii="宋体" w:hAnsi="宋体" w:eastAsia="宋体" w:cs="宋体"/>
          <w:color w:val="auto"/>
          <w:sz w:val="24"/>
          <w:szCs w:val="24"/>
        </w:rPr>
        <w:t>=确认的固定含税全费用综合单价×实测工程量</w:t>
      </w:r>
      <w:r>
        <w:rPr>
          <w:rFonts w:hint="eastAsia" w:ascii="宋体" w:hAnsi="宋体" w:eastAsia="宋体" w:cs="宋体"/>
          <w:color w:val="auto"/>
          <w:sz w:val="24"/>
          <w:szCs w:val="24"/>
          <w:lang w:val="zh-CN"/>
        </w:rPr>
        <w:t>+设计变更、洽商、签证＋依据本合同的增加项目-依据本合同的减少项目-违约金和（或）损失赔偿额；</w:t>
      </w:r>
      <w:r>
        <w:rPr>
          <w:rFonts w:hint="eastAsia" w:ascii="宋体" w:hAnsi="宋体" w:eastAsia="宋体" w:cs="宋体"/>
          <w:color w:val="auto"/>
          <w:sz w:val="24"/>
          <w:szCs w:val="24"/>
        </w:rPr>
        <w:t>结算资料需双方签字盖章方为有效，不符合条件的工程结算资料依据均属无效，双方不作为办理结算的依据。</w:t>
      </w:r>
    </w:p>
    <w:p w14:paraId="14B76C0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报送的结算资料：承包人须及时向发包人报送完整的结算资料，否则发包人有权不予结算，并有权拒付工程款，结算资料包括但不限于：</w:t>
      </w:r>
    </w:p>
    <w:p w14:paraId="0DA8AE4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（1）工程竣工验收报告</w:t>
      </w:r>
    </w:p>
    <w:p w14:paraId="3BED6F3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（2）工程移交表   </w:t>
      </w:r>
    </w:p>
    <w:p w14:paraId="1710EA7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（3）施工合同      </w:t>
      </w:r>
    </w:p>
    <w:p w14:paraId="0E9CF7E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（4）开竣工报告</w:t>
      </w:r>
    </w:p>
    <w:p w14:paraId="6D952D3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（5）结算报告</w:t>
      </w:r>
    </w:p>
    <w:p w14:paraId="74CA2AE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（6）工程量计算书</w:t>
      </w:r>
    </w:p>
    <w:p w14:paraId="66E36B4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（7）图纸会审记录 </w:t>
      </w:r>
    </w:p>
    <w:p w14:paraId="2112265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（8）增加工程现场签证</w:t>
      </w:r>
    </w:p>
    <w:p w14:paraId="6A40408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（10）设计变更通知单 </w:t>
      </w:r>
    </w:p>
    <w:p w14:paraId="6E02598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（11）单位工程验收记录</w:t>
      </w:r>
    </w:p>
    <w:p w14:paraId="57C3557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（12）相关设备和材料的协议书、购销合同、价格确认资料</w:t>
      </w:r>
    </w:p>
    <w:p w14:paraId="7051EA6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（13）竣工图纸</w:t>
      </w:r>
    </w:p>
    <w:p w14:paraId="0E8981A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（14）工程验收单</w:t>
      </w:r>
    </w:p>
    <w:p w14:paraId="1C3A00F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（15）发包人或有关单位及部门要求的其他资料</w:t>
      </w:r>
    </w:p>
    <w:p w14:paraId="570D271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25.25.2结算资料需双方签字盖章方为有效，不符合条件的工程结算资料依据均属无效，双方不作为办理结算的依据。</w:t>
      </w:r>
    </w:p>
    <w:p w14:paraId="28D953F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25.25.3工程经监理、发包人工程人员验收合格，承包人及时移交符合要求的工程施工资料并提交完整的工程结算资料。</w:t>
      </w:r>
    </w:p>
    <w:p w14:paraId="7D03E6D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25.25.4 在二次结算审价过程中，不再增加任何结算资料（图纸、签证变更单、价格凭证等），送审的结算书中若有遗漏项目均作为让利给发包人，不作增加调整。</w:t>
      </w:r>
    </w:p>
    <w:p w14:paraId="0D7B06F9">
      <w:pPr>
        <w:pStyle w:val="15"/>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bCs w:val="0"/>
          <w:color w:val="auto"/>
          <w:sz w:val="24"/>
          <w:szCs w:val="24"/>
          <w:shd w:val="clear" w:color="auto" w:fill="auto"/>
        </w:rPr>
        <w:t>25.25.5 在结算审价过程中，审计人员对提供的结算资料（图纸、签证变更单、价格凭证等）有权提出质疑，承包人、监理人和发包人应积极配合询证。</w:t>
      </w:r>
    </w:p>
    <w:p w14:paraId="4B2375E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25.26 对承包人高估冒算的处罚</w:t>
      </w:r>
    </w:p>
    <w:p w14:paraId="142017E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25.26.1 承包人向发包人报送的所有计价文件，包括预算、变更签证、结算等，均不得高估冒算。如果承包人报送的计价文件的送审价超过发包人最终审定价的5%，即认为承包人存在高估冒算行为，承包人违约，承包人应承担相应的审价费及违约金；具体按如下约定执行：</w:t>
      </w:r>
    </w:p>
    <w:p w14:paraId="55547046">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a. 如果[承包人送审价-发包人审定价]/发包人审定价≤5%，承包人不支付任何审价违约金。</w:t>
      </w:r>
    </w:p>
    <w:p w14:paraId="090712C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b. 如果[承包人送审价-发包人审定价]/发包人审定价&gt;5%，承包人向发包人支付按核减额的 5%审价违约金。</w:t>
      </w:r>
    </w:p>
    <w:p w14:paraId="2451B66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c. 如果[承包人送审价-发包人审定价]/发包人审定价&gt;8%,承包人除向发包人支付按核减额的 5%审价违约金外,另按[承包人送审价-发包人审定价*1.08]*10%向发包人支付违约金。</w:t>
      </w:r>
    </w:p>
    <w:p w14:paraId="708984A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d. 发包人可以委托社会审价机构对承包人报送的预算、结算等计价文件进行审计，但社会审价机构出具的审计文件最终以发包人签字盖章认可为准。</w:t>
      </w:r>
    </w:p>
    <w:p w14:paraId="0BA41847">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e. 结算流程按发包人相关规定执行。</w:t>
      </w:r>
    </w:p>
    <w:p w14:paraId="20481AF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f. 除发包人明确的单价外，其他清单中漏项、错项、少项的不再调整任何单价，均与发包人明确的单价。</w:t>
      </w:r>
    </w:p>
    <w:p w14:paraId="03463221">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25.27承包人应根据现场实际情况，制定有效安全防范、防护措施，安设醒目安全标志、警戒线，并安排专人负责。任何因承包人原因引起的交通、生产等安全问题均由承包人负责。 </w:t>
      </w:r>
    </w:p>
    <w:p w14:paraId="0AB7895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25.28承包人应加强治安管理及现场管理，任何因承包人原因造成的扰民纠纷及其他纠纷均由承包人负责。</w:t>
      </w:r>
    </w:p>
    <w:p w14:paraId="361E7CF4">
      <w:pPr>
        <w:widowControl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26.保修</w:t>
      </w:r>
    </w:p>
    <w:p w14:paraId="3266899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26.1本工程质保期为</w:t>
      </w:r>
      <w:r>
        <w:rPr>
          <w:rFonts w:hint="eastAsia" w:ascii="宋体" w:hAnsi="宋体" w:cs="宋体"/>
          <w:color w:val="auto"/>
          <w:sz w:val="24"/>
          <w:szCs w:val="24"/>
          <w:lang w:eastAsia="zh-CN"/>
        </w:rPr>
        <w:t>两个完整的供暖期</w:t>
      </w:r>
      <w:r>
        <w:rPr>
          <w:rFonts w:hint="eastAsia" w:ascii="宋体" w:hAnsi="宋体" w:eastAsia="宋体" w:cs="宋体"/>
          <w:color w:val="auto"/>
          <w:sz w:val="24"/>
          <w:szCs w:val="24"/>
        </w:rPr>
        <w:t>，自承包人所有施工项目全部完成并经发包人及监理单位验收合格之日起开始计算。质保期内的质量问题均由承包人负责。</w:t>
      </w:r>
    </w:p>
    <w:p w14:paraId="1FB8D43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26.2在保修期内出现的故障，承包人承诺在接到发包人通知24小时内维修人员到达现场进行修复，先修复后划分责任。因逾期派员或逾期修复的，发包人有权另聘他人进行维修，维修费用发包人有权从承包人质保金中双倍扣除作为对发包人损失的赔偿，质保金不足，发包人有权继续向承包人追偿。</w:t>
      </w:r>
    </w:p>
    <w:p w14:paraId="1E25EC1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26.3承包人维修过的部位，该部位的质量保修期自维修完工之日重新计算；连续维修的从最后一次维修完工之日起重新计算。</w:t>
      </w:r>
    </w:p>
    <w:p w14:paraId="45D7125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26.4承包人根据本合同约定需支付违约金或赔偿金的，发包人有权从质量保证金及未支付的工程款中直接扣除，不足部分，由承包人另行支付。</w:t>
      </w:r>
    </w:p>
    <w:p w14:paraId="6C653B55">
      <w:pPr>
        <w:pStyle w:val="15"/>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p w14:paraId="48AB370F">
      <w:pPr>
        <w:pStyle w:val="15"/>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p w14:paraId="78A7B1F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p w14:paraId="64FBFD98">
      <w:pPr>
        <w:pStyle w:val="3"/>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bookmarkStart w:id="155" w:name="_Toc330990565"/>
      <w:bookmarkStart w:id="156" w:name="_Toc21212"/>
      <w:r>
        <w:rPr>
          <w:rFonts w:hint="eastAsia" w:ascii="宋体" w:hAnsi="宋体" w:eastAsia="宋体" w:cs="宋体"/>
          <w:color w:val="auto"/>
          <w:sz w:val="24"/>
          <w:szCs w:val="24"/>
        </w:rPr>
        <w:t>第三节  合同附件格式</w:t>
      </w:r>
      <w:bookmarkEnd w:id="155"/>
      <w:bookmarkEnd w:id="156"/>
    </w:p>
    <w:p w14:paraId="142A00CD">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附件一：承包人提供的材料和工程设备一览表</w:t>
      </w:r>
    </w:p>
    <w:p w14:paraId="765DFC88">
      <w:pPr>
        <w:widowControl w:val="0"/>
        <w:kinsoku/>
        <w:wordWrap/>
        <w:overflowPunct/>
        <w:topLinePunct w:val="0"/>
        <w:autoSpaceDE/>
        <w:autoSpaceDN/>
        <w:bidi w:val="0"/>
        <w:spacing w:line="360" w:lineRule="auto"/>
        <w:jc w:val="center"/>
        <w:textAlignment w:val="auto"/>
        <w:rPr>
          <w:rFonts w:hint="eastAsia" w:ascii="宋体" w:hAnsi="宋体" w:eastAsia="宋体" w:cs="宋体"/>
          <w:b/>
          <w:color w:val="auto"/>
          <w:sz w:val="24"/>
          <w:szCs w:val="24"/>
        </w:rPr>
      </w:pPr>
    </w:p>
    <w:p w14:paraId="318081A4">
      <w:pPr>
        <w:widowControl w:val="0"/>
        <w:kinsoku/>
        <w:wordWrap/>
        <w:overflowPunct/>
        <w:topLinePunct w:val="0"/>
        <w:autoSpaceDE/>
        <w:autoSpaceDN/>
        <w:bidi w:val="0"/>
        <w:spacing w:line="360" w:lineRule="auto"/>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承包人提供的材料和工程设备一览表</w:t>
      </w:r>
    </w:p>
    <w:tbl>
      <w:tblPr>
        <w:tblStyle w:val="39"/>
        <w:tblW w:w="807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426"/>
        <w:gridCol w:w="1175"/>
        <w:gridCol w:w="1032"/>
        <w:gridCol w:w="613"/>
        <w:gridCol w:w="613"/>
        <w:gridCol w:w="613"/>
        <w:gridCol w:w="900"/>
        <w:gridCol w:w="900"/>
        <w:gridCol w:w="900"/>
        <w:gridCol w:w="900"/>
      </w:tblGrid>
      <w:tr w14:paraId="669B00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69" w:hRule="atLeast"/>
          <w:jc w:val="center"/>
        </w:trPr>
        <w:tc>
          <w:tcPr>
            <w:tcW w:w="426" w:type="dxa"/>
            <w:noWrap w:val="0"/>
            <w:vAlign w:val="center"/>
          </w:tcPr>
          <w:p w14:paraId="32208BBA">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1175" w:type="dxa"/>
            <w:noWrap w:val="0"/>
            <w:vAlign w:val="center"/>
          </w:tcPr>
          <w:p w14:paraId="6D8DD74E">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材料设备</w:t>
            </w:r>
          </w:p>
          <w:p w14:paraId="4E136CBD">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名   称</w:t>
            </w:r>
          </w:p>
        </w:tc>
        <w:tc>
          <w:tcPr>
            <w:tcW w:w="1032" w:type="dxa"/>
            <w:noWrap w:val="0"/>
            <w:vAlign w:val="center"/>
          </w:tcPr>
          <w:p w14:paraId="369878CA">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规格</w:t>
            </w:r>
          </w:p>
          <w:p w14:paraId="5AD7CD25">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型号</w:t>
            </w:r>
          </w:p>
        </w:tc>
        <w:tc>
          <w:tcPr>
            <w:tcW w:w="613" w:type="dxa"/>
            <w:noWrap w:val="0"/>
            <w:vAlign w:val="center"/>
          </w:tcPr>
          <w:p w14:paraId="673CB297">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单</w:t>
            </w:r>
          </w:p>
          <w:p w14:paraId="2D30FE8C">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位</w:t>
            </w:r>
          </w:p>
        </w:tc>
        <w:tc>
          <w:tcPr>
            <w:tcW w:w="613" w:type="dxa"/>
            <w:noWrap w:val="0"/>
            <w:vAlign w:val="center"/>
          </w:tcPr>
          <w:p w14:paraId="68CB8F00">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数</w:t>
            </w:r>
          </w:p>
          <w:p w14:paraId="341156B9">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量</w:t>
            </w:r>
          </w:p>
        </w:tc>
        <w:tc>
          <w:tcPr>
            <w:tcW w:w="613" w:type="dxa"/>
            <w:noWrap w:val="0"/>
            <w:vAlign w:val="center"/>
          </w:tcPr>
          <w:p w14:paraId="7636C69C">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单</w:t>
            </w:r>
          </w:p>
          <w:p w14:paraId="5C86966D">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价</w:t>
            </w:r>
          </w:p>
        </w:tc>
        <w:tc>
          <w:tcPr>
            <w:tcW w:w="900" w:type="dxa"/>
            <w:noWrap w:val="0"/>
            <w:vAlign w:val="center"/>
          </w:tcPr>
          <w:p w14:paraId="5738C42D">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交货</w:t>
            </w:r>
          </w:p>
          <w:p w14:paraId="1D8B6876">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方式</w:t>
            </w:r>
          </w:p>
        </w:tc>
        <w:tc>
          <w:tcPr>
            <w:tcW w:w="900" w:type="dxa"/>
            <w:noWrap w:val="0"/>
            <w:vAlign w:val="center"/>
          </w:tcPr>
          <w:p w14:paraId="7224F1A0">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交货</w:t>
            </w:r>
          </w:p>
          <w:p w14:paraId="7BF7ADEB">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地点</w:t>
            </w:r>
          </w:p>
        </w:tc>
        <w:tc>
          <w:tcPr>
            <w:tcW w:w="900" w:type="dxa"/>
            <w:noWrap w:val="0"/>
            <w:vAlign w:val="center"/>
          </w:tcPr>
          <w:p w14:paraId="514EEF3A">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计划</w:t>
            </w:r>
          </w:p>
          <w:p w14:paraId="143C2E8D">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交货</w:t>
            </w:r>
          </w:p>
          <w:p w14:paraId="6669302A">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时间</w:t>
            </w:r>
          </w:p>
        </w:tc>
        <w:tc>
          <w:tcPr>
            <w:tcW w:w="900" w:type="dxa"/>
            <w:noWrap w:val="0"/>
            <w:vAlign w:val="center"/>
          </w:tcPr>
          <w:p w14:paraId="0691F761">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r w14:paraId="5FF699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45C43BB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32EE945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3659C9E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FE8295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19A5B6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A9A2A3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74B3ECC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8C9454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F6C0F2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7397949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73AC4E4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7BDE2F2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661212A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7A32A5F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540152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8A22BE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6B91E13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FA1025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7F43E57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7AAAD4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1B9754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3D68DA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07A2B70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465C0D5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0BD2CD9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EB2145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10A01A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41729F4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B81E60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F4467E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A0191B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332402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77A981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38159C8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27EDB50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6BB34BD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8649F5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F6B622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BFCA82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35E309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9CEC22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70843B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6A4224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5FEC0D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641C2A5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2D9903B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4DDE74E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2E15EB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30013E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3E3D430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CF3A21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717A5AB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7BEFD7E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8116E4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02EF4C8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267E7F8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238DAE6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03C2FC9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549983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143201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5DE175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73971FC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B74432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BB767A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B519B1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3ED70B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7DA48FB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3DDA888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310DF20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4EFD3C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D2DEE6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F3289A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7497696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88D757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079B6C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7588C1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23D6ED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71AC07A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62578D2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72D7401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488B709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18D4F3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7928CF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043D68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91C50C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D5EA51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4F5789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420349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47AAC8B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1741F98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0090428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431BC3A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3C86D5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20038F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322CF8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DD7D7D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616299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27A898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3A9BEF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2978A9C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60B5D92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6538BC1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5C3A43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624C6A0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555ECD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4E7DA7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223808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FD96A3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A765C0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1C499B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7294038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3A7DFE6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656717C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6A85EC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428F14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3F177BC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399F59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B33932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BCCE70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4A18AC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37B3819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4A713A8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0F42A1F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7547605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AE7C41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BEF4E7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53FA90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A1F65E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027D50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6583FA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6FB299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6F2F11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2B42D64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2FD8BB5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5B236F7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3DDB23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38A1FE3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63C920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A3EA0A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3AA0BB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60EA4D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937890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08A0BF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4EFABBD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6B302B6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77D3629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47B3FBF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F05947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39F7BD5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664F54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ABC40A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63D16D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213371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0E162DD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1E2D07B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1B9C1D9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70CE5A7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2F3F09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4AB42D6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F6DF8F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C5F370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F18185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664814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C68204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7CF11C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5463C3D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34BF18B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47076A4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FE7C10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4018CF5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6EE70BF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71F4DF3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B3E2FB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CAD2CB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49273F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06E67E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68A5EBD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08FF4F6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10B1908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DCDA78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B93B7B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2A2A64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989B33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1D9E2A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532C2A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65CEB5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79C97A7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690D5AD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788BF68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77B430D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B93235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3C13AD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44A0EC1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6B5793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13B556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C16540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5CA2B0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204CD7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4889074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337D698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6D43190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44621CA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7AEFD7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49C8D55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73E953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3D0C09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41FE28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92D959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7038FE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2C0E1AB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00B8ED0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33E5340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9A7184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561204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59A2B3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F4587D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E974D0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87704A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0436D1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09F950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1AB877D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07C4C9D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27473D1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A28AFC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3885D39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3CD01DC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B48D9A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7D57232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144B48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836C55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11E7E2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1B9BAC1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4F0E273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400ECDC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273E6A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73F196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1F4104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38086F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1AACB8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46CCB6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2466AB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5EA3CB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54A219D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155851E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6E2CA5F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6EE3B8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697DCF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3B6E89C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FBFD7E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7239565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4DAD70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20BCE9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224FEF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21D1688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02C4B2C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7C196AA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8E71AC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D0805A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9382C3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9D2E6B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E6F56C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707B6CB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2D7B2B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63BA4D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4950949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5FAF232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6D64D36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C056EF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FAF4F6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7F6DC0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DD662D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346437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C2BD61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A491E5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bl>
    <w:p w14:paraId="7855A454">
      <w:pPr>
        <w:widowControl w:val="0"/>
        <w:kinsoku/>
        <w:wordWrap/>
        <w:overflowPunct/>
        <w:topLinePunct w:val="0"/>
        <w:autoSpaceDE/>
        <w:autoSpaceDN/>
        <w:bidi w:val="0"/>
        <w:spacing w:after="72" w:afterLines="30" w:line="360" w:lineRule="auto"/>
        <w:textAlignment w:val="auto"/>
        <w:rPr>
          <w:rFonts w:hint="eastAsia" w:ascii="宋体" w:hAnsi="宋体" w:eastAsia="宋体" w:cs="宋体"/>
          <w:color w:val="auto"/>
          <w:sz w:val="24"/>
          <w:szCs w:val="24"/>
        </w:rPr>
      </w:pPr>
    </w:p>
    <w:p w14:paraId="117C95C5">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附件二：发包人提供的材料和工程设备一览表</w:t>
      </w:r>
    </w:p>
    <w:p w14:paraId="12E9444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p w14:paraId="084EFB1D">
      <w:pPr>
        <w:widowControl w:val="0"/>
        <w:kinsoku/>
        <w:wordWrap/>
        <w:overflowPunct/>
        <w:topLinePunct w:val="0"/>
        <w:autoSpaceDE/>
        <w:autoSpaceDN/>
        <w:bidi w:val="0"/>
        <w:spacing w:line="360" w:lineRule="auto"/>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发包人提供的材料和工程设备一览表</w:t>
      </w:r>
    </w:p>
    <w:tbl>
      <w:tblPr>
        <w:tblStyle w:val="39"/>
        <w:tblW w:w="807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426"/>
        <w:gridCol w:w="1175"/>
        <w:gridCol w:w="1032"/>
        <w:gridCol w:w="613"/>
        <w:gridCol w:w="613"/>
        <w:gridCol w:w="613"/>
        <w:gridCol w:w="900"/>
        <w:gridCol w:w="900"/>
        <w:gridCol w:w="900"/>
        <w:gridCol w:w="900"/>
      </w:tblGrid>
      <w:tr w14:paraId="6137F3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426" w:type="dxa"/>
            <w:noWrap w:val="0"/>
            <w:vAlign w:val="center"/>
          </w:tcPr>
          <w:p w14:paraId="6BA3B667">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1175" w:type="dxa"/>
            <w:noWrap w:val="0"/>
            <w:vAlign w:val="center"/>
          </w:tcPr>
          <w:p w14:paraId="034D3F11">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材料设备</w:t>
            </w:r>
          </w:p>
          <w:p w14:paraId="6E2B04D8">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名   称</w:t>
            </w:r>
          </w:p>
        </w:tc>
        <w:tc>
          <w:tcPr>
            <w:tcW w:w="1032" w:type="dxa"/>
            <w:noWrap w:val="0"/>
            <w:vAlign w:val="center"/>
          </w:tcPr>
          <w:p w14:paraId="0DB4D2C4">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规格</w:t>
            </w:r>
          </w:p>
          <w:p w14:paraId="20C9C04E">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型号</w:t>
            </w:r>
          </w:p>
        </w:tc>
        <w:tc>
          <w:tcPr>
            <w:tcW w:w="613" w:type="dxa"/>
            <w:noWrap w:val="0"/>
            <w:vAlign w:val="center"/>
          </w:tcPr>
          <w:p w14:paraId="3410D13A">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单</w:t>
            </w:r>
          </w:p>
          <w:p w14:paraId="3E521852">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位</w:t>
            </w:r>
          </w:p>
        </w:tc>
        <w:tc>
          <w:tcPr>
            <w:tcW w:w="613" w:type="dxa"/>
            <w:noWrap w:val="0"/>
            <w:vAlign w:val="center"/>
          </w:tcPr>
          <w:p w14:paraId="6D98ABE6">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数</w:t>
            </w:r>
          </w:p>
          <w:p w14:paraId="1AE81629">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量</w:t>
            </w:r>
          </w:p>
        </w:tc>
        <w:tc>
          <w:tcPr>
            <w:tcW w:w="613" w:type="dxa"/>
            <w:noWrap w:val="0"/>
            <w:vAlign w:val="center"/>
          </w:tcPr>
          <w:p w14:paraId="7D74B273">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单</w:t>
            </w:r>
          </w:p>
          <w:p w14:paraId="1AC2AC81">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价</w:t>
            </w:r>
          </w:p>
        </w:tc>
        <w:tc>
          <w:tcPr>
            <w:tcW w:w="900" w:type="dxa"/>
            <w:noWrap w:val="0"/>
            <w:vAlign w:val="center"/>
          </w:tcPr>
          <w:p w14:paraId="12C5EA0D">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交货</w:t>
            </w:r>
          </w:p>
          <w:p w14:paraId="1F3A910E">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方式</w:t>
            </w:r>
          </w:p>
        </w:tc>
        <w:tc>
          <w:tcPr>
            <w:tcW w:w="900" w:type="dxa"/>
            <w:noWrap w:val="0"/>
            <w:vAlign w:val="center"/>
          </w:tcPr>
          <w:p w14:paraId="458466C3">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交货</w:t>
            </w:r>
          </w:p>
          <w:p w14:paraId="0E1A7BD2">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地点</w:t>
            </w:r>
          </w:p>
        </w:tc>
        <w:tc>
          <w:tcPr>
            <w:tcW w:w="900" w:type="dxa"/>
            <w:noWrap w:val="0"/>
            <w:vAlign w:val="center"/>
          </w:tcPr>
          <w:p w14:paraId="3A28C1F7">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计划</w:t>
            </w:r>
          </w:p>
          <w:p w14:paraId="540F395E">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交货</w:t>
            </w:r>
          </w:p>
          <w:p w14:paraId="05FF4C5B">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时间</w:t>
            </w:r>
          </w:p>
        </w:tc>
        <w:tc>
          <w:tcPr>
            <w:tcW w:w="900" w:type="dxa"/>
            <w:noWrap w:val="0"/>
            <w:vAlign w:val="center"/>
          </w:tcPr>
          <w:p w14:paraId="4C985C3C">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r w14:paraId="4EF828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537ED6C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37B69C8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03ADC8D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534642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39A0D2B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F02BA9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7B1FC85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D69D3F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AFB418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F4D9CE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1C1F8D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68F0282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2C646F4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53A3053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3B2C7FE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4538675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8D3450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789868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227096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FABE6C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85E3ED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140299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0A9BA2F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7867421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56055AE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DA5F50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625EED2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34E6C6C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409E6F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01D439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0E95C7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C2A694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238E12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3485DC4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28C3ABB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4D0FBD5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299769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1A75C5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1BB07D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B4A022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BBC3E1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28249B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F6C0F5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1C9FE72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48EFBE7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6398D3F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29B04E5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47375E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5A58D3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A55EDF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98CE0C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FDA122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351E8B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4ED296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7FA2BB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627D54A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187390D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104EAB0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7E2520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906CFF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6526824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47420B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46160E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49416C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26103E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5F1A77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013CD4F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2AF8E91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68837B4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4D33FD2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58FF90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6BA026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8D1E45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2AE139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A79816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7D4EFCA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5D56B8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408B11B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03D2FE9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00605A7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1944BC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68F12D9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49D4822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16B0FB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9BD775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B44D79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585858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64C5E05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01C40DB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13458EA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2D19C4E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796EDD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B0756D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972457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F0D93F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638D20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81C1DB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AA2CC4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6DFE49D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4C73917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4D8E397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0F76DAF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4C1BF3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AB50EE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928F29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733CDB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A05D94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72E91B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427FEA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2AD139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07D16A4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443F2DC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735F30F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A662CB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4DF5700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1F996A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0F3E9C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C83B45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1D5274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A8C1B1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6849D0F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02867AB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11048DB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58227A5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41BFB11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265BDE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6D2166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242CED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C3B635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74D167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5B13C7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71FD77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2EB3F1D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3089179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5F615B5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FEC599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6601881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611803D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852A57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DECC7D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B4DF62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ACED02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246FB1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225E3CD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749E96C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555569A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4B1574A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32EA180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8F169D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D14EFF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98FF46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F6C339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11E3D3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2DF61B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77CF6F1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791AA16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19BFFA6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16A554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3109DD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FF7103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B45139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8F6D0D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75786E3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AD0801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49A332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69C73C5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23DE642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76FACE2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60BBFB4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0A4709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046A0A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B88968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C740CC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94B723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9DEBAA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05D10CC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286411C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770B624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04BBCE9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F15C1C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4053E5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6C815E1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054AF4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382EA9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2BD2B6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6DD05F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3F56F46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1A945EA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6D1E158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6DCAE95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2CAAE7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616DBE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D2EBB9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EED4A3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028614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A5F6BA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5D34BC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137906D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2B9AA8D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2115C41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2855992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C7DE8D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69AFC07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6B05DFE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E1B994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1186CE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EC9186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EEA41A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1CA6EF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5E0A168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65F4991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3627B6C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226E53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083933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4495E0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A8F8A8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85C218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4F371E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F6B320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75E7F3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0F36B96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6EAF287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1078FF0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36C39EF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3DB9781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EB851D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71F5CE5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0C5E55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13EAD5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408735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1E20104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60149EF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4AF6025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6C1F56D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685F9D1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58EE7E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448A384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7E27E75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ED34B0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284687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BF97D7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6B970B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2605EEF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23F049C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245900E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0CF56F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82BD89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6C6DBFE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2C3797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BD6CC7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FD33B4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D2C048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0F4C64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4C55869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286130E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34D7FA8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6DE6383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57C213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5C5A4A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D026F3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B95EC3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B4820C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492D01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28C713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5E5CCD1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2C6A310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4CF84FD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4C1662A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768DF8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65E5DC7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780BCA21">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C9DB23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71B6BF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91736B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7CF55B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71AE788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3C5E4CF2">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30C4911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0AA989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7F2055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291D008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BF9B94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8F161B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1AAA396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3F3E0BE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653FAD6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7A3138E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44F9F7A7">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72162B8E">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6A55552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758D09E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085AEF30">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AA79F7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479A68F3">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CDBFC7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054716E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r w14:paraId="377D35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0962129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175" w:type="dxa"/>
            <w:noWrap w:val="0"/>
            <w:vAlign w:val="top"/>
          </w:tcPr>
          <w:p w14:paraId="225CC8D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1032" w:type="dxa"/>
            <w:noWrap w:val="0"/>
            <w:vAlign w:val="top"/>
          </w:tcPr>
          <w:p w14:paraId="592C837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5C60EB4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47B21784">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613" w:type="dxa"/>
            <w:noWrap w:val="0"/>
            <w:vAlign w:val="top"/>
          </w:tcPr>
          <w:p w14:paraId="19232B2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CD3211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6AB1941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5E43026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c>
          <w:tcPr>
            <w:tcW w:w="900" w:type="dxa"/>
            <w:noWrap w:val="0"/>
            <w:vAlign w:val="top"/>
          </w:tcPr>
          <w:p w14:paraId="27D8A9B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p>
        </w:tc>
      </w:tr>
    </w:tbl>
    <w:p w14:paraId="4BD2C2A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备注：除合同另有约定外，本表所列发包人供应材料和工程设备的数量不考虑施工损耗，施工损耗被认为已经包括在承包人的投标价格中。</w:t>
      </w:r>
    </w:p>
    <w:p w14:paraId="7739B3B4">
      <w:pPr>
        <w:pStyle w:val="15"/>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sectPr>
          <w:footerReference r:id="rId13" w:type="default"/>
          <w:pgSz w:w="11906" w:h="16838"/>
          <w:pgMar w:top="1418" w:right="1418" w:bottom="1304" w:left="1418" w:header="851" w:footer="851" w:gutter="0"/>
          <w:pgNumType w:fmt="decimal"/>
          <w:cols w:space="720" w:num="1"/>
          <w:docGrid w:linePitch="312" w:charSpace="0"/>
        </w:sectPr>
      </w:pPr>
    </w:p>
    <w:p w14:paraId="09A7634F">
      <w:pPr>
        <w:pStyle w:val="4"/>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附件三：质量保修书格式</w:t>
      </w:r>
    </w:p>
    <w:p w14:paraId="04904832">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p>
    <w:p w14:paraId="1CE32D4B">
      <w:pPr>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房屋建筑工程质量保修书</w:t>
      </w:r>
    </w:p>
    <w:p w14:paraId="27997664">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邹城市钢山街道李官庄村村民委员会</w:t>
      </w:r>
      <w:r>
        <w:rPr>
          <w:rFonts w:hint="eastAsia" w:ascii="宋体" w:hAnsi="宋体" w:eastAsia="宋体" w:cs="宋体"/>
          <w:color w:val="auto"/>
          <w:sz w:val="24"/>
          <w:szCs w:val="24"/>
          <w:u w:val="single"/>
        </w:rPr>
        <w:t xml:space="preserve">                 </w:t>
      </w:r>
    </w:p>
    <w:p w14:paraId="2F3EB45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u w:val="single"/>
        </w:rPr>
        <w:t xml:space="preserve">                    </w:t>
      </w:r>
    </w:p>
    <w:p w14:paraId="254F836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发包人、承包人根据《中华人民共和国建筑法》、《建设工程质量管理条例》和《房屋建筑工程质量保修办法》，经协商一致，对</w:t>
      </w:r>
      <w:r>
        <w:rPr>
          <w:rFonts w:hint="eastAsia" w:ascii="宋体" w:hAnsi="宋体" w:cs="宋体"/>
          <w:color w:val="auto"/>
          <w:sz w:val="24"/>
          <w:szCs w:val="24"/>
          <w:u w:val="single"/>
          <w:lang w:eastAsia="zh-CN"/>
        </w:rPr>
        <w:t>邹城市钢山街道办事处钢山花园小区李官村三期热力工程</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(工程名称)签订保修书。</w:t>
      </w:r>
    </w:p>
    <w:p w14:paraId="1FC9140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一、工程保修范围和内容</w:t>
      </w:r>
    </w:p>
    <w:p w14:paraId="1AE10262">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承包人在保修期内，按照有关法律、法规、规章的管理规定和双方约定，承担本工程保修责任。</w:t>
      </w:r>
    </w:p>
    <w:p w14:paraId="38FF75C8">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 xml:space="preserve">   </w:t>
      </w:r>
      <w:r>
        <w:rPr>
          <w:rFonts w:hint="eastAsia" w:ascii="宋体" w:hAnsi="宋体" w:eastAsia="宋体" w:cs="宋体"/>
          <w:color w:val="auto"/>
          <w:sz w:val="24"/>
          <w:szCs w:val="24"/>
        </w:rPr>
        <w:t>具体保修的内容，双方约定如下：</w:t>
      </w:r>
      <w:r>
        <w:rPr>
          <w:rFonts w:hint="eastAsia" w:ascii="宋体" w:hAnsi="宋体" w:eastAsia="宋体" w:cs="宋体"/>
          <w:color w:val="auto"/>
          <w:sz w:val="24"/>
          <w:szCs w:val="24"/>
          <w:u w:val="single"/>
        </w:rPr>
        <w:t>承包人施工的所有项目</w:t>
      </w:r>
      <w:r>
        <w:rPr>
          <w:rFonts w:hint="eastAsia" w:ascii="宋体" w:hAnsi="宋体" w:cs="宋体"/>
          <w:color w:val="auto"/>
          <w:sz w:val="24"/>
          <w:szCs w:val="24"/>
          <w:u w:val="single"/>
          <w:lang w:eastAsia="zh-CN"/>
        </w:rPr>
        <w:t>及提供的所有材料、设备</w:t>
      </w:r>
      <w:r>
        <w:rPr>
          <w:rFonts w:hint="eastAsia" w:ascii="宋体" w:hAnsi="宋体" w:eastAsia="宋体" w:cs="宋体"/>
          <w:color w:val="auto"/>
          <w:sz w:val="24"/>
          <w:szCs w:val="24"/>
        </w:rPr>
        <w:t>。</w:t>
      </w:r>
    </w:p>
    <w:p w14:paraId="640026A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二、保修期</w:t>
      </w:r>
    </w:p>
    <w:p w14:paraId="103C6378">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双方根据《建设工程质量管理条例》及有关规定，约定本工程的保修期如下：</w:t>
      </w:r>
    </w:p>
    <w:p w14:paraId="232A0A0B">
      <w:pPr>
        <w:widowControl w:val="0"/>
        <w:kinsoku/>
        <w:wordWrap/>
        <w:overflowPunct/>
        <w:topLinePunct w:val="0"/>
        <w:autoSpaceDE/>
        <w:autoSpaceDN/>
        <w:bidi w:val="0"/>
        <w:spacing w:line="360" w:lineRule="auto"/>
        <w:ind w:firstLine="1027" w:firstLineChars="42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1、供热系统为</w:t>
      </w:r>
      <w:r>
        <w:rPr>
          <w:rFonts w:hint="eastAsia" w:ascii="宋体" w:hAnsi="宋体" w:eastAsia="宋体" w:cs="宋体"/>
          <w:color w:val="auto"/>
          <w:sz w:val="24"/>
          <w:szCs w:val="24"/>
          <w:u w:val="single"/>
        </w:rPr>
        <w:t xml:space="preserve"> 二 </w:t>
      </w:r>
      <w:r>
        <w:rPr>
          <w:rFonts w:hint="eastAsia" w:ascii="宋体" w:hAnsi="宋体" w:eastAsia="宋体" w:cs="宋体"/>
          <w:color w:val="auto"/>
          <w:sz w:val="24"/>
          <w:szCs w:val="24"/>
        </w:rPr>
        <w:t>个采暖期；</w:t>
      </w:r>
    </w:p>
    <w:p w14:paraId="3C350C3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三、保修责任</w:t>
      </w:r>
    </w:p>
    <w:p w14:paraId="40B2575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1、属于责任范围、内容的项目，承包人应当在接到保修通知之日起7天内派人保修。承包人不在约定期限内派人保修的，发包人可以委托他人修理。</w:t>
      </w:r>
    </w:p>
    <w:p w14:paraId="5390AA43">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2、发生紧急抢修事故的，承包人在接到事故通知后，应当立即到达事故现场抢修。</w:t>
      </w:r>
    </w:p>
    <w:p w14:paraId="661A629C">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对于涉及结构安全的质量问题，应当按照《房屋建筑工程质量保修办法》的规定，立即向当地建设行政主管部门报告，采取安全防范措施；由原设计人或者具有相应资质等级的设计人提出保修方案，承包人实施保修。</w:t>
      </w:r>
    </w:p>
    <w:p w14:paraId="0229A4CF">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4、质量保修完成后，由发包人组织验收。</w:t>
      </w:r>
    </w:p>
    <w:p w14:paraId="2EDF5F29">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四、保修费用</w:t>
      </w:r>
    </w:p>
    <w:p w14:paraId="4AA470ED">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保修费用由造成质量缺陷的责任方承担。</w:t>
      </w:r>
    </w:p>
    <w:p w14:paraId="01463820">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五、其他</w:t>
      </w:r>
    </w:p>
    <w:p w14:paraId="4365A42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双方约定的其他工程保修责任事项：</w:t>
      </w:r>
    </w:p>
    <w:p w14:paraId="2E3E36A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u w:val="single"/>
        </w:rPr>
        <w:t xml:space="preserve">                                                                               </w:t>
      </w:r>
    </w:p>
    <w:p w14:paraId="220BC82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u w:val="single"/>
        </w:rPr>
        <w:t xml:space="preserve">                                                                               </w:t>
      </w:r>
    </w:p>
    <w:p w14:paraId="1366961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u w:val="single"/>
        </w:rPr>
        <w:t xml:space="preserve">                                                                               </w:t>
      </w:r>
    </w:p>
    <w:p w14:paraId="08873D9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3FCE97A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本工程保修书，由施工合同发包人、承包人双方在竣工验收前共同签署，作为施工合同附件，其有效期限至保修期满。</w:t>
      </w:r>
    </w:p>
    <w:p w14:paraId="156F85E5">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p>
    <w:p w14:paraId="20C4E09E">
      <w:pPr>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rPr>
      </w:pPr>
    </w:p>
    <w:p w14:paraId="483D7026">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(公章)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承包人：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(公章)</w:t>
      </w:r>
    </w:p>
    <w:p w14:paraId="5E0D1EBC">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法定地址：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法定地址：</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p>
    <w:p w14:paraId="59EF50D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法定代表人或其                         法定代表人或其</w:t>
      </w:r>
    </w:p>
    <w:p w14:paraId="228170C5">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委托代理人：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(签字)    委托代理人：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(签字)</w:t>
      </w:r>
    </w:p>
    <w:p w14:paraId="42F4E2FD">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电话：</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电话：</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p>
    <w:p w14:paraId="26B67139">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传真：</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传真：</w:t>
      </w:r>
      <w:r>
        <w:rPr>
          <w:rFonts w:hint="eastAsia" w:ascii="宋体" w:hAnsi="宋体" w:eastAsia="宋体" w:cs="宋体"/>
          <w:color w:val="auto"/>
          <w:sz w:val="24"/>
          <w:szCs w:val="24"/>
          <w:u w:val="single"/>
        </w:rPr>
        <w:t xml:space="preserve">                       </w:t>
      </w:r>
    </w:p>
    <w:p w14:paraId="042C9B7F">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电子邮箱：</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电子邮箱：</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p>
    <w:p w14:paraId="2893E44F">
      <w:pPr>
        <w:widowControl w:val="0"/>
        <w:kinsoku/>
        <w:wordWrap/>
        <w:overflowPunct/>
        <w:topLinePunct w:val="0"/>
        <w:autoSpaceDE/>
        <w:autoSpaceDN/>
        <w:bidi w:val="0"/>
        <w:spacing w:line="360" w:lineRule="auto"/>
        <w:ind w:left="5880" w:hanging="6720" w:hangingChars="28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开户银行：</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开户银行</w:t>
      </w:r>
      <w:r>
        <w:rPr>
          <w:rFonts w:hint="eastAsia" w:ascii="宋体" w:hAnsi="宋体" w:eastAsia="宋体" w:cs="宋体"/>
          <w:color w:val="auto"/>
          <w:w w:val="90"/>
          <w:sz w:val="24"/>
          <w:szCs w:val="24"/>
        </w:rPr>
        <w:t>：</w:t>
      </w:r>
      <w:r>
        <w:rPr>
          <w:rFonts w:hint="eastAsia" w:ascii="宋体" w:hAnsi="宋体" w:eastAsia="宋体" w:cs="宋体"/>
          <w:color w:val="auto"/>
          <w:w w:val="90"/>
          <w:sz w:val="24"/>
          <w:szCs w:val="24"/>
          <w:u w:val="single"/>
          <w:lang w:val="en-US" w:eastAsia="zh-CN"/>
        </w:rPr>
        <w:t xml:space="preserve">         </w:t>
      </w:r>
    </w:p>
    <w:p w14:paraId="2DF9E74B">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帐号：</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帐号：</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p>
    <w:p w14:paraId="520217CA">
      <w:pPr>
        <w:widowControl w:val="0"/>
        <w:kinsoku/>
        <w:wordWrap/>
        <w:overflowPunct/>
        <w:topLinePunct w:val="0"/>
        <w:autoSpaceDE/>
        <w:autoSpaceDN/>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邮政编码：</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邮政编码：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p>
    <w:p w14:paraId="3ADFD181">
      <w:pPr>
        <w:spacing w:line="360" w:lineRule="auto"/>
        <w:rPr>
          <w:rFonts w:ascii="宋体" w:hAnsi="宋体" w:cs="宋体"/>
          <w:b/>
          <w:bCs/>
          <w:color w:val="auto"/>
          <w:szCs w:val="21"/>
        </w:rPr>
      </w:pPr>
    </w:p>
    <w:p w14:paraId="16D30DD7">
      <w:pPr>
        <w:spacing w:line="360" w:lineRule="auto"/>
        <w:rPr>
          <w:rFonts w:ascii="宋体" w:hAnsi="宋体" w:cs="宋体"/>
          <w:b/>
          <w:bCs/>
          <w:color w:val="auto"/>
          <w:szCs w:val="21"/>
        </w:rPr>
      </w:pPr>
    </w:p>
    <w:p w14:paraId="66F7985D">
      <w:pPr>
        <w:spacing w:line="360" w:lineRule="auto"/>
        <w:rPr>
          <w:rFonts w:ascii="宋体" w:hAnsi="宋体" w:cs="宋体"/>
          <w:b/>
          <w:bCs/>
          <w:color w:val="auto"/>
          <w:szCs w:val="21"/>
        </w:rPr>
      </w:pPr>
    </w:p>
    <w:p w14:paraId="4458DB53">
      <w:pPr>
        <w:spacing w:line="360" w:lineRule="auto"/>
        <w:rPr>
          <w:rFonts w:ascii="宋体" w:hAnsi="宋体" w:cs="宋体"/>
          <w:b/>
          <w:bCs/>
          <w:color w:val="auto"/>
          <w:szCs w:val="21"/>
        </w:rPr>
      </w:pPr>
    </w:p>
    <w:p w14:paraId="0B6CF498">
      <w:pPr>
        <w:pStyle w:val="3"/>
        <w:bidi w:val="0"/>
        <w:jc w:val="center"/>
        <w:outlineLvl w:val="0"/>
        <w:rPr>
          <w:rFonts w:hint="eastAsia" w:ascii="宋体" w:hAnsi="宋体" w:eastAsia="宋体" w:cs="宋体"/>
          <w:color w:val="auto"/>
          <w:sz w:val="24"/>
          <w:szCs w:val="24"/>
        </w:rPr>
      </w:pPr>
      <w:bookmarkStart w:id="157" w:name="_Toc30486"/>
      <w:r>
        <w:rPr>
          <w:rFonts w:hint="eastAsia" w:ascii="宋体" w:hAnsi="宋体" w:eastAsia="宋体" w:cs="宋体"/>
          <w:color w:val="auto"/>
          <w:sz w:val="24"/>
          <w:szCs w:val="24"/>
        </w:rPr>
        <w:t>第六部分  响应文件格式</w:t>
      </w:r>
      <w:bookmarkEnd w:id="157"/>
    </w:p>
    <w:tbl>
      <w:tblPr>
        <w:tblStyle w:val="40"/>
        <w:tblpPr w:leftFromText="180" w:rightFromText="180" w:vertAnchor="text" w:tblpX="8140" w:tblpY="227"/>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0"/>
      </w:tblGrid>
      <w:tr w14:paraId="3DC93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800" w:type="dxa"/>
          </w:tcPr>
          <w:p w14:paraId="1C8D1522">
            <w:pPr>
              <w:spacing w:line="560" w:lineRule="exact"/>
              <w:jc w:val="left"/>
              <w:rPr>
                <w:rFonts w:hint="default" w:ascii="宋体" w:hAnsi="宋体" w:eastAsia="宋体"/>
                <w:color w:val="auto"/>
                <w:vertAlign w:val="baseline"/>
                <w:lang w:val="en-US" w:eastAsia="zh-CN"/>
              </w:rPr>
            </w:pPr>
            <w:r>
              <w:rPr>
                <w:rFonts w:hint="eastAsia" w:ascii="宋体" w:hAnsi="宋体"/>
                <w:b/>
                <w:bCs/>
                <w:color w:val="auto"/>
                <w:sz w:val="44"/>
                <w:szCs w:val="44"/>
                <w:vertAlign w:val="baseline"/>
                <w:lang w:eastAsia="zh-CN"/>
              </w:rPr>
              <w:t>正</w:t>
            </w:r>
            <w:r>
              <w:rPr>
                <w:rFonts w:hint="eastAsia" w:ascii="宋体" w:hAnsi="宋体"/>
                <w:b/>
                <w:bCs/>
                <w:color w:val="auto"/>
                <w:sz w:val="44"/>
                <w:szCs w:val="44"/>
                <w:vertAlign w:val="baseline"/>
                <w:lang w:val="en-US" w:eastAsia="zh-CN"/>
              </w:rPr>
              <w:t>/副本</w:t>
            </w:r>
          </w:p>
        </w:tc>
      </w:tr>
    </w:tbl>
    <w:p w14:paraId="633953FD">
      <w:pPr>
        <w:spacing w:line="560" w:lineRule="exact"/>
        <w:jc w:val="left"/>
        <w:rPr>
          <w:rFonts w:hint="eastAsia" w:ascii="宋体" w:hAnsi="宋体" w:eastAsia="宋体"/>
          <w:color w:val="auto"/>
          <w:lang w:eastAsia="zh-CN"/>
        </w:rPr>
      </w:pPr>
    </w:p>
    <w:p w14:paraId="48D89002">
      <w:pPr>
        <w:spacing w:line="360" w:lineRule="auto"/>
        <w:ind w:firstLine="1205" w:firstLineChars="300"/>
        <w:rPr>
          <w:rFonts w:hint="eastAsia" w:ascii="宋体" w:hAnsi="宋体"/>
          <w:b/>
          <w:color w:val="auto"/>
          <w:sz w:val="40"/>
          <w:u w:val="single"/>
        </w:rPr>
      </w:pPr>
    </w:p>
    <w:p w14:paraId="6516DF97">
      <w:pPr>
        <w:spacing w:line="360" w:lineRule="auto"/>
        <w:ind w:firstLine="1205" w:firstLineChars="300"/>
        <w:rPr>
          <w:rFonts w:ascii="宋体" w:hAnsi="宋体"/>
          <w:b/>
          <w:color w:val="auto"/>
          <w:sz w:val="40"/>
        </w:rPr>
      </w:pPr>
      <w:r>
        <w:rPr>
          <w:rFonts w:hint="eastAsia" w:ascii="宋体" w:hAnsi="宋体"/>
          <w:b/>
          <w:color w:val="auto"/>
          <w:sz w:val="40"/>
          <w:u w:val="single"/>
        </w:rPr>
        <w:t xml:space="preserve">                 </w:t>
      </w:r>
      <w:r>
        <w:rPr>
          <w:rFonts w:hint="eastAsia" w:ascii="宋体" w:hAnsi="宋体"/>
          <w:b/>
          <w:color w:val="auto"/>
          <w:sz w:val="40"/>
        </w:rPr>
        <w:t>（项目名称）竞争性磋商</w:t>
      </w:r>
    </w:p>
    <w:p w14:paraId="64D01620">
      <w:pPr>
        <w:spacing w:line="360" w:lineRule="auto"/>
        <w:ind w:firstLine="480" w:firstLineChars="200"/>
        <w:rPr>
          <w:rFonts w:ascii="宋体" w:hAnsi="宋体"/>
          <w:color w:val="auto"/>
          <w:sz w:val="24"/>
        </w:rPr>
      </w:pPr>
    </w:p>
    <w:p w14:paraId="0034B309">
      <w:pPr>
        <w:spacing w:line="360" w:lineRule="auto"/>
        <w:ind w:firstLine="482" w:firstLineChars="200"/>
        <w:rPr>
          <w:rFonts w:ascii="宋体" w:hAnsi="宋体"/>
          <w:b/>
          <w:bCs/>
          <w:color w:val="auto"/>
          <w:sz w:val="24"/>
        </w:rPr>
      </w:pPr>
    </w:p>
    <w:p w14:paraId="6B4862BB">
      <w:pPr>
        <w:spacing w:line="360" w:lineRule="auto"/>
        <w:jc w:val="center"/>
        <w:rPr>
          <w:rFonts w:ascii="宋体" w:hAnsi="宋体"/>
          <w:b/>
          <w:color w:val="auto"/>
          <w:sz w:val="56"/>
        </w:rPr>
      </w:pPr>
      <w:r>
        <w:rPr>
          <w:rFonts w:hint="eastAsia" w:ascii="宋体" w:hAnsi="宋体"/>
          <w:b/>
          <w:bCs/>
          <w:color w:val="auto"/>
          <w:sz w:val="56"/>
        </w:rPr>
        <w:t>响应文件</w:t>
      </w:r>
    </w:p>
    <w:p w14:paraId="3D3FC67B">
      <w:pPr>
        <w:spacing w:line="360" w:lineRule="auto"/>
        <w:ind w:firstLine="480" w:firstLineChars="200"/>
        <w:rPr>
          <w:rFonts w:ascii="宋体" w:hAnsi="宋体"/>
          <w:color w:val="auto"/>
          <w:sz w:val="24"/>
        </w:rPr>
      </w:pPr>
    </w:p>
    <w:p w14:paraId="54DA1637">
      <w:pPr>
        <w:spacing w:line="360" w:lineRule="auto"/>
        <w:ind w:firstLine="480" w:firstLineChars="200"/>
        <w:rPr>
          <w:rFonts w:ascii="宋体" w:hAnsi="宋体"/>
          <w:color w:val="auto"/>
          <w:sz w:val="24"/>
        </w:rPr>
      </w:pPr>
    </w:p>
    <w:p w14:paraId="4A662E5F">
      <w:pPr>
        <w:spacing w:line="360" w:lineRule="auto"/>
        <w:ind w:firstLine="480" w:firstLineChars="200"/>
        <w:rPr>
          <w:rFonts w:ascii="宋体" w:hAnsi="宋体"/>
          <w:color w:val="auto"/>
          <w:sz w:val="24"/>
        </w:rPr>
      </w:pPr>
    </w:p>
    <w:p w14:paraId="65578B4D">
      <w:pPr>
        <w:spacing w:line="360" w:lineRule="auto"/>
        <w:ind w:firstLine="480" w:firstLineChars="200"/>
        <w:rPr>
          <w:rFonts w:ascii="宋体" w:hAnsi="宋体"/>
          <w:color w:val="auto"/>
          <w:sz w:val="24"/>
        </w:rPr>
      </w:pPr>
    </w:p>
    <w:p w14:paraId="5E9B3A2E">
      <w:pPr>
        <w:spacing w:line="360" w:lineRule="auto"/>
        <w:ind w:firstLine="480" w:firstLineChars="200"/>
        <w:rPr>
          <w:rFonts w:ascii="宋体" w:hAnsi="宋体"/>
          <w:color w:val="auto"/>
          <w:sz w:val="24"/>
        </w:rPr>
      </w:pPr>
    </w:p>
    <w:p w14:paraId="2DAA6AD5">
      <w:pPr>
        <w:spacing w:line="360" w:lineRule="auto"/>
        <w:ind w:firstLine="480" w:firstLineChars="200"/>
        <w:rPr>
          <w:rFonts w:ascii="宋体" w:hAnsi="宋体"/>
          <w:color w:val="auto"/>
          <w:sz w:val="24"/>
        </w:rPr>
      </w:pPr>
    </w:p>
    <w:p w14:paraId="17C0D7A9">
      <w:pPr>
        <w:pStyle w:val="10"/>
        <w:rPr>
          <w:rFonts w:ascii="宋体" w:hAnsi="宋体"/>
          <w:color w:val="auto"/>
          <w:szCs w:val="21"/>
        </w:rPr>
      </w:pPr>
    </w:p>
    <w:p w14:paraId="022A1E9F">
      <w:pPr>
        <w:rPr>
          <w:rFonts w:ascii="宋体" w:hAnsi="宋体"/>
          <w:color w:val="auto"/>
          <w:szCs w:val="21"/>
        </w:rPr>
      </w:pPr>
    </w:p>
    <w:p w14:paraId="4ADA30CE">
      <w:pPr>
        <w:rPr>
          <w:rFonts w:ascii="宋体" w:hAnsi="宋体"/>
          <w:color w:val="auto"/>
          <w:szCs w:val="21"/>
        </w:rPr>
      </w:pPr>
    </w:p>
    <w:p w14:paraId="36DC4433">
      <w:pPr>
        <w:spacing w:line="360" w:lineRule="auto"/>
        <w:rPr>
          <w:rFonts w:ascii="宋体" w:hAnsi="宋体"/>
          <w:color w:val="auto"/>
          <w:sz w:val="24"/>
        </w:rPr>
      </w:pPr>
    </w:p>
    <w:p w14:paraId="206D9516">
      <w:pPr>
        <w:spacing w:line="720" w:lineRule="auto"/>
        <w:jc w:val="center"/>
        <w:rPr>
          <w:rFonts w:ascii="宋体" w:hAnsi="宋体"/>
          <w:color w:val="auto"/>
          <w:sz w:val="32"/>
        </w:rPr>
      </w:pPr>
      <w:r>
        <w:rPr>
          <w:rFonts w:hint="eastAsia" w:ascii="宋体" w:hAnsi="宋体"/>
          <w:color w:val="auto"/>
          <w:sz w:val="32"/>
        </w:rPr>
        <w:t>供应商：</w:t>
      </w:r>
      <w:r>
        <w:rPr>
          <w:rFonts w:hint="eastAsia" w:ascii="宋体" w:hAnsi="宋体"/>
          <w:color w:val="auto"/>
          <w:sz w:val="32"/>
          <w:u w:val="single"/>
        </w:rPr>
        <w:t xml:space="preserve">                               </w:t>
      </w:r>
      <w:r>
        <w:rPr>
          <w:rFonts w:hint="eastAsia" w:ascii="宋体" w:hAnsi="宋体"/>
          <w:color w:val="auto"/>
          <w:sz w:val="32"/>
        </w:rPr>
        <w:t>（单位公章）</w:t>
      </w:r>
    </w:p>
    <w:p w14:paraId="347B8E1A">
      <w:pPr>
        <w:spacing w:line="720" w:lineRule="auto"/>
        <w:jc w:val="center"/>
        <w:rPr>
          <w:rFonts w:ascii="宋体" w:hAnsi="宋体"/>
          <w:color w:val="auto"/>
          <w:sz w:val="32"/>
        </w:rPr>
      </w:pPr>
      <w:r>
        <w:rPr>
          <w:rFonts w:hint="eastAsia" w:ascii="宋体" w:hAnsi="宋体"/>
          <w:color w:val="auto"/>
          <w:sz w:val="32"/>
        </w:rPr>
        <w:t>法定代表人或其委托代理人：</w:t>
      </w:r>
      <w:r>
        <w:rPr>
          <w:rFonts w:hint="eastAsia" w:ascii="宋体" w:hAnsi="宋体"/>
          <w:color w:val="auto"/>
          <w:sz w:val="32"/>
          <w:u w:val="single"/>
        </w:rPr>
        <w:t xml:space="preserve">                 </w:t>
      </w:r>
      <w:r>
        <w:rPr>
          <w:rFonts w:hint="eastAsia" w:ascii="宋体" w:hAnsi="宋体"/>
          <w:color w:val="auto"/>
          <w:sz w:val="32"/>
        </w:rPr>
        <w:t>（签名或盖章）</w:t>
      </w:r>
    </w:p>
    <w:p w14:paraId="37371C56">
      <w:pPr>
        <w:tabs>
          <w:tab w:val="left" w:pos="0"/>
          <w:tab w:val="left" w:pos="720"/>
          <w:tab w:val="left" w:pos="1440"/>
          <w:tab w:val="left" w:pos="2160"/>
          <w:tab w:val="left" w:pos="2880"/>
          <w:tab w:val="left" w:pos="3600"/>
          <w:tab w:val="left" w:pos="4320"/>
        </w:tabs>
        <w:autoSpaceDE w:val="0"/>
        <w:autoSpaceDN w:val="0"/>
        <w:adjustRightInd w:val="0"/>
        <w:spacing w:line="720" w:lineRule="auto"/>
        <w:jc w:val="center"/>
        <w:rPr>
          <w:rFonts w:ascii="宋体" w:hAnsi="宋体"/>
          <w:color w:val="auto"/>
          <w:sz w:val="32"/>
        </w:rPr>
      </w:pPr>
      <w:r>
        <w:rPr>
          <w:rFonts w:hint="eastAsia" w:ascii="宋体" w:hAnsi="宋体"/>
          <w:color w:val="auto"/>
          <w:sz w:val="32"/>
        </w:rPr>
        <w:t>日  期：</w:t>
      </w:r>
      <w:r>
        <w:rPr>
          <w:rFonts w:hint="eastAsia" w:ascii="宋体" w:hAnsi="宋体"/>
          <w:color w:val="auto"/>
          <w:sz w:val="32"/>
          <w:u w:val="single"/>
        </w:rPr>
        <w:t xml:space="preserve">         </w:t>
      </w:r>
      <w:r>
        <w:rPr>
          <w:rFonts w:hint="eastAsia" w:ascii="宋体" w:hAnsi="宋体"/>
          <w:color w:val="auto"/>
          <w:sz w:val="32"/>
        </w:rPr>
        <w:t>年</w:t>
      </w:r>
      <w:r>
        <w:rPr>
          <w:rFonts w:hint="eastAsia" w:ascii="宋体" w:hAnsi="宋体"/>
          <w:color w:val="auto"/>
          <w:sz w:val="32"/>
          <w:u w:val="single"/>
        </w:rPr>
        <w:t xml:space="preserve">    </w:t>
      </w:r>
      <w:r>
        <w:rPr>
          <w:rFonts w:hint="eastAsia" w:ascii="宋体" w:hAnsi="宋体"/>
          <w:color w:val="auto"/>
          <w:sz w:val="32"/>
        </w:rPr>
        <w:t>月</w:t>
      </w:r>
      <w:r>
        <w:rPr>
          <w:rFonts w:hint="eastAsia" w:ascii="宋体" w:hAnsi="宋体"/>
          <w:color w:val="auto"/>
          <w:sz w:val="32"/>
          <w:u w:val="single"/>
        </w:rPr>
        <w:t xml:space="preserve">    </w:t>
      </w:r>
      <w:r>
        <w:rPr>
          <w:rFonts w:hint="eastAsia" w:ascii="宋体" w:hAnsi="宋体"/>
          <w:color w:val="auto"/>
          <w:sz w:val="32"/>
        </w:rPr>
        <w:t>日</w:t>
      </w:r>
    </w:p>
    <w:p w14:paraId="54E51441">
      <w:pPr>
        <w:pStyle w:val="36"/>
        <w:snapToGrid w:val="0"/>
        <w:spacing w:line="360" w:lineRule="auto"/>
        <w:ind w:left="578"/>
        <w:jc w:val="left"/>
        <w:rPr>
          <w:rFonts w:ascii="宋体" w:hAnsi="宋体" w:cs="宋体"/>
          <w:b/>
          <w:color w:val="auto"/>
          <w:sz w:val="30"/>
          <w:szCs w:val="30"/>
        </w:rPr>
        <w:sectPr>
          <w:headerReference r:id="rId14" w:type="first"/>
          <w:footerReference r:id="rId16" w:type="first"/>
          <w:footerReference r:id="rId15" w:type="default"/>
          <w:pgSz w:w="11906" w:h="16838"/>
          <w:pgMar w:top="1440" w:right="1080" w:bottom="1440" w:left="1080" w:header="851" w:footer="992" w:gutter="0"/>
          <w:pgNumType w:fmt="decimal"/>
          <w:cols w:space="720" w:num="1"/>
          <w:titlePg/>
          <w:docGrid w:type="lines" w:linePitch="286" w:charSpace="0"/>
        </w:sectPr>
      </w:pPr>
    </w:p>
    <w:p w14:paraId="5BD03554">
      <w:pPr>
        <w:pStyle w:val="36"/>
        <w:snapToGrid w:val="0"/>
        <w:spacing w:line="360" w:lineRule="auto"/>
        <w:ind w:left="578"/>
        <w:jc w:val="center"/>
        <w:rPr>
          <w:rFonts w:ascii="宋体" w:hAnsi="宋体" w:cs="宋体"/>
          <w:b/>
          <w:color w:val="auto"/>
          <w:sz w:val="30"/>
          <w:szCs w:val="30"/>
        </w:rPr>
      </w:pPr>
      <w:r>
        <w:rPr>
          <w:rFonts w:hint="eastAsia" w:ascii="宋体" w:hAnsi="宋体" w:cs="宋体"/>
          <w:b/>
          <w:color w:val="auto"/>
          <w:sz w:val="30"/>
          <w:szCs w:val="30"/>
        </w:rPr>
        <w:t>目    录</w:t>
      </w:r>
    </w:p>
    <w:p w14:paraId="0DBB9FEA">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rPr>
        <w:t>1、磋商响应函</w:t>
      </w:r>
    </w:p>
    <w:p w14:paraId="60B727C5">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 xml:space="preserve"> 2、法定代表人身份证明或授权委托人身份证明及法定代表人授权委托书</w:t>
      </w:r>
    </w:p>
    <w:p w14:paraId="0C6FE54D">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 xml:space="preserve"> 3、初次报价表</w:t>
      </w:r>
    </w:p>
    <w:p w14:paraId="60A2E753">
      <w:pPr>
        <w:widowControl/>
        <w:shd w:val="clear" w:color="auto" w:fill="FFFFFF"/>
        <w:spacing w:line="360" w:lineRule="auto"/>
        <w:ind w:firstLine="480"/>
        <w:jc w:val="left"/>
        <w:rPr>
          <w:rFonts w:hint="eastAsia" w:ascii="宋体" w:hAnsi="宋体" w:eastAsia="宋体" w:cs="黑体"/>
          <w:color w:val="auto"/>
          <w:kern w:val="0"/>
          <w:sz w:val="24"/>
          <w:lang w:eastAsia="zh-CN"/>
        </w:rPr>
      </w:pPr>
      <w:r>
        <w:rPr>
          <w:rFonts w:hint="eastAsia" w:ascii="宋体" w:hAnsi="宋体" w:cs="黑体"/>
          <w:color w:val="auto"/>
          <w:kern w:val="0"/>
          <w:sz w:val="24"/>
        </w:rPr>
        <w:t xml:space="preserve"> 4、初次报价</w:t>
      </w:r>
      <w:r>
        <w:rPr>
          <w:rFonts w:hint="eastAsia" w:ascii="宋体" w:hAnsi="宋体" w:cs="黑体"/>
          <w:color w:val="auto"/>
          <w:kern w:val="0"/>
          <w:sz w:val="24"/>
          <w:lang w:eastAsia="zh-CN"/>
        </w:rPr>
        <w:t>明细</w:t>
      </w:r>
    </w:p>
    <w:p w14:paraId="64994931">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rPr>
        <w:t>5、技术部分</w:t>
      </w:r>
    </w:p>
    <w:p w14:paraId="5E9173EF">
      <w:pPr>
        <w:widowControl/>
        <w:shd w:val="clear" w:color="auto" w:fill="FFFFFF"/>
        <w:spacing w:line="360" w:lineRule="auto"/>
        <w:ind w:firstLine="600" w:firstLineChars="250"/>
        <w:jc w:val="left"/>
        <w:rPr>
          <w:rFonts w:hint="eastAsia" w:ascii="宋体" w:hAnsi="宋体" w:eastAsia="宋体" w:cs="黑体"/>
          <w:color w:val="auto"/>
          <w:kern w:val="0"/>
          <w:sz w:val="24"/>
          <w:lang w:eastAsia="zh-CN"/>
        </w:rPr>
      </w:pPr>
      <w:r>
        <w:rPr>
          <w:rFonts w:hint="eastAsia" w:ascii="宋体" w:hAnsi="宋体" w:cs="黑体"/>
          <w:color w:val="auto"/>
          <w:kern w:val="0"/>
          <w:sz w:val="24"/>
          <w:lang w:val="en-US" w:eastAsia="zh-CN"/>
        </w:rPr>
        <w:t>6</w:t>
      </w:r>
      <w:r>
        <w:rPr>
          <w:rFonts w:hint="eastAsia" w:ascii="宋体" w:hAnsi="宋体" w:cs="黑体"/>
          <w:color w:val="auto"/>
          <w:kern w:val="0"/>
          <w:sz w:val="24"/>
        </w:rPr>
        <w:t>、</w:t>
      </w:r>
      <w:r>
        <w:rPr>
          <w:rFonts w:hint="eastAsia" w:ascii="宋体" w:hAnsi="宋体" w:cs="黑体"/>
          <w:color w:val="auto"/>
          <w:kern w:val="0"/>
          <w:sz w:val="24"/>
          <w:lang w:eastAsia="zh-CN"/>
        </w:rPr>
        <w:t>项目管理机构</w:t>
      </w:r>
    </w:p>
    <w:p w14:paraId="2508CBE8">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lang w:val="en-US" w:eastAsia="zh-CN"/>
        </w:rPr>
        <w:t>7、</w:t>
      </w:r>
      <w:r>
        <w:rPr>
          <w:rFonts w:hint="eastAsia" w:ascii="宋体" w:hAnsi="宋体" w:cs="黑体"/>
          <w:color w:val="auto"/>
          <w:kern w:val="0"/>
          <w:sz w:val="24"/>
        </w:rPr>
        <w:t>资格审查资料</w:t>
      </w:r>
    </w:p>
    <w:p w14:paraId="2890D2F9">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lang w:val="en-US" w:eastAsia="zh-CN"/>
        </w:rPr>
        <w:t>8</w:t>
      </w:r>
      <w:r>
        <w:rPr>
          <w:rFonts w:hint="eastAsia" w:ascii="宋体" w:hAnsi="宋体" w:cs="黑体"/>
          <w:color w:val="auto"/>
          <w:kern w:val="0"/>
          <w:sz w:val="24"/>
        </w:rPr>
        <w:t>、建设工程扬尘治理工作承诺书</w:t>
      </w:r>
    </w:p>
    <w:p w14:paraId="03D2E831">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lang w:val="en-US" w:eastAsia="zh-CN"/>
        </w:rPr>
        <w:t>9</w:t>
      </w:r>
      <w:r>
        <w:rPr>
          <w:rFonts w:hint="eastAsia" w:ascii="宋体" w:hAnsi="宋体" w:cs="黑体"/>
          <w:color w:val="auto"/>
          <w:kern w:val="0"/>
          <w:sz w:val="24"/>
        </w:rPr>
        <w:t>、其他资料</w:t>
      </w:r>
    </w:p>
    <w:p w14:paraId="62312E8B">
      <w:pPr>
        <w:spacing w:line="360" w:lineRule="auto"/>
        <w:jc w:val="left"/>
        <w:outlineLvl w:val="9"/>
        <w:rPr>
          <w:rFonts w:ascii="宋体" w:hAnsi="宋体"/>
          <w:b/>
          <w:color w:val="auto"/>
          <w:sz w:val="24"/>
        </w:rPr>
      </w:pPr>
    </w:p>
    <w:p w14:paraId="4332554F">
      <w:pPr>
        <w:spacing w:line="360" w:lineRule="auto"/>
        <w:jc w:val="left"/>
        <w:outlineLvl w:val="9"/>
        <w:rPr>
          <w:rFonts w:ascii="宋体" w:hAnsi="宋体"/>
          <w:b/>
          <w:color w:val="auto"/>
          <w:sz w:val="24"/>
        </w:rPr>
      </w:pPr>
    </w:p>
    <w:p w14:paraId="4B1E6C90">
      <w:pPr>
        <w:widowControl/>
        <w:shd w:val="clear" w:color="auto" w:fill="FFFFFF"/>
        <w:spacing w:line="560" w:lineRule="exact"/>
        <w:jc w:val="left"/>
        <w:rPr>
          <w:rFonts w:hint="eastAsia" w:ascii="宋体" w:hAnsi="宋体"/>
          <w:color w:val="auto"/>
          <w:sz w:val="24"/>
        </w:rPr>
      </w:pPr>
      <w:bookmarkStart w:id="158" w:name="_Toc374107067"/>
      <w:bookmarkStart w:id="159" w:name="_Toc323641999"/>
      <w:bookmarkStart w:id="160" w:name="_Toc300901193"/>
    </w:p>
    <w:p w14:paraId="0865B448">
      <w:pPr>
        <w:pStyle w:val="10"/>
        <w:rPr>
          <w:rFonts w:hint="eastAsia" w:ascii="宋体" w:hAnsi="宋体"/>
          <w:color w:val="auto"/>
          <w:sz w:val="24"/>
        </w:rPr>
      </w:pPr>
    </w:p>
    <w:p w14:paraId="5E576F67">
      <w:pPr>
        <w:rPr>
          <w:rFonts w:hint="eastAsia" w:ascii="宋体" w:hAnsi="宋体"/>
          <w:color w:val="auto"/>
          <w:sz w:val="24"/>
        </w:rPr>
      </w:pPr>
    </w:p>
    <w:p w14:paraId="6B61202C">
      <w:pPr>
        <w:pStyle w:val="10"/>
        <w:rPr>
          <w:rFonts w:hint="eastAsia"/>
          <w:color w:val="auto"/>
        </w:rPr>
      </w:pPr>
    </w:p>
    <w:p w14:paraId="63AF583D">
      <w:pPr>
        <w:widowControl/>
        <w:shd w:val="clear" w:color="auto" w:fill="FFFFFF"/>
        <w:spacing w:line="560" w:lineRule="exact"/>
        <w:jc w:val="left"/>
        <w:rPr>
          <w:rFonts w:hint="eastAsia" w:ascii="宋体" w:hAnsi="宋体"/>
          <w:color w:val="auto"/>
          <w:sz w:val="24"/>
        </w:rPr>
      </w:pPr>
    </w:p>
    <w:p w14:paraId="34773B81">
      <w:pPr>
        <w:widowControl/>
        <w:shd w:val="clear" w:color="auto" w:fill="FFFFFF"/>
        <w:spacing w:line="560" w:lineRule="exact"/>
        <w:jc w:val="left"/>
        <w:rPr>
          <w:rFonts w:hint="eastAsia" w:ascii="宋体" w:hAnsi="宋体"/>
          <w:color w:val="auto"/>
          <w:sz w:val="24"/>
        </w:rPr>
      </w:pPr>
    </w:p>
    <w:p w14:paraId="37774F21">
      <w:pPr>
        <w:widowControl/>
        <w:shd w:val="clear" w:color="auto" w:fill="FFFFFF"/>
        <w:spacing w:line="560" w:lineRule="exact"/>
        <w:jc w:val="left"/>
        <w:rPr>
          <w:rFonts w:hint="eastAsia" w:ascii="宋体" w:hAnsi="宋体" w:eastAsia="宋体"/>
          <w:color w:val="auto"/>
          <w:sz w:val="24"/>
          <w:szCs w:val="24"/>
        </w:rPr>
      </w:pPr>
    </w:p>
    <w:p w14:paraId="1CDF57BB">
      <w:pPr>
        <w:widowControl/>
        <w:shd w:val="clear" w:color="auto" w:fill="FFFFFF"/>
        <w:spacing w:line="560" w:lineRule="exact"/>
        <w:jc w:val="left"/>
        <w:rPr>
          <w:rFonts w:hint="eastAsia" w:ascii="宋体" w:hAnsi="宋体" w:eastAsia="宋体"/>
          <w:color w:val="auto"/>
          <w:sz w:val="24"/>
          <w:szCs w:val="24"/>
        </w:rPr>
      </w:pPr>
    </w:p>
    <w:p w14:paraId="28CDE42B">
      <w:pPr>
        <w:widowControl/>
        <w:shd w:val="clear" w:color="auto" w:fill="FFFFFF"/>
        <w:spacing w:line="560" w:lineRule="exact"/>
        <w:jc w:val="left"/>
        <w:rPr>
          <w:rFonts w:hint="eastAsia" w:ascii="宋体" w:hAnsi="宋体" w:eastAsia="宋体"/>
          <w:color w:val="auto"/>
          <w:sz w:val="24"/>
          <w:szCs w:val="24"/>
        </w:rPr>
      </w:pPr>
    </w:p>
    <w:p w14:paraId="35380ECC">
      <w:pPr>
        <w:widowControl/>
        <w:shd w:val="clear" w:color="auto" w:fill="FFFFFF"/>
        <w:spacing w:line="560" w:lineRule="exact"/>
        <w:jc w:val="left"/>
        <w:rPr>
          <w:rFonts w:hint="eastAsia" w:ascii="宋体" w:hAnsi="宋体" w:eastAsia="宋体"/>
          <w:color w:val="auto"/>
          <w:sz w:val="24"/>
          <w:szCs w:val="24"/>
        </w:rPr>
      </w:pPr>
    </w:p>
    <w:p w14:paraId="363668EC">
      <w:pPr>
        <w:pStyle w:val="54"/>
        <w:rPr>
          <w:rFonts w:hint="eastAsia" w:ascii="宋体" w:hAnsi="宋体" w:eastAsia="宋体"/>
          <w:color w:val="auto"/>
          <w:sz w:val="24"/>
          <w:szCs w:val="24"/>
        </w:rPr>
      </w:pPr>
    </w:p>
    <w:p w14:paraId="159A0CCD">
      <w:pPr>
        <w:pStyle w:val="54"/>
        <w:rPr>
          <w:rFonts w:hint="eastAsia" w:ascii="宋体" w:hAnsi="宋体" w:eastAsia="宋体"/>
          <w:color w:val="auto"/>
          <w:sz w:val="24"/>
          <w:szCs w:val="24"/>
        </w:rPr>
      </w:pPr>
    </w:p>
    <w:p w14:paraId="1DD083F6">
      <w:pPr>
        <w:spacing w:line="360" w:lineRule="auto"/>
        <w:jc w:val="both"/>
        <w:rPr>
          <w:rFonts w:hint="eastAsia" w:ascii="宋体" w:hAnsi="宋体" w:cs="宋体"/>
          <w:b/>
          <w:color w:val="auto"/>
          <w:kern w:val="0"/>
          <w:sz w:val="24"/>
        </w:rPr>
      </w:pPr>
    </w:p>
    <w:bookmarkEnd w:id="158"/>
    <w:bookmarkEnd w:id="159"/>
    <w:bookmarkEnd w:id="160"/>
    <w:p w14:paraId="39A93CF5">
      <w:pPr>
        <w:spacing w:line="360" w:lineRule="auto"/>
        <w:jc w:val="center"/>
        <w:rPr>
          <w:rFonts w:ascii="宋体" w:hAnsi="宋体"/>
          <w:b/>
          <w:bCs/>
          <w:color w:val="auto"/>
          <w:sz w:val="24"/>
          <w:szCs w:val="24"/>
        </w:rPr>
      </w:pPr>
      <w:r>
        <w:rPr>
          <w:rFonts w:hint="eastAsia" w:ascii="宋体" w:hAnsi="宋体" w:cs="宋体"/>
          <w:b/>
          <w:color w:val="auto"/>
          <w:kern w:val="0"/>
          <w:sz w:val="24"/>
          <w:szCs w:val="24"/>
        </w:rPr>
        <w:t>一、磋商</w:t>
      </w:r>
      <w:r>
        <w:rPr>
          <w:rFonts w:hint="eastAsia" w:ascii="宋体" w:hAnsi="宋体"/>
          <w:b/>
          <w:bCs/>
          <w:color w:val="auto"/>
          <w:sz w:val="24"/>
          <w:szCs w:val="24"/>
        </w:rPr>
        <w:t>响应函</w:t>
      </w:r>
    </w:p>
    <w:p w14:paraId="620D6F1D">
      <w:pPr>
        <w:widowControl/>
        <w:spacing w:line="480" w:lineRule="auto"/>
        <w:ind w:firstLine="480" w:firstLineChars="200"/>
        <w:rPr>
          <w:rFonts w:hint="eastAsia" w:ascii="宋体" w:hAnsi="宋体" w:cs="宋体"/>
          <w:color w:val="auto"/>
          <w:kern w:val="0"/>
          <w:sz w:val="24"/>
          <w:szCs w:val="24"/>
        </w:rPr>
      </w:pPr>
      <w:r>
        <w:rPr>
          <w:rFonts w:hint="eastAsia" w:ascii="宋体" w:hAnsi="宋体" w:cs="宋体"/>
          <w:color w:val="auto"/>
          <w:kern w:val="0"/>
          <w:sz w:val="24"/>
          <w:szCs w:val="24"/>
        </w:rPr>
        <w:t>经研究，我方决定参加项目编号为</w:t>
      </w:r>
      <w:r>
        <w:rPr>
          <w:rFonts w:hint="eastAsia" w:ascii="宋体" w:hAnsi="宋体" w:cs="宋体"/>
          <w:color w:val="auto"/>
          <w:kern w:val="0"/>
          <w:sz w:val="24"/>
          <w:szCs w:val="24"/>
          <w:u w:val="single"/>
        </w:rPr>
        <w:t xml:space="preserve">  </w:t>
      </w:r>
      <w:r>
        <w:rPr>
          <w:rFonts w:ascii="宋体" w:hAnsi="宋体" w:cs="宋体"/>
          <w:color w:val="auto"/>
          <w:kern w:val="0"/>
          <w:sz w:val="24"/>
          <w:szCs w:val="24"/>
          <w:u w:val="single"/>
        </w:rPr>
        <w:t xml:space="preserve">    </w:t>
      </w:r>
      <w:r>
        <w:rPr>
          <w:rFonts w:hint="eastAsia" w:ascii="宋体" w:hAnsi="宋体" w:cs="宋体"/>
          <w:color w:val="auto"/>
          <w:kern w:val="0"/>
          <w:sz w:val="24"/>
          <w:szCs w:val="24"/>
          <w:u w:val="single"/>
        </w:rPr>
        <w:t xml:space="preserve">     </w:t>
      </w:r>
      <w:r>
        <w:rPr>
          <w:rFonts w:hint="eastAsia" w:ascii="宋体" w:hAnsi="宋体" w:cs="宋体"/>
          <w:color w:val="auto"/>
          <w:kern w:val="0"/>
          <w:sz w:val="24"/>
          <w:szCs w:val="24"/>
        </w:rPr>
        <w:t>的政府采购活动并提交磋商响应文件。为此，我方郑重声明如下:</w:t>
      </w:r>
    </w:p>
    <w:p w14:paraId="6BAC8A6B">
      <w:pPr>
        <w:widowControl/>
        <w:spacing w:line="480" w:lineRule="auto"/>
        <w:ind w:firstLine="480" w:firstLineChars="200"/>
        <w:rPr>
          <w:rFonts w:hint="eastAsia" w:ascii="宋体" w:hAnsi="宋体" w:cs="宋体"/>
          <w:color w:val="auto"/>
          <w:kern w:val="0"/>
          <w:sz w:val="24"/>
          <w:szCs w:val="24"/>
        </w:rPr>
      </w:pPr>
      <w:r>
        <w:rPr>
          <w:rFonts w:hint="eastAsia" w:ascii="宋体" w:hAnsi="宋体" w:cs="宋体"/>
          <w:color w:val="auto"/>
          <w:kern w:val="0"/>
          <w:sz w:val="24"/>
          <w:szCs w:val="24"/>
        </w:rPr>
        <w:t>1、我方提交的磋商响应文件，正本一份，副本</w:t>
      </w:r>
      <w:r>
        <w:rPr>
          <w:rFonts w:hint="eastAsia" w:ascii="宋体" w:hAnsi="宋体" w:cs="宋体"/>
          <w:color w:val="auto"/>
          <w:kern w:val="0"/>
          <w:sz w:val="24"/>
          <w:szCs w:val="24"/>
          <w:lang w:eastAsia="zh-CN"/>
        </w:rPr>
        <w:t>三</w:t>
      </w:r>
      <w:r>
        <w:rPr>
          <w:rFonts w:hint="eastAsia" w:ascii="宋体" w:hAnsi="宋体" w:cs="宋体"/>
          <w:color w:val="auto"/>
          <w:kern w:val="0"/>
          <w:sz w:val="24"/>
          <w:szCs w:val="24"/>
        </w:rPr>
        <w:t>份。</w:t>
      </w:r>
    </w:p>
    <w:p w14:paraId="28833B5F">
      <w:pPr>
        <w:widowControl/>
        <w:spacing w:line="480" w:lineRule="auto"/>
        <w:ind w:firstLine="480" w:firstLineChars="200"/>
        <w:rPr>
          <w:rFonts w:hint="eastAsia" w:ascii="宋体" w:hAnsi="宋体" w:cs="宋体"/>
          <w:color w:val="auto"/>
          <w:kern w:val="0"/>
          <w:sz w:val="24"/>
          <w:szCs w:val="24"/>
        </w:rPr>
      </w:pPr>
      <w:r>
        <w:rPr>
          <w:rFonts w:hint="eastAsia" w:ascii="宋体" w:hAnsi="宋体" w:cs="宋体"/>
          <w:color w:val="auto"/>
          <w:kern w:val="0"/>
          <w:sz w:val="24"/>
          <w:szCs w:val="24"/>
        </w:rPr>
        <w:t>2、如果我方的磋商响应文件被接受，我方将履行磋商文件中规定的每一项要求，并按我方磋商响应文件中的承诺按期、保质、保量完成项目的实施。</w:t>
      </w:r>
    </w:p>
    <w:p w14:paraId="315AD81E">
      <w:pPr>
        <w:widowControl/>
        <w:spacing w:line="480" w:lineRule="auto"/>
        <w:ind w:firstLine="480" w:firstLineChars="200"/>
        <w:rPr>
          <w:rFonts w:hint="eastAsia" w:ascii="宋体" w:hAnsi="宋体" w:cs="宋体"/>
          <w:color w:val="auto"/>
          <w:kern w:val="0"/>
          <w:sz w:val="24"/>
          <w:szCs w:val="24"/>
        </w:rPr>
      </w:pPr>
      <w:r>
        <w:rPr>
          <w:rFonts w:hint="eastAsia" w:ascii="宋体" w:hAnsi="宋体" w:cs="宋体"/>
          <w:color w:val="auto"/>
          <w:kern w:val="0"/>
          <w:sz w:val="24"/>
          <w:szCs w:val="24"/>
        </w:rPr>
        <w:t>3、我方理解，最低报价不是入选成交候选人的唯一条件。</w:t>
      </w:r>
    </w:p>
    <w:p w14:paraId="3D3C3D59">
      <w:pPr>
        <w:widowControl/>
        <w:spacing w:line="480" w:lineRule="auto"/>
        <w:ind w:firstLine="480" w:firstLineChars="200"/>
        <w:rPr>
          <w:rFonts w:hint="eastAsia" w:ascii="宋体" w:hAnsi="宋体" w:cs="宋体"/>
          <w:color w:val="auto"/>
          <w:kern w:val="0"/>
          <w:sz w:val="24"/>
          <w:szCs w:val="24"/>
        </w:rPr>
      </w:pPr>
      <w:r>
        <w:rPr>
          <w:rFonts w:hint="eastAsia" w:ascii="宋体" w:hAnsi="宋体" w:cs="宋体"/>
          <w:color w:val="auto"/>
          <w:kern w:val="0"/>
          <w:sz w:val="24"/>
          <w:szCs w:val="24"/>
        </w:rPr>
        <w:t>4、我方愿按《中华人民共和国</w:t>
      </w:r>
      <w:r>
        <w:rPr>
          <w:rFonts w:hint="eastAsia" w:ascii="宋体" w:hAnsi="宋体" w:cs="宋体"/>
          <w:color w:val="auto"/>
          <w:kern w:val="0"/>
          <w:sz w:val="24"/>
          <w:szCs w:val="24"/>
          <w:lang w:eastAsia="zh-CN"/>
        </w:rPr>
        <w:t>民法典</w:t>
      </w:r>
      <w:r>
        <w:rPr>
          <w:rFonts w:hint="eastAsia" w:ascii="宋体" w:hAnsi="宋体" w:cs="宋体"/>
          <w:color w:val="auto"/>
          <w:kern w:val="0"/>
          <w:sz w:val="24"/>
          <w:szCs w:val="24"/>
        </w:rPr>
        <w:t>》履行自己的全部责任。</w:t>
      </w:r>
    </w:p>
    <w:p w14:paraId="6E9A3B42">
      <w:pPr>
        <w:widowControl/>
        <w:spacing w:line="480" w:lineRule="auto"/>
        <w:ind w:firstLine="480" w:firstLineChars="200"/>
        <w:rPr>
          <w:rFonts w:hint="eastAsia" w:ascii="宋体" w:hAnsi="宋体" w:cs="宋体"/>
          <w:color w:val="auto"/>
          <w:kern w:val="0"/>
          <w:sz w:val="24"/>
          <w:szCs w:val="24"/>
        </w:rPr>
      </w:pPr>
      <w:r>
        <w:rPr>
          <w:rFonts w:hint="eastAsia" w:ascii="宋体" w:hAnsi="宋体" w:cs="宋体"/>
          <w:color w:val="auto"/>
          <w:kern w:val="0"/>
          <w:sz w:val="24"/>
          <w:szCs w:val="24"/>
        </w:rPr>
        <w:t>5、我方已详细检查所有磋商文件、附件以及所提供的参考文件，因模糊和误解产生的一切后果，由我方自负。</w:t>
      </w:r>
    </w:p>
    <w:p w14:paraId="1043C172">
      <w:pPr>
        <w:widowControl/>
        <w:spacing w:line="480" w:lineRule="auto"/>
        <w:ind w:firstLine="480" w:firstLineChars="200"/>
        <w:rPr>
          <w:rFonts w:hint="eastAsia" w:ascii="宋体" w:hAnsi="宋体" w:cs="宋体"/>
          <w:color w:val="auto"/>
          <w:kern w:val="0"/>
          <w:sz w:val="24"/>
          <w:szCs w:val="24"/>
        </w:rPr>
      </w:pPr>
      <w:r>
        <w:rPr>
          <w:rFonts w:hint="eastAsia" w:ascii="宋体" w:hAnsi="宋体" w:cs="宋体"/>
          <w:color w:val="auto"/>
          <w:kern w:val="0"/>
          <w:sz w:val="24"/>
          <w:szCs w:val="24"/>
        </w:rPr>
        <w:t>6、我方的磋商响应文件自递交截止之日起60个日历日内有效。</w:t>
      </w:r>
    </w:p>
    <w:p w14:paraId="2C9144D9">
      <w:pPr>
        <w:widowControl/>
        <w:spacing w:line="480" w:lineRule="auto"/>
        <w:ind w:firstLine="480" w:firstLineChars="200"/>
        <w:rPr>
          <w:rFonts w:hint="eastAsia" w:ascii="宋体" w:hAnsi="宋体" w:cs="宋体"/>
          <w:color w:val="auto"/>
          <w:kern w:val="0"/>
          <w:sz w:val="24"/>
          <w:szCs w:val="24"/>
        </w:rPr>
      </w:pPr>
      <w:r>
        <w:rPr>
          <w:rFonts w:hint="eastAsia" w:ascii="宋体" w:hAnsi="宋体" w:cs="宋体"/>
          <w:color w:val="auto"/>
          <w:kern w:val="0"/>
          <w:sz w:val="24"/>
          <w:szCs w:val="24"/>
        </w:rPr>
        <w:t>7、我方同意按文件要求，提交与递交磋商响应文件有关的数据和资料。</w:t>
      </w:r>
    </w:p>
    <w:p w14:paraId="425F37BF">
      <w:pPr>
        <w:widowControl/>
        <w:spacing w:line="480" w:lineRule="auto"/>
        <w:ind w:firstLine="480" w:firstLineChars="200"/>
        <w:rPr>
          <w:rFonts w:hint="eastAsia" w:ascii="宋体" w:hAnsi="宋体" w:cs="宋体"/>
          <w:color w:val="auto"/>
          <w:kern w:val="0"/>
          <w:sz w:val="24"/>
          <w:szCs w:val="24"/>
        </w:rPr>
      </w:pPr>
    </w:p>
    <w:p w14:paraId="16D546E1">
      <w:pPr>
        <w:widowControl/>
        <w:spacing w:line="360" w:lineRule="auto"/>
        <w:ind w:firstLine="480" w:firstLineChars="200"/>
        <w:rPr>
          <w:rFonts w:hint="eastAsia" w:ascii="宋体" w:hAnsi="宋体" w:cs="宋体"/>
          <w:color w:val="auto"/>
          <w:kern w:val="0"/>
          <w:sz w:val="24"/>
          <w:szCs w:val="24"/>
        </w:rPr>
      </w:pPr>
    </w:p>
    <w:p w14:paraId="07F0BF04">
      <w:pPr>
        <w:spacing w:line="48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供应商（盖章）：</w:t>
      </w:r>
    </w:p>
    <w:p w14:paraId="490D5588">
      <w:pPr>
        <w:spacing w:line="48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法人代表或委托代理人（签字或盖章）：</w:t>
      </w:r>
    </w:p>
    <w:p w14:paraId="406F4B76">
      <w:pPr>
        <w:spacing w:line="480" w:lineRule="auto"/>
        <w:ind w:firstLine="480" w:firstLineChars="200"/>
        <w:rPr>
          <w:rFonts w:hint="eastAsia" w:ascii="宋体" w:hAnsi="宋体" w:cs="宋体"/>
          <w:bCs/>
          <w:color w:val="auto"/>
          <w:sz w:val="24"/>
          <w:szCs w:val="24"/>
        </w:rPr>
      </w:pPr>
      <w:r>
        <w:rPr>
          <w:rFonts w:hint="eastAsia" w:ascii="宋体" w:hAnsi="宋体" w:cs="宋体"/>
          <w:color w:val="auto"/>
          <w:sz w:val="24"/>
          <w:szCs w:val="24"/>
        </w:rPr>
        <w:t>日期：</w:t>
      </w:r>
      <w:r>
        <w:rPr>
          <w:rFonts w:hint="eastAsia" w:ascii="宋体" w:hAnsi="宋体" w:cs="宋体"/>
          <w:color w:val="auto"/>
          <w:sz w:val="24"/>
          <w:szCs w:val="24"/>
          <w:u w:val="single"/>
        </w:rPr>
        <w:t xml:space="preserve">         </w:t>
      </w:r>
      <w:r>
        <w:rPr>
          <w:rFonts w:hint="eastAsia" w:ascii="宋体" w:hAnsi="宋体" w:cs="宋体"/>
          <w:color w:val="auto"/>
          <w:sz w:val="24"/>
          <w:szCs w:val="24"/>
        </w:rPr>
        <w:t>年</w:t>
      </w:r>
      <w:r>
        <w:rPr>
          <w:rFonts w:hint="eastAsia" w:ascii="宋体" w:hAnsi="宋体" w:cs="宋体"/>
          <w:color w:val="auto"/>
          <w:sz w:val="24"/>
          <w:szCs w:val="24"/>
          <w:u w:val="single"/>
        </w:rPr>
        <w:t xml:space="preserve">      </w:t>
      </w:r>
      <w:r>
        <w:rPr>
          <w:rFonts w:hint="eastAsia" w:ascii="宋体" w:hAnsi="宋体" w:cs="宋体"/>
          <w:color w:val="auto"/>
          <w:sz w:val="24"/>
          <w:szCs w:val="24"/>
        </w:rPr>
        <w:t>月</w:t>
      </w:r>
      <w:r>
        <w:rPr>
          <w:rFonts w:hint="eastAsia" w:ascii="宋体" w:hAnsi="宋体" w:cs="宋体"/>
          <w:color w:val="auto"/>
          <w:sz w:val="24"/>
          <w:szCs w:val="24"/>
          <w:u w:val="single"/>
        </w:rPr>
        <w:t xml:space="preserve">      </w:t>
      </w:r>
      <w:r>
        <w:rPr>
          <w:rFonts w:hint="eastAsia" w:ascii="宋体" w:hAnsi="宋体" w:cs="宋体"/>
          <w:color w:val="auto"/>
          <w:sz w:val="24"/>
          <w:szCs w:val="24"/>
        </w:rPr>
        <w:t>日</w:t>
      </w:r>
    </w:p>
    <w:p w14:paraId="1732DDD2">
      <w:pPr>
        <w:widowControl/>
        <w:jc w:val="left"/>
        <w:rPr>
          <w:rFonts w:ascii="宋体" w:hAnsi="宋体"/>
          <w:b/>
          <w:bCs/>
          <w:color w:val="auto"/>
          <w:sz w:val="24"/>
        </w:rPr>
      </w:pPr>
      <w:r>
        <w:rPr>
          <w:rFonts w:ascii="宋体" w:hAnsi="宋体"/>
          <w:color w:val="auto"/>
          <w:sz w:val="24"/>
        </w:rPr>
        <w:br w:type="page"/>
      </w:r>
    </w:p>
    <w:p w14:paraId="3ED43085">
      <w:pPr>
        <w:pStyle w:val="3"/>
        <w:spacing w:line="360" w:lineRule="auto"/>
        <w:jc w:val="center"/>
        <w:rPr>
          <w:rFonts w:ascii="宋体" w:hAnsi="宋体" w:eastAsia="宋体"/>
          <w:color w:val="auto"/>
          <w:sz w:val="24"/>
          <w:szCs w:val="24"/>
        </w:rPr>
      </w:pPr>
      <w:r>
        <w:rPr>
          <w:rFonts w:hint="eastAsia" w:ascii="宋体" w:hAnsi="宋体" w:eastAsia="宋体"/>
          <w:color w:val="auto"/>
          <w:sz w:val="24"/>
          <w:szCs w:val="24"/>
        </w:rPr>
        <w:t>二、法定代表人身份证明</w:t>
      </w:r>
    </w:p>
    <w:p w14:paraId="0864E8C8">
      <w:pPr>
        <w:spacing w:line="360" w:lineRule="auto"/>
        <w:rPr>
          <w:rFonts w:ascii="宋体" w:hAnsi="宋体"/>
          <w:color w:val="auto"/>
          <w:sz w:val="24"/>
        </w:rPr>
      </w:pPr>
      <w:r>
        <w:rPr>
          <w:rFonts w:hint="eastAsia" w:ascii="宋体" w:hAnsi="宋体"/>
          <w:color w:val="auto"/>
          <w:sz w:val="24"/>
        </w:rPr>
        <w:t>供应商名称：</w:t>
      </w:r>
      <w:r>
        <w:rPr>
          <w:rFonts w:hint="eastAsia" w:ascii="宋体" w:hAnsi="宋体"/>
          <w:color w:val="auto"/>
          <w:sz w:val="24"/>
          <w:u w:val="single"/>
        </w:rPr>
        <w:t xml:space="preserve">                                                       </w:t>
      </w:r>
      <w:r>
        <w:rPr>
          <w:rFonts w:hint="eastAsia" w:ascii="宋体" w:hAnsi="宋体"/>
          <w:color w:val="auto"/>
          <w:sz w:val="24"/>
        </w:rPr>
        <w:t xml:space="preserve"> </w:t>
      </w:r>
    </w:p>
    <w:p w14:paraId="4A5A3BA2">
      <w:pPr>
        <w:spacing w:line="360" w:lineRule="auto"/>
        <w:rPr>
          <w:rFonts w:ascii="宋体" w:hAnsi="宋体"/>
          <w:color w:val="auto"/>
          <w:sz w:val="24"/>
        </w:rPr>
      </w:pPr>
      <w:r>
        <w:rPr>
          <w:rFonts w:hint="eastAsia" w:ascii="宋体" w:hAnsi="宋体"/>
          <w:color w:val="auto"/>
          <w:sz w:val="24"/>
        </w:rPr>
        <w:t>单位性质：</w:t>
      </w:r>
      <w:r>
        <w:rPr>
          <w:rFonts w:hint="eastAsia" w:ascii="宋体" w:hAnsi="宋体"/>
          <w:color w:val="auto"/>
          <w:sz w:val="24"/>
          <w:u w:val="single"/>
        </w:rPr>
        <w:t xml:space="preserve">                                                        </w:t>
      </w:r>
    </w:p>
    <w:p w14:paraId="14E840DD">
      <w:pPr>
        <w:spacing w:line="360" w:lineRule="auto"/>
        <w:rPr>
          <w:rFonts w:ascii="宋体" w:hAnsi="宋体"/>
          <w:color w:val="auto"/>
          <w:sz w:val="24"/>
        </w:rPr>
      </w:pPr>
      <w:r>
        <w:rPr>
          <w:rFonts w:hint="eastAsia" w:ascii="宋体" w:hAnsi="宋体"/>
          <w:color w:val="auto"/>
          <w:sz w:val="24"/>
        </w:rPr>
        <w:t>地    址：</w:t>
      </w:r>
      <w:r>
        <w:rPr>
          <w:rFonts w:hint="eastAsia" w:ascii="宋体" w:hAnsi="宋体"/>
          <w:color w:val="auto"/>
          <w:sz w:val="24"/>
          <w:u w:val="single"/>
        </w:rPr>
        <w:t xml:space="preserve">                                                        </w:t>
      </w:r>
    </w:p>
    <w:p w14:paraId="41BE2733">
      <w:pPr>
        <w:spacing w:line="360" w:lineRule="auto"/>
        <w:rPr>
          <w:rFonts w:ascii="宋体" w:hAnsi="宋体"/>
          <w:color w:val="auto"/>
          <w:sz w:val="24"/>
        </w:rPr>
      </w:pPr>
      <w:r>
        <w:rPr>
          <w:rFonts w:hint="eastAsia" w:ascii="宋体" w:hAnsi="宋体"/>
          <w:color w:val="auto"/>
          <w:sz w:val="24"/>
        </w:rPr>
        <w:t>成立时间：</w:t>
      </w:r>
      <w:r>
        <w:rPr>
          <w:rFonts w:hint="eastAsia" w:ascii="宋体" w:hAnsi="宋体"/>
          <w:color w:val="auto"/>
          <w:sz w:val="24"/>
          <w:u w:val="single"/>
        </w:rPr>
        <w:t xml:space="preserve">                 </w:t>
      </w:r>
      <w:r>
        <w:rPr>
          <w:rFonts w:hint="eastAsia" w:ascii="宋体" w:hAnsi="宋体"/>
          <w:color w:val="auto"/>
          <w:sz w:val="24"/>
        </w:rPr>
        <w:t>年</w:t>
      </w:r>
      <w:r>
        <w:rPr>
          <w:rFonts w:hint="eastAsia" w:ascii="宋体" w:hAnsi="宋体"/>
          <w:color w:val="auto"/>
          <w:sz w:val="24"/>
          <w:u w:val="single"/>
        </w:rPr>
        <w:t xml:space="preserve">              </w:t>
      </w:r>
      <w:r>
        <w:rPr>
          <w:rFonts w:hint="eastAsia" w:ascii="宋体" w:hAnsi="宋体"/>
          <w:color w:val="auto"/>
          <w:sz w:val="24"/>
        </w:rPr>
        <w:t>月</w:t>
      </w:r>
      <w:r>
        <w:rPr>
          <w:rFonts w:hint="eastAsia" w:ascii="宋体" w:hAnsi="宋体"/>
          <w:color w:val="auto"/>
          <w:sz w:val="24"/>
          <w:u w:val="single"/>
        </w:rPr>
        <w:t xml:space="preserve">              </w:t>
      </w:r>
      <w:r>
        <w:rPr>
          <w:rFonts w:hint="eastAsia" w:ascii="宋体" w:hAnsi="宋体"/>
          <w:color w:val="auto"/>
          <w:sz w:val="24"/>
        </w:rPr>
        <w:t>日</w:t>
      </w:r>
    </w:p>
    <w:p w14:paraId="67BEAF4B">
      <w:pPr>
        <w:spacing w:line="360" w:lineRule="auto"/>
        <w:rPr>
          <w:rFonts w:ascii="宋体" w:hAnsi="宋体"/>
          <w:color w:val="auto"/>
          <w:sz w:val="24"/>
        </w:rPr>
      </w:pPr>
      <w:r>
        <w:rPr>
          <w:rFonts w:hint="eastAsia" w:ascii="宋体" w:hAnsi="宋体"/>
          <w:color w:val="auto"/>
          <w:sz w:val="24"/>
        </w:rPr>
        <w:t>经营期限：</w:t>
      </w:r>
      <w:r>
        <w:rPr>
          <w:rFonts w:hint="eastAsia" w:ascii="宋体" w:hAnsi="宋体"/>
          <w:color w:val="auto"/>
          <w:sz w:val="24"/>
          <w:u w:val="single"/>
        </w:rPr>
        <w:t xml:space="preserve">                                                        </w:t>
      </w:r>
    </w:p>
    <w:p w14:paraId="3E41DE3A">
      <w:pPr>
        <w:spacing w:line="360" w:lineRule="auto"/>
        <w:rPr>
          <w:rFonts w:ascii="宋体" w:hAnsi="宋体"/>
          <w:color w:val="auto"/>
          <w:sz w:val="24"/>
        </w:rPr>
      </w:pPr>
      <w:r>
        <w:rPr>
          <w:rFonts w:hint="eastAsia" w:ascii="宋体" w:hAnsi="宋体"/>
          <w:color w:val="auto"/>
          <w:sz w:val="24"/>
        </w:rPr>
        <w:t>姓    名：</w:t>
      </w:r>
      <w:r>
        <w:rPr>
          <w:rFonts w:hint="eastAsia" w:ascii="宋体" w:hAnsi="宋体"/>
          <w:color w:val="auto"/>
          <w:sz w:val="24"/>
          <w:u w:val="single"/>
        </w:rPr>
        <w:t xml:space="preserve">                          </w:t>
      </w:r>
      <w:r>
        <w:rPr>
          <w:rFonts w:hint="eastAsia" w:ascii="宋体" w:hAnsi="宋体"/>
          <w:color w:val="auto"/>
          <w:sz w:val="24"/>
        </w:rPr>
        <w:t>性        别：</w:t>
      </w:r>
      <w:r>
        <w:rPr>
          <w:rFonts w:hint="eastAsia" w:ascii="宋体" w:hAnsi="宋体"/>
          <w:color w:val="auto"/>
          <w:sz w:val="24"/>
          <w:u w:val="single"/>
        </w:rPr>
        <w:t xml:space="preserve">                </w:t>
      </w:r>
    </w:p>
    <w:p w14:paraId="71289AEF">
      <w:pPr>
        <w:spacing w:line="360" w:lineRule="auto"/>
        <w:rPr>
          <w:rFonts w:ascii="宋体" w:hAnsi="宋体"/>
          <w:color w:val="auto"/>
          <w:sz w:val="24"/>
          <w:u w:val="single"/>
        </w:rPr>
      </w:pPr>
      <w:r>
        <w:rPr>
          <w:rFonts w:hint="eastAsia" w:ascii="宋体" w:hAnsi="宋体"/>
          <w:color w:val="auto"/>
          <w:sz w:val="24"/>
        </w:rPr>
        <w:t>年    龄：</w:t>
      </w:r>
      <w:r>
        <w:rPr>
          <w:rFonts w:hint="eastAsia" w:ascii="宋体" w:hAnsi="宋体"/>
          <w:color w:val="auto"/>
          <w:sz w:val="24"/>
          <w:u w:val="single"/>
        </w:rPr>
        <w:t xml:space="preserve">                          </w:t>
      </w:r>
      <w:r>
        <w:rPr>
          <w:rFonts w:hint="eastAsia" w:ascii="宋体" w:hAnsi="宋体"/>
          <w:color w:val="auto"/>
          <w:sz w:val="24"/>
        </w:rPr>
        <w:t>职        务：</w:t>
      </w:r>
      <w:r>
        <w:rPr>
          <w:rFonts w:hint="eastAsia" w:ascii="宋体" w:hAnsi="宋体"/>
          <w:color w:val="auto"/>
          <w:sz w:val="24"/>
          <w:u w:val="single"/>
        </w:rPr>
        <w:t xml:space="preserve">                </w:t>
      </w:r>
    </w:p>
    <w:p w14:paraId="513D2E0D">
      <w:pPr>
        <w:spacing w:line="360" w:lineRule="auto"/>
        <w:rPr>
          <w:rFonts w:ascii="宋体" w:hAnsi="宋体"/>
          <w:color w:val="auto"/>
          <w:sz w:val="24"/>
        </w:rPr>
      </w:pPr>
      <w:r>
        <w:rPr>
          <w:rFonts w:hint="eastAsia" w:ascii="宋体" w:hAnsi="宋体"/>
          <w:color w:val="auto"/>
          <w:sz w:val="24"/>
        </w:rPr>
        <w:t>系</w:t>
      </w:r>
      <w:r>
        <w:rPr>
          <w:rFonts w:hint="eastAsia" w:ascii="宋体" w:hAnsi="宋体"/>
          <w:color w:val="auto"/>
          <w:sz w:val="24"/>
          <w:u w:val="single"/>
        </w:rPr>
        <w:t xml:space="preserve">                                     </w:t>
      </w:r>
      <w:r>
        <w:rPr>
          <w:rFonts w:hint="eastAsia" w:ascii="宋体" w:hAnsi="宋体"/>
          <w:color w:val="auto"/>
          <w:sz w:val="24"/>
        </w:rPr>
        <w:t>（供应商名称）的法定代表人。</w:t>
      </w:r>
    </w:p>
    <w:p w14:paraId="049FBC87">
      <w:pPr>
        <w:spacing w:line="360" w:lineRule="auto"/>
        <w:rPr>
          <w:rFonts w:ascii="宋体" w:hAnsi="宋体"/>
          <w:color w:val="auto"/>
          <w:sz w:val="24"/>
        </w:rPr>
      </w:pPr>
      <w:r>
        <w:rPr>
          <w:rFonts w:hint="eastAsia" w:ascii="宋体" w:hAnsi="宋体"/>
          <w:color w:val="auto"/>
          <w:sz w:val="24"/>
        </w:rPr>
        <w:t>特此证明。</w:t>
      </w:r>
    </w:p>
    <w:p w14:paraId="414A1863">
      <w:pPr>
        <w:spacing w:line="500" w:lineRule="exact"/>
        <w:jc w:val="left"/>
        <w:rPr>
          <w:rFonts w:ascii="宋体" w:hAnsi="宋体"/>
          <w:color w:val="auto"/>
          <w:sz w:val="24"/>
        </w:rPr>
      </w:pPr>
      <w:r>
        <w:rPr>
          <w:rFonts w:hint="eastAsia" w:ascii="宋体" w:hAnsi="宋体"/>
          <w:color w:val="auto"/>
          <w:sz w:val="24"/>
        </w:rPr>
        <w:t>附：法定代表人身份证明</w:t>
      </w:r>
    </w:p>
    <w:p w14:paraId="15379628">
      <w:pPr>
        <w:spacing w:line="500" w:lineRule="exact"/>
        <w:jc w:val="right"/>
        <w:rPr>
          <w:rFonts w:ascii="宋体" w:hAnsi="宋体"/>
          <w:color w:val="auto"/>
          <w:sz w:val="24"/>
        </w:rPr>
      </w:pPr>
    </w:p>
    <w:p w14:paraId="6871852D">
      <w:pPr>
        <w:pStyle w:val="10"/>
        <w:rPr>
          <w:rFonts w:ascii="宋体" w:hAnsi="宋体"/>
          <w:color w:val="auto"/>
          <w:sz w:val="24"/>
        </w:rPr>
      </w:pPr>
    </w:p>
    <w:p w14:paraId="41F0E0A0">
      <w:pPr>
        <w:rPr>
          <w:rFonts w:ascii="宋体" w:hAnsi="宋体"/>
          <w:color w:val="auto"/>
          <w:sz w:val="24"/>
        </w:rPr>
      </w:pPr>
    </w:p>
    <w:p w14:paraId="51BDD566">
      <w:pPr>
        <w:pStyle w:val="10"/>
        <w:rPr>
          <w:rFonts w:ascii="宋体" w:hAnsi="宋体"/>
          <w:color w:val="auto"/>
          <w:sz w:val="24"/>
        </w:rPr>
      </w:pPr>
    </w:p>
    <w:p w14:paraId="3B4843D8">
      <w:pPr>
        <w:rPr>
          <w:rFonts w:ascii="宋体" w:hAnsi="宋体"/>
          <w:color w:val="auto"/>
          <w:sz w:val="24"/>
        </w:rPr>
      </w:pPr>
    </w:p>
    <w:p w14:paraId="0675192D">
      <w:pPr>
        <w:pStyle w:val="10"/>
        <w:rPr>
          <w:color w:val="auto"/>
        </w:rPr>
      </w:pPr>
    </w:p>
    <w:p w14:paraId="463EE314">
      <w:pPr>
        <w:spacing w:line="500" w:lineRule="exact"/>
        <w:jc w:val="right"/>
        <w:rPr>
          <w:rFonts w:ascii="宋体" w:hAnsi="宋体"/>
          <w:color w:val="auto"/>
          <w:sz w:val="24"/>
        </w:rPr>
      </w:pPr>
      <w:r>
        <w:rPr>
          <w:rFonts w:hint="eastAsia" w:ascii="宋体" w:hAnsi="宋体"/>
          <w:color w:val="auto"/>
          <w:sz w:val="24"/>
        </w:rPr>
        <w:t>供应商</w:t>
      </w:r>
      <w:r>
        <w:rPr>
          <w:rFonts w:hint="eastAsia" w:ascii="宋体" w:hAnsi="宋体"/>
          <w:color w:val="auto"/>
          <w:sz w:val="24"/>
          <w:lang w:eastAsia="zh-CN"/>
        </w:rPr>
        <w:t>名称</w:t>
      </w:r>
      <w:r>
        <w:rPr>
          <w:rFonts w:hint="eastAsia" w:ascii="宋体" w:hAnsi="宋体"/>
          <w:color w:val="auto"/>
          <w:sz w:val="24"/>
        </w:rPr>
        <w:t>：</w:t>
      </w:r>
      <w:r>
        <w:rPr>
          <w:rFonts w:hint="eastAsia" w:ascii="宋体" w:hAnsi="宋体"/>
          <w:color w:val="auto"/>
          <w:sz w:val="24"/>
          <w:u w:val="single"/>
        </w:rPr>
        <w:t xml:space="preserve">          </w:t>
      </w:r>
      <w:r>
        <w:rPr>
          <w:rFonts w:ascii="宋体" w:hAnsi="宋体"/>
          <w:color w:val="auto"/>
          <w:sz w:val="24"/>
          <w:u w:val="single"/>
        </w:rPr>
        <w:t xml:space="preserve"> </w:t>
      </w:r>
      <w:r>
        <w:rPr>
          <w:rFonts w:hint="eastAsia" w:ascii="宋体" w:hAnsi="宋体"/>
          <w:color w:val="auto"/>
          <w:sz w:val="24"/>
          <w:u w:val="single"/>
        </w:rPr>
        <w:t xml:space="preserve">        </w:t>
      </w:r>
      <w:r>
        <w:rPr>
          <w:rFonts w:hint="eastAsia" w:ascii="宋体" w:hAnsi="宋体"/>
          <w:color w:val="auto"/>
          <w:sz w:val="24"/>
        </w:rPr>
        <w:t>（盖单位章）</w:t>
      </w:r>
    </w:p>
    <w:p w14:paraId="501ECCB2">
      <w:pPr>
        <w:widowControl/>
        <w:jc w:val="right"/>
        <w:rPr>
          <w:rFonts w:ascii="宋体" w:hAnsi="宋体"/>
          <w:color w:val="auto"/>
          <w:sz w:val="24"/>
        </w:rPr>
      </w:pPr>
      <w:r>
        <w:rPr>
          <w:rFonts w:hint="eastAsia" w:ascii="宋体" w:hAnsi="宋体"/>
          <w:color w:val="auto"/>
          <w:sz w:val="24"/>
        </w:rPr>
        <w:t xml:space="preserve">         </w:t>
      </w:r>
    </w:p>
    <w:p w14:paraId="0D8E91B9">
      <w:pPr>
        <w:widowControl/>
        <w:jc w:val="right"/>
        <w:rPr>
          <w:rFonts w:ascii="宋体" w:hAnsi="宋体"/>
          <w:color w:val="auto"/>
          <w:sz w:val="24"/>
        </w:rPr>
      </w:pPr>
      <w:r>
        <w:rPr>
          <w:rFonts w:hint="eastAsia" w:ascii="宋体" w:hAnsi="宋体"/>
          <w:color w:val="auto"/>
          <w:sz w:val="24"/>
        </w:rPr>
        <w:t xml:space="preserve">年        月       日  </w:t>
      </w:r>
    </w:p>
    <w:p w14:paraId="0E0CE39C">
      <w:pPr>
        <w:spacing w:line="360" w:lineRule="auto"/>
        <w:jc w:val="right"/>
        <w:rPr>
          <w:rFonts w:ascii="宋体" w:hAnsi="宋体"/>
          <w:color w:val="auto"/>
          <w:sz w:val="24"/>
        </w:rPr>
      </w:pPr>
    </w:p>
    <w:p w14:paraId="01C9F247">
      <w:pPr>
        <w:wordWrap w:val="0"/>
        <w:spacing w:line="500" w:lineRule="exact"/>
        <w:jc w:val="right"/>
        <w:rPr>
          <w:rFonts w:ascii="宋体" w:hAnsi="宋体" w:cs="黑体"/>
          <w:b/>
          <w:color w:val="auto"/>
          <w:kern w:val="0"/>
          <w:sz w:val="24"/>
        </w:rPr>
      </w:pPr>
      <w:r>
        <w:rPr>
          <w:rFonts w:ascii="宋体" w:hAnsi="宋体" w:cs="黑体"/>
          <w:b/>
          <w:color w:val="auto"/>
          <w:kern w:val="0"/>
          <w:sz w:val="24"/>
        </w:rPr>
        <w:br w:type="page"/>
      </w:r>
    </w:p>
    <w:p w14:paraId="32F31E90">
      <w:pPr>
        <w:widowControl/>
        <w:shd w:val="clear" w:color="auto" w:fill="FFFFFF"/>
        <w:spacing w:line="360" w:lineRule="auto"/>
        <w:ind w:firstLine="480"/>
        <w:jc w:val="center"/>
        <w:rPr>
          <w:rFonts w:ascii="宋体" w:hAnsi="宋体" w:cs="黑体"/>
          <w:b/>
          <w:color w:val="auto"/>
          <w:kern w:val="0"/>
          <w:sz w:val="24"/>
        </w:rPr>
      </w:pPr>
      <w:r>
        <w:rPr>
          <w:rFonts w:hint="eastAsia" w:ascii="宋体" w:hAnsi="宋体" w:cs="黑体"/>
          <w:b/>
          <w:color w:val="auto"/>
          <w:kern w:val="0"/>
          <w:sz w:val="24"/>
        </w:rPr>
        <w:t>授权委托人身份证明及法定代表人授权委托书</w:t>
      </w:r>
    </w:p>
    <w:p w14:paraId="38B67609">
      <w:pPr>
        <w:tabs>
          <w:tab w:val="left" w:pos="0"/>
          <w:tab w:val="left" w:pos="720"/>
          <w:tab w:val="left" w:pos="1440"/>
          <w:tab w:val="left" w:pos="2160"/>
          <w:tab w:val="left" w:pos="2880"/>
          <w:tab w:val="left" w:pos="3600"/>
          <w:tab w:val="left" w:pos="4320"/>
        </w:tabs>
        <w:autoSpaceDE w:val="0"/>
        <w:autoSpaceDN w:val="0"/>
        <w:snapToGrid w:val="0"/>
        <w:spacing w:line="360" w:lineRule="auto"/>
        <w:ind w:firstLine="645"/>
        <w:rPr>
          <w:rFonts w:ascii="宋体" w:hAnsi="宋体"/>
          <w:color w:val="auto"/>
          <w:sz w:val="24"/>
        </w:rPr>
      </w:pPr>
    </w:p>
    <w:p w14:paraId="0A3100EB">
      <w:pPr>
        <w:widowControl/>
        <w:spacing w:line="360" w:lineRule="auto"/>
        <w:ind w:left="315" w:leftChars="150" w:firstLine="120" w:firstLineChars="50"/>
        <w:rPr>
          <w:rFonts w:ascii="宋体" w:hAnsi="宋体" w:cs="宋体"/>
          <w:color w:val="auto"/>
          <w:kern w:val="0"/>
          <w:sz w:val="24"/>
        </w:rPr>
      </w:pPr>
      <w:r>
        <w:rPr>
          <w:rFonts w:hint="eastAsia" w:ascii="宋体" w:hAnsi="宋体" w:cs="宋体"/>
          <w:color w:val="auto"/>
          <w:kern w:val="0"/>
          <w:sz w:val="24"/>
          <w:u w:val="single"/>
        </w:rPr>
        <w:t xml:space="preserve">                    </w:t>
      </w:r>
      <w:r>
        <w:rPr>
          <w:rFonts w:hint="eastAsia" w:ascii="宋体" w:hAnsi="宋体" w:cs="宋体"/>
          <w:color w:val="auto"/>
          <w:kern w:val="0"/>
          <w:sz w:val="24"/>
        </w:rPr>
        <w:t>（供应商名称）法定代表人</w:t>
      </w:r>
      <w:r>
        <w:rPr>
          <w:rFonts w:hint="eastAsia" w:ascii="宋体" w:hAnsi="宋体" w:cs="宋体"/>
          <w:color w:val="auto"/>
          <w:kern w:val="0"/>
          <w:sz w:val="24"/>
          <w:u w:val="single"/>
        </w:rPr>
        <w:t xml:space="preserve">            </w:t>
      </w:r>
      <w:r>
        <w:rPr>
          <w:rFonts w:hint="eastAsia" w:ascii="宋体" w:hAnsi="宋体" w:cs="宋体"/>
          <w:color w:val="auto"/>
          <w:kern w:val="0"/>
          <w:sz w:val="24"/>
        </w:rPr>
        <w:t>，现授权委托</w:t>
      </w:r>
      <w:r>
        <w:rPr>
          <w:rFonts w:hint="eastAsia" w:ascii="宋体" w:hAnsi="宋体" w:cs="宋体"/>
          <w:color w:val="auto"/>
          <w:kern w:val="0"/>
          <w:sz w:val="24"/>
          <w:u w:val="single"/>
        </w:rPr>
        <w:t xml:space="preserve">                  (单位名称）   </w:t>
      </w:r>
      <w:r>
        <w:rPr>
          <w:rFonts w:hint="eastAsia" w:ascii="宋体" w:hAnsi="宋体" w:cs="宋体"/>
          <w:color w:val="auto"/>
          <w:kern w:val="0"/>
          <w:sz w:val="24"/>
        </w:rPr>
        <w:t xml:space="preserve">的 </w:t>
      </w:r>
      <w:r>
        <w:rPr>
          <w:rFonts w:hint="eastAsia" w:ascii="宋体" w:hAnsi="宋体" w:cs="宋体"/>
          <w:color w:val="auto"/>
          <w:kern w:val="0"/>
          <w:sz w:val="24"/>
          <w:u w:val="single"/>
        </w:rPr>
        <w:t xml:space="preserve">             </w:t>
      </w:r>
      <w:r>
        <w:rPr>
          <w:rFonts w:hint="eastAsia" w:ascii="宋体" w:hAnsi="宋体" w:cs="宋体"/>
          <w:color w:val="auto"/>
          <w:kern w:val="0"/>
          <w:sz w:val="24"/>
        </w:rPr>
        <w:t>（姓名、职务或职称）为我单位本次项目的全权代表，以本公司的名义参加</w:t>
      </w:r>
      <w:r>
        <w:rPr>
          <w:rFonts w:hint="eastAsia" w:ascii="宋体" w:hAnsi="宋体" w:cs="宋体"/>
          <w:color w:val="auto"/>
          <w:kern w:val="0"/>
          <w:sz w:val="24"/>
          <w:u w:val="single"/>
        </w:rPr>
        <w:t xml:space="preserve">         </w:t>
      </w:r>
      <w:r>
        <w:rPr>
          <w:rFonts w:hint="eastAsia" w:ascii="宋体" w:hAnsi="宋体" w:cs="宋体"/>
          <w:color w:val="auto"/>
          <w:kern w:val="0"/>
          <w:sz w:val="24"/>
        </w:rPr>
        <w:t>项目竞争性磋商，全权处理磋商过程中所签署的一切文件和有关的一切事务。</w:t>
      </w:r>
    </w:p>
    <w:p w14:paraId="52389754">
      <w:pPr>
        <w:tabs>
          <w:tab w:val="left" w:pos="0"/>
          <w:tab w:val="left" w:pos="720"/>
          <w:tab w:val="left" w:pos="1440"/>
          <w:tab w:val="left" w:pos="2160"/>
          <w:tab w:val="left" w:pos="2880"/>
          <w:tab w:val="left" w:pos="3600"/>
          <w:tab w:val="left" w:pos="4320"/>
        </w:tabs>
        <w:autoSpaceDE w:val="0"/>
        <w:autoSpaceDN w:val="0"/>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特此授权。</w:t>
      </w:r>
    </w:p>
    <w:p w14:paraId="3E22270C">
      <w:pPr>
        <w:spacing w:line="560" w:lineRule="exact"/>
        <w:ind w:firstLine="480" w:firstLineChars="200"/>
        <w:rPr>
          <w:rFonts w:hint="eastAsia" w:ascii="宋体" w:hAnsi="宋体"/>
          <w:color w:val="auto"/>
          <w:sz w:val="24"/>
        </w:rPr>
      </w:pPr>
      <w:r>
        <w:rPr>
          <w:rFonts w:hint="eastAsia" w:ascii="宋体" w:hAnsi="宋体"/>
          <w:color w:val="auto"/>
          <w:sz w:val="24"/>
        </w:rPr>
        <w:t>附：授权委托人身份证明</w:t>
      </w:r>
    </w:p>
    <w:p w14:paraId="7584717D">
      <w:pPr>
        <w:pStyle w:val="10"/>
        <w:rPr>
          <w:rFonts w:hint="eastAsia" w:ascii="宋体" w:hAnsi="宋体"/>
          <w:color w:val="auto"/>
          <w:sz w:val="24"/>
        </w:rPr>
      </w:pPr>
    </w:p>
    <w:p w14:paraId="0BEB8A57">
      <w:pPr>
        <w:rPr>
          <w:rFonts w:hint="eastAsia" w:ascii="宋体" w:hAnsi="宋体"/>
          <w:color w:val="auto"/>
          <w:sz w:val="24"/>
        </w:rPr>
      </w:pPr>
    </w:p>
    <w:p w14:paraId="249B9855">
      <w:pPr>
        <w:pStyle w:val="10"/>
        <w:rPr>
          <w:color w:val="auto"/>
        </w:rPr>
      </w:pPr>
    </w:p>
    <w:p w14:paraId="0DA29ABA">
      <w:pPr>
        <w:rPr>
          <w:color w:val="auto"/>
        </w:rPr>
      </w:pPr>
    </w:p>
    <w:p w14:paraId="6F8C9937">
      <w:pPr>
        <w:pStyle w:val="10"/>
        <w:rPr>
          <w:color w:val="auto"/>
        </w:rPr>
      </w:pPr>
    </w:p>
    <w:p w14:paraId="651D1514">
      <w:pPr>
        <w:rPr>
          <w:color w:val="auto"/>
        </w:rPr>
      </w:pPr>
    </w:p>
    <w:p w14:paraId="779CD84C">
      <w:pPr>
        <w:pStyle w:val="10"/>
        <w:rPr>
          <w:color w:val="auto"/>
        </w:rPr>
      </w:pPr>
    </w:p>
    <w:p w14:paraId="780D01F3">
      <w:pPr>
        <w:rPr>
          <w:color w:val="auto"/>
        </w:rPr>
      </w:pPr>
    </w:p>
    <w:p w14:paraId="3CFE923D">
      <w:pPr>
        <w:spacing w:line="560" w:lineRule="exact"/>
        <w:rPr>
          <w:rFonts w:ascii="宋体" w:hAnsi="宋体"/>
          <w:color w:val="auto"/>
          <w:sz w:val="24"/>
        </w:rPr>
      </w:pPr>
    </w:p>
    <w:p w14:paraId="4B4DC22D">
      <w:pPr>
        <w:spacing w:line="400" w:lineRule="exact"/>
        <w:ind w:firstLine="3960" w:firstLineChars="1650"/>
        <w:jc w:val="left"/>
        <w:rPr>
          <w:rFonts w:ascii="宋体" w:hAnsi="宋体" w:cs="宋体"/>
          <w:color w:val="auto"/>
          <w:sz w:val="24"/>
        </w:rPr>
      </w:pPr>
      <w:r>
        <w:rPr>
          <w:rFonts w:hint="eastAsia" w:ascii="宋体" w:hAnsi="宋体" w:cs="宋体"/>
          <w:color w:val="auto"/>
          <w:sz w:val="24"/>
        </w:rPr>
        <w:t>供应商</w:t>
      </w:r>
      <w:r>
        <w:rPr>
          <w:rFonts w:hint="eastAsia" w:ascii="宋体" w:hAnsi="宋体" w:cs="宋体"/>
          <w:color w:val="auto"/>
          <w:sz w:val="24"/>
          <w:lang w:eastAsia="zh-CN"/>
        </w:rPr>
        <w:t>名称</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sz w:val="24"/>
        </w:rPr>
        <w:t>（盖单位章）</w:t>
      </w:r>
    </w:p>
    <w:p w14:paraId="7BFD7EC7">
      <w:pPr>
        <w:spacing w:line="400" w:lineRule="exact"/>
        <w:ind w:firstLine="4080" w:firstLineChars="1700"/>
        <w:jc w:val="left"/>
        <w:rPr>
          <w:rFonts w:ascii="宋体" w:hAnsi="宋体" w:cs="宋体"/>
          <w:color w:val="auto"/>
          <w:sz w:val="24"/>
        </w:rPr>
      </w:pPr>
    </w:p>
    <w:p w14:paraId="5E411C4A">
      <w:pPr>
        <w:spacing w:line="400" w:lineRule="exact"/>
        <w:ind w:firstLine="3960" w:firstLineChars="1650"/>
        <w:jc w:val="left"/>
        <w:rPr>
          <w:rFonts w:ascii="宋体" w:hAnsi="宋体" w:cs="宋体"/>
          <w:color w:val="auto"/>
          <w:sz w:val="24"/>
        </w:rPr>
      </w:pPr>
      <w:r>
        <w:rPr>
          <w:rFonts w:hint="eastAsia" w:ascii="宋体" w:hAnsi="宋体" w:cs="宋体"/>
          <w:color w:val="auto"/>
          <w:sz w:val="24"/>
        </w:rPr>
        <w:t>法定代表人：</w:t>
      </w:r>
      <w:r>
        <w:rPr>
          <w:rFonts w:hint="eastAsia" w:ascii="宋体" w:hAnsi="宋体" w:cs="宋体"/>
          <w:color w:val="auto"/>
          <w:sz w:val="24"/>
          <w:u w:val="single"/>
        </w:rPr>
        <w:t xml:space="preserve">                         </w:t>
      </w:r>
      <w:r>
        <w:rPr>
          <w:rFonts w:hint="eastAsia" w:ascii="宋体" w:hAnsi="宋体" w:cs="宋体"/>
          <w:color w:val="auto"/>
          <w:sz w:val="24"/>
        </w:rPr>
        <w:t>（签字或盖章）</w:t>
      </w:r>
    </w:p>
    <w:p w14:paraId="4C48453C">
      <w:pPr>
        <w:spacing w:line="400" w:lineRule="exact"/>
        <w:ind w:firstLine="4080" w:firstLineChars="1700"/>
        <w:jc w:val="left"/>
        <w:rPr>
          <w:rFonts w:ascii="宋体" w:hAnsi="宋体" w:cs="宋体"/>
          <w:color w:val="auto"/>
          <w:sz w:val="24"/>
        </w:rPr>
      </w:pPr>
    </w:p>
    <w:p w14:paraId="42760EA5">
      <w:pPr>
        <w:spacing w:line="400" w:lineRule="exact"/>
        <w:ind w:firstLine="3960" w:firstLineChars="1650"/>
        <w:jc w:val="left"/>
        <w:rPr>
          <w:rFonts w:ascii="宋体" w:hAnsi="宋体" w:cs="宋体"/>
          <w:color w:val="auto"/>
          <w:sz w:val="24"/>
        </w:rPr>
      </w:pPr>
      <w:r>
        <w:rPr>
          <w:rFonts w:hint="eastAsia" w:ascii="宋体" w:hAnsi="宋体" w:cs="宋体"/>
          <w:color w:val="auto"/>
          <w:sz w:val="24"/>
        </w:rPr>
        <w:t>委托代理人：</w:t>
      </w:r>
      <w:r>
        <w:rPr>
          <w:rFonts w:hint="eastAsia" w:ascii="宋体" w:hAnsi="宋体" w:cs="宋体"/>
          <w:color w:val="auto"/>
          <w:sz w:val="24"/>
          <w:u w:val="single"/>
        </w:rPr>
        <w:t xml:space="preserve">                        </w:t>
      </w:r>
      <w:r>
        <w:rPr>
          <w:rFonts w:hint="eastAsia" w:ascii="宋体" w:hAnsi="宋体" w:cs="宋体"/>
          <w:color w:val="auto"/>
          <w:sz w:val="24"/>
        </w:rPr>
        <w:t>（签字或盖章）</w:t>
      </w:r>
    </w:p>
    <w:p w14:paraId="152A40BB">
      <w:pPr>
        <w:spacing w:line="400" w:lineRule="exact"/>
        <w:ind w:firstLine="4080" w:firstLineChars="1700"/>
        <w:jc w:val="left"/>
        <w:rPr>
          <w:rFonts w:ascii="宋体" w:hAnsi="宋体" w:cs="宋体"/>
          <w:color w:val="auto"/>
          <w:sz w:val="24"/>
        </w:rPr>
      </w:pPr>
    </w:p>
    <w:p w14:paraId="52D32FF3">
      <w:pPr>
        <w:spacing w:line="400" w:lineRule="exact"/>
        <w:ind w:firstLine="6000" w:firstLineChars="2500"/>
        <w:jc w:val="left"/>
        <w:rPr>
          <w:rFonts w:ascii="宋体" w:hAnsi="宋体" w:cs="宋体"/>
          <w:color w:val="auto"/>
          <w:sz w:val="24"/>
        </w:rPr>
      </w:pP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06DB4E48">
      <w:pPr>
        <w:tabs>
          <w:tab w:val="left" w:pos="0"/>
          <w:tab w:val="left" w:pos="720"/>
          <w:tab w:val="left" w:pos="1440"/>
          <w:tab w:val="left" w:pos="2160"/>
          <w:tab w:val="left" w:pos="2880"/>
          <w:tab w:val="left" w:pos="3600"/>
          <w:tab w:val="left" w:pos="4320"/>
        </w:tabs>
        <w:autoSpaceDE w:val="0"/>
        <w:autoSpaceDN w:val="0"/>
        <w:snapToGrid w:val="0"/>
        <w:spacing w:line="360" w:lineRule="auto"/>
        <w:rPr>
          <w:rFonts w:ascii="宋体" w:hAnsi="宋体"/>
          <w:color w:val="auto"/>
          <w:sz w:val="24"/>
        </w:rPr>
      </w:pPr>
    </w:p>
    <w:p w14:paraId="24FD3161">
      <w:pPr>
        <w:pStyle w:val="10"/>
        <w:tabs>
          <w:tab w:val="left" w:pos="0"/>
          <w:tab w:val="left" w:pos="720"/>
          <w:tab w:val="left" w:pos="1440"/>
          <w:tab w:val="left" w:pos="2160"/>
          <w:tab w:val="left" w:pos="2880"/>
          <w:tab w:val="left" w:pos="3600"/>
          <w:tab w:val="left" w:pos="4320"/>
        </w:tabs>
        <w:autoSpaceDE w:val="0"/>
        <w:autoSpaceDN w:val="0"/>
        <w:adjustRightInd w:val="0"/>
        <w:spacing w:before="0" w:line="360" w:lineRule="auto"/>
        <w:jc w:val="center"/>
        <w:rPr>
          <w:rFonts w:ascii="宋体" w:hAnsi="宋体"/>
          <w:b/>
          <w:bCs/>
          <w:color w:val="auto"/>
        </w:rPr>
      </w:pPr>
      <w:r>
        <w:rPr>
          <w:rFonts w:ascii="宋体" w:hAnsi="宋体"/>
          <w:color w:val="auto"/>
          <w:szCs w:val="24"/>
        </w:rPr>
        <w:br w:type="page"/>
      </w:r>
      <w:r>
        <w:rPr>
          <w:rFonts w:hint="eastAsia" w:ascii="宋体" w:hAnsi="宋体"/>
          <w:b/>
          <w:bCs/>
          <w:color w:val="auto"/>
        </w:rPr>
        <w:t>三、初次报价表</w:t>
      </w:r>
    </w:p>
    <w:p w14:paraId="48DE3DBD">
      <w:pPr>
        <w:spacing w:line="360" w:lineRule="auto"/>
        <w:ind w:left="206" w:right="555"/>
        <w:jc w:val="right"/>
        <w:rPr>
          <w:rFonts w:ascii="宋体" w:hAnsi="宋体"/>
          <w:color w:val="auto"/>
          <w:sz w:val="24"/>
        </w:rPr>
      </w:pPr>
      <w:r>
        <w:rPr>
          <w:rFonts w:hint="eastAsia" w:ascii="宋体" w:hAnsi="宋体"/>
          <w:color w:val="auto"/>
          <w:sz w:val="24"/>
        </w:rPr>
        <w:t>货币单位：元</w:t>
      </w:r>
    </w:p>
    <w:tbl>
      <w:tblPr>
        <w:tblStyle w:val="39"/>
        <w:tblW w:w="95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04"/>
        <w:gridCol w:w="6715"/>
      </w:tblGrid>
      <w:tr w14:paraId="7BD56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2804" w:type="dxa"/>
            <w:vAlign w:val="center"/>
          </w:tcPr>
          <w:p w14:paraId="0F951E7A">
            <w:pPr>
              <w:spacing w:line="360" w:lineRule="auto"/>
              <w:jc w:val="center"/>
              <w:rPr>
                <w:rFonts w:ascii="宋体" w:hAnsi="宋体"/>
                <w:color w:val="auto"/>
                <w:sz w:val="24"/>
              </w:rPr>
            </w:pPr>
            <w:r>
              <w:rPr>
                <w:rFonts w:hint="eastAsia" w:ascii="宋体" w:hAnsi="宋体"/>
                <w:color w:val="auto"/>
                <w:sz w:val="24"/>
              </w:rPr>
              <w:t>响应方（供应商名称）</w:t>
            </w:r>
          </w:p>
        </w:tc>
        <w:tc>
          <w:tcPr>
            <w:tcW w:w="6715" w:type="dxa"/>
            <w:vAlign w:val="center"/>
          </w:tcPr>
          <w:p w14:paraId="511F2B3B">
            <w:pPr>
              <w:spacing w:line="360" w:lineRule="auto"/>
              <w:jc w:val="center"/>
              <w:rPr>
                <w:rFonts w:ascii="宋体" w:hAnsi="宋体"/>
                <w:color w:val="auto"/>
                <w:sz w:val="24"/>
              </w:rPr>
            </w:pPr>
          </w:p>
        </w:tc>
      </w:tr>
      <w:tr w14:paraId="2C3BD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2804" w:type="dxa"/>
            <w:vAlign w:val="center"/>
          </w:tcPr>
          <w:p w14:paraId="7E58A5D8">
            <w:pPr>
              <w:spacing w:line="360" w:lineRule="auto"/>
              <w:jc w:val="center"/>
              <w:rPr>
                <w:rFonts w:ascii="宋体" w:hAnsi="宋体"/>
                <w:color w:val="auto"/>
                <w:sz w:val="24"/>
              </w:rPr>
            </w:pPr>
            <w:r>
              <w:rPr>
                <w:rFonts w:hint="eastAsia" w:ascii="宋体" w:hAnsi="宋体"/>
                <w:color w:val="auto"/>
                <w:sz w:val="24"/>
              </w:rPr>
              <w:t>项目名称</w:t>
            </w:r>
          </w:p>
        </w:tc>
        <w:tc>
          <w:tcPr>
            <w:tcW w:w="6715" w:type="dxa"/>
            <w:vAlign w:val="center"/>
          </w:tcPr>
          <w:p w14:paraId="3216C260">
            <w:pPr>
              <w:spacing w:line="360" w:lineRule="auto"/>
              <w:jc w:val="center"/>
              <w:rPr>
                <w:rFonts w:ascii="宋体" w:hAnsi="宋体"/>
                <w:color w:val="auto"/>
                <w:sz w:val="24"/>
              </w:rPr>
            </w:pPr>
          </w:p>
        </w:tc>
      </w:tr>
      <w:tr w14:paraId="0883B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8" w:hRule="atLeast"/>
          <w:jc w:val="center"/>
        </w:trPr>
        <w:tc>
          <w:tcPr>
            <w:tcW w:w="2804" w:type="dxa"/>
            <w:vAlign w:val="center"/>
          </w:tcPr>
          <w:p w14:paraId="784E1685">
            <w:pPr>
              <w:spacing w:line="360" w:lineRule="auto"/>
              <w:jc w:val="center"/>
              <w:rPr>
                <w:rFonts w:ascii="宋体" w:hAnsi="宋体"/>
                <w:color w:val="auto"/>
                <w:sz w:val="24"/>
              </w:rPr>
            </w:pPr>
            <w:r>
              <w:rPr>
                <w:rFonts w:hint="eastAsia" w:ascii="宋体" w:hAnsi="宋体"/>
                <w:color w:val="auto"/>
                <w:sz w:val="24"/>
              </w:rPr>
              <w:t>初次报价</w:t>
            </w:r>
            <w:r>
              <w:rPr>
                <w:rFonts w:ascii="宋体" w:hAnsi="宋体"/>
                <w:color w:val="auto"/>
                <w:sz w:val="24"/>
              </w:rPr>
              <w:t xml:space="preserve">       </w:t>
            </w:r>
          </w:p>
        </w:tc>
        <w:tc>
          <w:tcPr>
            <w:tcW w:w="6715" w:type="dxa"/>
            <w:vAlign w:val="center"/>
          </w:tcPr>
          <w:p w14:paraId="794B5989">
            <w:pPr>
              <w:spacing w:line="360" w:lineRule="auto"/>
              <w:ind w:firstLine="480" w:firstLineChars="200"/>
              <w:jc w:val="both"/>
              <w:rPr>
                <w:rFonts w:hint="eastAsia" w:ascii="宋体" w:hAnsi="宋体"/>
                <w:color w:val="auto"/>
                <w:sz w:val="24"/>
                <w:lang w:eastAsia="zh-CN"/>
              </w:rPr>
            </w:pPr>
            <w:r>
              <w:rPr>
                <w:rFonts w:hint="eastAsia" w:ascii="宋体" w:hAnsi="宋体"/>
                <w:color w:val="auto"/>
                <w:sz w:val="24"/>
                <w:lang w:eastAsia="zh-CN"/>
              </w:rPr>
              <w:t>大写：</w:t>
            </w:r>
          </w:p>
          <w:p w14:paraId="6B108067">
            <w:pPr>
              <w:spacing w:line="360" w:lineRule="auto"/>
              <w:ind w:firstLine="480" w:firstLineChars="200"/>
              <w:jc w:val="both"/>
              <w:rPr>
                <w:rFonts w:hint="eastAsia" w:ascii="宋体" w:hAnsi="宋体"/>
                <w:color w:val="auto"/>
                <w:sz w:val="24"/>
                <w:lang w:eastAsia="zh-CN"/>
              </w:rPr>
            </w:pPr>
            <w:r>
              <w:rPr>
                <w:rFonts w:hint="eastAsia" w:ascii="宋体" w:hAnsi="宋体"/>
                <w:color w:val="auto"/>
                <w:sz w:val="24"/>
                <w:lang w:eastAsia="zh-CN"/>
              </w:rPr>
              <w:t>小写：</w:t>
            </w:r>
          </w:p>
          <w:p w14:paraId="6497D077">
            <w:pPr>
              <w:spacing w:line="360" w:lineRule="auto"/>
              <w:ind w:firstLine="480" w:firstLineChars="200"/>
              <w:jc w:val="both"/>
              <w:rPr>
                <w:rFonts w:hint="default" w:ascii="宋体" w:hAnsi="宋体"/>
                <w:color w:val="auto"/>
                <w:sz w:val="24"/>
                <w:lang w:val="en-US" w:eastAsia="zh-CN"/>
              </w:rPr>
            </w:pPr>
            <w:r>
              <w:rPr>
                <w:rFonts w:hint="eastAsia" w:ascii="宋体" w:hAnsi="宋体"/>
                <w:color w:val="auto"/>
                <w:sz w:val="24"/>
                <w:lang w:eastAsia="zh-CN"/>
              </w:rPr>
              <w:t>其中：施工报价</w:t>
            </w:r>
            <w:r>
              <w:rPr>
                <w:rFonts w:hint="eastAsia" w:ascii="宋体" w:hAnsi="宋体"/>
                <w:color w:val="auto"/>
                <w:sz w:val="24"/>
                <w:lang w:val="en-US" w:eastAsia="zh-CN"/>
              </w:rPr>
              <w:t xml:space="preserve">    元；热力机组设备报价    元。</w:t>
            </w:r>
          </w:p>
        </w:tc>
      </w:tr>
      <w:tr w14:paraId="3C7C1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jc w:val="center"/>
        </w:trPr>
        <w:tc>
          <w:tcPr>
            <w:tcW w:w="2804" w:type="dxa"/>
            <w:vAlign w:val="center"/>
          </w:tcPr>
          <w:p w14:paraId="25BA0001">
            <w:pPr>
              <w:spacing w:line="360" w:lineRule="auto"/>
              <w:jc w:val="center"/>
              <w:rPr>
                <w:rFonts w:ascii="宋体" w:hAnsi="宋体"/>
                <w:color w:val="auto"/>
                <w:sz w:val="24"/>
              </w:rPr>
            </w:pPr>
            <w:r>
              <w:rPr>
                <w:rFonts w:hint="eastAsia" w:ascii="宋体" w:hAnsi="宋体"/>
                <w:color w:val="auto"/>
                <w:w w:val="110"/>
                <w:sz w:val="24"/>
              </w:rPr>
              <w:t>工期（日历日）</w:t>
            </w:r>
          </w:p>
        </w:tc>
        <w:tc>
          <w:tcPr>
            <w:tcW w:w="6715" w:type="dxa"/>
            <w:vAlign w:val="center"/>
          </w:tcPr>
          <w:p w14:paraId="4CADF70B">
            <w:pPr>
              <w:spacing w:line="360" w:lineRule="auto"/>
              <w:jc w:val="center"/>
              <w:rPr>
                <w:rFonts w:ascii="宋体" w:hAnsi="宋体"/>
                <w:color w:val="auto"/>
                <w:sz w:val="24"/>
              </w:rPr>
            </w:pPr>
          </w:p>
        </w:tc>
      </w:tr>
      <w:tr w14:paraId="7548C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2804" w:type="dxa"/>
            <w:vAlign w:val="center"/>
          </w:tcPr>
          <w:p w14:paraId="2A044E08">
            <w:pPr>
              <w:spacing w:line="360" w:lineRule="auto"/>
              <w:jc w:val="center"/>
              <w:rPr>
                <w:rFonts w:ascii="宋体" w:hAnsi="宋体"/>
                <w:color w:val="auto"/>
                <w:w w:val="110"/>
                <w:sz w:val="24"/>
                <w:szCs w:val="24"/>
              </w:rPr>
            </w:pPr>
            <w:r>
              <w:rPr>
                <w:rFonts w:hint="eastAsia" w:ascii="宋体" w:hAnsi="宋体"/>
                <w:color w:val="auto"/>
                <w:w w:val="110"/>
                <w:sz w:val="24"/>
                <w:szCs w:val="24"/>
              </w:rPr>
              <w:t>质量标准</w:t>
            </w:r>
          </w:p>
        </w:tc>
        <w:tc>
          <w:tcPr>
            <w:tcW w:w="6715" w:type="dxa"/>
            <w:vAlign w:val="center"/>
          </w:tcPr>
          <w:p w14:paraId="143A9634">
            <w:pPr>
              <w:spacing w:line="360" w:lineRule="auto"/>
              <w:jc w:val="center"/>
              <w:rPr>
                <w:rFonts w:ascii="宋体" w:hAnsi="宋体"/>
                <w:color w:val="auto"/>
                <w:w w:val="110"/>
                <w:sz w:val="24"/>
                <w:szCs w:val="24"/>
              </w:rPr>
            </w:pPr>
          </w:p>
        </w:tc>
      </w:tr>
      <w:tr w14:paraId="54C9B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2804" w:type="dxa"/>
            <w:vAlign w:val="center"/>
          </w:tcPr>
          <w:p w14:paraId="52E7F6AE">
            <w:pPr>
              <w:spacing w:line="360" w:lineRule="auto"/>
              <w:jc w:val="center"/>
              <w:rPr>
                <w:rFonts w:hint="eastAsia" w:ascii="宋体" w:hAnsi="宋体" w:eastAsia="宋体"/>
                <w:color w:val="auto"/>
                <w:w w:val="110"/>
                <w:sz w:val="24"/>
                <w:szCs w:val="24"/>
                <w:lang w:eastAsia="zh-CN"/>
              </w:rPr>
            </w:pPr>
            <w:r>
              <w:rPr>
                <w:rFonts w:hint="eastAsia" w:ascii="宋体" w:hAnsi="宋体"/>
                <w:color w:val="auto"/>
                <w:w w:val="110"/>
                <w:sz w:val="24"/>
                <w:szCs w:val="24"/>
                <w:lang w:eastAsia="zh-CN"/>
              </w:rPr>
              <w:t>质保期</w:t>
            </w:r>
          </w:p>
        </w:tc>
        <w:tc>
          <w:tcPr>
            <w:tcW w:w="6715" w:type="dxa"/>
            <w:vAlign w:val="center"/>
          </w:tcPr>
          <w:p w14:paraId="5C403E19">
            <w:pPr>
              <w:spacing w:line="360" w:lineRule="auto"/>
              <w:jc w:val="center"/>
              <w:rPr>
                <w:rFonts w:ascii="宋体" w:hAnsi="宋体"/>
                <w:color w:val="auto"/>
                <w:w w:val="110"/>
                <w:sz w:val="24"/>
                <w:szCs w:val="24"/>
              </w:rPr>
            </w:pPr>
          </w:p>
        </w:tc>
      </w:tr>
      <w:tr w14:paraId="34212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jc w:val="center"/>
        </w:trPr>
        <w:tc>
          <w:tcPr>
            <w:tcW w:w="2804" w:type="dxa"/>
            <w:vAlign w:val="center"/>
          </w:tcPr>
          <w:p w14:paraId="35F22793">
            <w:pPr>
              <w:spacing w:line="360" w:lineRule="auto"/>
              <w:jc w:val="center"/>
              <w:rPr>
                <w:rFonts w:hint="eastAsia" w:ascii="宋体" w:hAnsi="宋体"/>
                <w:color w:val="auto"/>
                <w:w w:val="110"/>
                <w:sz w:val="24"/>
                <w:szCs w:val="24"/>
                <w:lang w:eastAsia="zh-CN"/>
              </w:rPr>
            </w:pPr>
            <w:r>
              <w:rPr>
                <w:rFonts w:hint="eastAsia" w:ascii="宋体" w:hAnsi="宋体"/>
                <w:color w:val="auto"/>
                <w:w w:val="110"/>
                <w:sz w:val="24"/>
                <w:szCs w:val="24"/>
                <w:lang w:eastAsia="zh-CN"/>
              </w:rPr>
              <w:t>项目经理</w:t>
            </w:r>
          </w:p>
        </w:tc>
        <w:tc>
          <w:tcPr>
            <w:tcW w:w="6715" w:type="dxa"/>
            <w:vAlign w:val="center"/>
          </w:tcPr>
          <w:p w14:paraId="5F1E4E9E">
            <w:pPr>
              <w:spacing w:line="360" w:lineRule="auto"/>
              <w:jc w:val="left"/>
              <w:rPr>
                <w:rFonts w:hint="eastAsia" w:ascii="宋体"/>
                <w:color w:val="auto"/>
                <w:sz w:val="24"/>
                <w:szCs w:val="24"/>
                <w:highlight w:val="none"/>
              </w:rPr>
            </w:pPr>
            <w:r>
              <w:rPr>
                <w:rFonts w:hint="eastAsia" w:ascii="宋体"/>
                <w:color w:val="auto"/>
                <w:sz w:val="24"/>
                <w:szCs w:val="24"/>
                <w:highlight w:val="none"/>
              </w:rPr>
              <w:t>姓名：</w:t>
            </w:r>
            <w:r>
              <w:rPr>
                <w:rFonts w:hint="eastAsia" w:ascii="宋体"/>
                <w:color w:val="auto"/>
                <w:sz w:val="24"/>
                <w:szCs w:val="24"/>
                <w:highlight w:val="none"/>
                <w:u w:val="single"/>
              </w:rPr>
              <w:t xml:space="preserve">                 </w:t>
            </w:r>
            <w:r>
              <w:rPr>
                <w:rFonts w:hint="eastAsia" w:ascii="宋体"/>
                <w:color w:val="auto"/>
                <w:sz w:val="24"/>
                <w:szCs w:val="24"/>
                <w:highlight w:val="none"/>
              </w:rPr>
              <w:t>，</w:t>
            </w:r>
          </w:p>
          <w:p w14:paraId="43261B08">
            <w:pPr>
              <w:spacing w:line="360" w:lineRule="auto"/>
              <w:jc w:val="left"/>
              <w:rPr>
                <w:rFonts w:hint="eastAsia" w:ascii="宋体"/>
                <w:color w:val="auto"/>
                <w:sz w:val="24"/>
                <w:szCs w:val="24"/>
                <w:highlight w:val="none"/>
              </w:rPr>
            </w:pPr>
            <w:r>
              <w:rPr>
                <w:rFonts w:hint="eastAsia" w:ascii="宋体"/>
                <w:color w:val="auto"/>
                <w:sz w:val="24"/>
                <w:szCs w:val="24"/>
                <w:highlight w:val="none"/>
              </w:rPr>
              <w:t>证书等级：</w:t>
            </w:r>
            <w:r>
              <w:rPr>
                <w:rFonts w:hint="eastAsia" w:ascii="宋体"/>
                <w:color w:val="auto"/>
                <w:sz w:val="24"/>
                <w:szCs w:val="24"/>
                <w:highlight w:val="none"/>
                <w:u w:val="single"/>
              </w:rPr>
              <w:t xml:space="preserve">             </w:t>
            </w:r>
            <w:r>
              <w:rPr>
                <w:rFonts w:hint="eastAsia" w:ascii="宋体"/>
                <w:color w:val="auto"/>
                <w:sz w:val="24"/>
                <w:szCs w:val="24"/>
                <w:highlight w:val="none"/>
              </w:rPr>
              <w:t>，</w:t>
            </w:r>
          </w:p>
          <w:p w14:paraId="324F4972">
            <w:pPr>
              <w:spacing w:line="360" w:lineRule="auto"/>
              <w:jc w:val="both"/>
              <w:rPr>
                <w:rFonts w:ascii="宋体" w:hAnsi="宋体"/>
                <w:color w:val="auto"/>
                <w:w w:val="110"/>
                <w:sz w:val="24"/>
                <w:szCs w:val="24"/>
              </w:rPr>
            </w:pPr>
            <w:r>
              <w:rPr>
                <w:rFonts w:hint="eastAsia" w:ascii="宋体"/>
                <w:color w:val="auto"/>
                <w:sz w:val="24"/>
                <w:szCs w:val="24"/>
                <w:highlight w:val="none"/>
              </w:rPr>
              <w:t>证书注册编号：</w:t>
            </w:r>
            <w:r>
              <w:rPr>
                <w:rFonts w:hint="eastAsia" w:ascii="宋体"/>
                <w:color w:val="auto"/>
                <w:sz w:val="24"/>
                <w:szCs w:val="24"/>
                <w:highlight w:val="none"/>
                <w:u w:val="single"/>
              </w:rPr>
              <w:t xml:space="preserve">              </w:t>
            </w:r>
            <w:r>
              <w:rPr>
                <w:rFonts w:hint="eastAsia" w:ascii="宋体"/>
                <w:color w:val="auto"/>
                <w:sz w:val="24"/>
                <w:szCs w:val="24"/>
                <w:highlight w:val="none"/>
              </w:rPr>
              <w:t>。</w:t>
            </w:r>
          </w:p>
        </w:tc>
      </w:tr>
    </w:tbl>
    <w:p w14:paraId="44D16139">
      <w:pPr>
        <w:spacing w:line="360" w:lineRule="auto"/>
        <w:ind w:right="420"/>
        <w:rPr>
          <w:rFonts w:hint="eastAsia" w:ascii="宋体" w:hAnsi="宋体"/>
          <w:color w:val="auto"/>
          <w:sz w:val="24"/>
        </w:rPr>
      </w:pPr>
      <w:r>
        <w:rPr>
          <w:rFonts w:hint="eastAsia" w:ascii="宋体" w:hAnsi="宋体"/>
          <w:color w:val="auto"/>
          <w:sz w:val="24"/>
        </w:rPr>
        <w:t xml:space="preserve">     </w:t>
      </w:r>
    </w:p>
    <w:p w14:paraId="40785632">
      <w:pPr>
        <w:spacing w:line="360" w:lineRule="auto"/>
        <w:ind w:right="420"/>
        <w:rPr>
          <w:rFonts w:ascii="宋体" w:hAnsi="宋体"/>
          <w:color w:val="auto"/>
          <w:sz w:val="24"/>
        </w:rPr>
      </w:pPr>
      <w:r>
        <w:rPr>
          <w:rFonts w:hint="eastAsia" w:ascii="宋体" w:hAnsi="宋体"/>
          <w:color w:val="auto"/>
          <w:sz w:val="24"/>
        </w:rPr>
        <w:t xml:space="preserve">                                                     </w:t>
      </w:r>
    </w:p>
    <w:p w14:paraId="70F4CC29">
      <w:pPr>
        <w:spacing w:line="360" w:lineRule="auto"/>
        <w:ind w:right="420"/>
        <w:rPr>
          <w:rFonts w:ascii="宋体" w:hAnsi="宋体"/>
          <w:color w:val="auto"/>
          <w:sz w:val="24"/>
        </w:rPr>
      </w:pPr>
      <w:r>
        <w:rPr>
          <w:rFonts w:hint="eastAsia" w:ascii="宋体" w:hAnsi="宋体" w:cs="宋体"/>
          <w:color w:val="auto"/>
          <w:sz w:val="24"/>
        </w:rPr>
        <w:t>供应商</w:t>
      </w:r>
      <w:r>
        <w:rPr>
          <w:rFonts w:hint="eastAsia" w:ascii="宋体" w:hAnsi="宋体" w:cs="宋体"/>
          <w:color w:val="auto"/>
          <w:sz w:val="24"/>
          <w:lang w:eastAsia="zh-CN"/>
        </w:rPr>
        <w:t>名称</w:t>
      </w:r>
      <w:r>
        <w:rPr>
          <w:rFonts w:hint="eastAsia" w:ascii="宋体" w:hAnsi="宋体" w:cs="宋体"/>
          <w:color w:val="auto"/>
          <w:sz w:val="24"/>
        </w:rPr>
        <w:t>（盖章）：</w:t>
      </w:r>
    </w:p>
    <w:p w14:paraId="27C36968">
      <w:pPr>
        <w:spacing w:line="480" w:lineRule="exact"/>
        <w:jc w:val="left"/>
        <w:rPr>
          <w:rFonts w:ascii="宋体" w:hAnsi="宋体" w:cs="宋体"/>
          <w:color w:val="auto"/>
          <w:sz w:val="24"/>
        </w:rPr>
      </w:pPr>
      <w:r>
        <w:rPr>
          <w:rFonts w:hint="eastAsia" w:ascii="宋体" w:hAnsi="宋体" w:cs="宋体"/>
          <w:color w:val="auto"/>
          <w:sz w:val="24"/>
        </w:rPr>
        <w:t>法人代表或委托代理人（签字或盖章）：</w:t>
      </w:r>
    </w:p>
    <w:p w14:paraId="29B23A30">
      <w:pPr>
        <w:spacing w:line="480" w:lineRule="exact"/>
        <w:jc w:val="left"/>
        <w:rPr>
          <w:rFonts w:hint="eastAsia" w:ascii="宋体" w:hAnsi="宋体" w:cs="宋体"/>
          <w:color w:val="auto"/>
          <w:sz w:val="24"/>
        </w:rPr>
      </w:pP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2E73750E">
      <w:pPr>
        <w:pStyle w:val="54"/>
        <w:rPr>
          <w:rFonts w:hint="eastAsia" w:ascii="宋体" w:hAnsi="宋体" w:cs="宋体"/>
          <w:color w:val="auto"/>
          <w:sz w:val="24"/>
        </w:rPr>
      </w:pPr>
    </w:p>
    <w:p w14:paraId="70932990">
      <w:pPr>
        <w:pStyle w:val="54"/>
        <w:rPr>
          <w:rFonts w:hint="eastAsia" w:ascii="宋体" w:hAnsi="宋体" w:cs="宋体"/>
          <w:color w:val="auto"/>
          <w:sz w:val="24"/>
        </w:rPr>
      </w:pPr>
    </w:p>
    <w:p w14:paraId="2E05BF97">
      <w:pPr>
        <w:pStyle w:val="54"/>
        <w:rPr>
          <w:rFonts w:hint="eastAsia" w:ascii="宋体" w:hAnsi="宋体" w:cs="宋体"/>
          <w:color w:val="auto"/>
          <w:sz w:val="24"/>
        </w:rPr>
      </w:pPr>
    </w:p>
    <w:p w14:paraId="09D3EB41">
      <w:pPr>
        <w:pStyle w:val="54"/>
        <w:rPr>
          <w:rFonts w:hint="eastAsia" w:ascii="宋体" w:hAnsi="宋体" w:cs="宋体"/>
          <w:color w:val="auto"/>
          <w:sz w:val="24"/>
        </w:rPr>
      </w:pPr>
    </w:p>
    <w:p w14:paraId="7F24A608">
      <w:pPr>
        <w:pStyle w:val="54"/>
        <w:rPr>
          <w:rFonts w:hint="eastAsia" w:ascii="宋体" w:hAnsi="宋体" w:cs="宋体"/>
          <w:color w:val="auto"/>
          <w:sz w:val="24"/>
        </w:rPr>
      </w:pPr>
    </w:p>
    <w:p w14:paraId="0C9EB773">
      <w:pPr>
        <w:pStyle w:val="54"/>
        <w:ind w:left="0" w:leftChars="0" w:firstLine="0" w:firstLineChars="0"/>
        <w:rPr>
          <w:rFonts w:hint="eastAsia" w:ascii="宋体" w:hAnsi="宋体" w:cs="宋体"/>
          <w:color w:val="auto"/>
          <w:sz w:val="24"/>
        </w:rPr>
      </w:pPr>
    </w:p>
    <w:p w14:paraId="4A384C0C">
      <w:pPr>
        <w:pStyle w:val="10"/>
        <w:jc w:val="center"/>
        <w:rPr>
          <w:rFonts w:hint="eastAsia" w:eastAsia="宋体"/>
          <w:b/>
          <w:bCs/>
          <w:color w:val="auto"/>
          <w:lang w:eastAsia="zh-CN"/>
        </w:rPr>
      </w:pPr>
      <w:r>
        <w:rPr>
          <w:rFonts w:hint="eastAsia" w:ascii="宋体" w:hAnsi="宋体" w:cs="宋体"/>
          <w:b/>
          <w:bCs/>
          <w:color w:val="auto"/>
          <w:sz w:val="24"/>
          <w:lang w:eastAsia="zh-CN"/>
        </w:rPr>
        <w:t>四、初次报价明细表</w:t>
      </w:r>
    </w:p>
    <w:p w14:paraId="0165B406">
      <w:pPr>
        <w:spacing w:line="360" w:lineRule="auto"/>
        <w:ind w:firstLine="482" w:firstLineChars="200"/>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1、初次报价</w:t>
      </w:r>
      <w:r>
        <w:rPr>
          <w:rFonts w:hint="eastAsia" w:ascii="宋体" w:hAnsi="宋体" w:eastAsia="宋体" w:cs="宋体"/>
          <w:b/>
          <w:bCs/>
          <w:color w:val="auto"/>
          <w:sz w:val="24"/>
          <w:lang w:eastAsia="zh-CN"/>
        </w:rPr>
        <w:t>的已标价工程量清单（施工）</w:t>
      </w:r>
    </w:p>
    <w:p w14:paraId="266EED85">
      <w:pPr>
        <w:ind w:firstLine="480" w:firstLineChars="200"/>
        <w:rPr>
          <w:rFonts w:hint="eastAsia" w:eastAsia="宋体"/>
          <w:color w:val="auto"/>
          <w:sz w:val="24"/>
          <w:szCs w:val="24"/>
          <w:lang w:val="en-US" w:eastAsia="zh-CN"/>
        </w:rPr>
      </w:pPr>
      <w:r>
        <w:rPr>
          <w:rFonts w:hint="eastAsia"/>
          <w:color w:val="auto"/>
          <w:sz w:val="24"/>
          <w:szCs w:val="24"/>
          <w:lang w:val="en-US" w:eastAsia="zh-CN"/>
        </w:rPr>
        <w:t>1.1、土建工程量清单</w:t>
      </w:r>
    </w:p>
    <w:tbl>
      <w:tblPr>
        <w:tblStyle w:val="39"/>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96"/>
        <w:gridCol w:w="3375"/>
        <w:gridCol w:w="1735"/>
        <w:gridCol w:w="1150"/>
        <w:gridCol w:w="1150"/>
        <w:gridCol w:w="1150"/>
      </w:tblGrid>
      <w:tr w14:paraId="6B0852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7" w:hRule="atLeast"/>
        </w:trPr>
        <w:tc>
          <w:tcPr>
            <w:tcW w:w="7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532B3F">
            <w:pPr>
              <w:keepNext w:val="0"/>
              <w:keepLines w:val="0"/>
              <w:widowControl/>
              <w:suppressLineNumbers w:val="0"/>
              <w:jc w:val="center"/>
              <w:textAlignment w:val="center"/>
              <w:rPr>
                <w:rFonts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序号</w:t>
            </w:r>
          </w:p>
        </w:tc>
        <w:tc>
          <w:tcPr>
            <w:tcW w:w="1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0A703D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项目名称</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项目特征</w:t>
            </w:r>
          </w:p>
        </w:tc>
        <w:tc>
          <w:tcPr>
            <w:tcW w:w="8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4BA1C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计量单位</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A9392AC">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工程量</w:t>
            </w:r>
          </w:p>
        </w:tc>
        <w:tc>
          <w:tcPr>
            <w:tcW w:w="577" w:type="pct"/>
            <w:tcBorders>
              <w:top w:val="single" w:color="000000" w:sz="4" w:space="0"/>
              <w:left w:val="single" w:color="000000" w:sz="4" w:space="0"/>
              <w:right w:val="single" w:color="000000" w:sz="4" w:space="0"/>
            </w:tcBorders>
            <w:shd w:val="clear" w:color="auto" w:fill="FFFFFF"/>
            <w:vAlign w:val="center"/>
          </w:tcPr>
          <w:p w14:paraId="3C61FCFD">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r>
              <w:rPr>
                <w:rFonts w:hint="default" w:ascii="Arial" w:hAnsi="Arial" w:eastAsia="宋体" w:cs="Arial"/>
                <w:i w:val="0"/>
                <w:iCs w:val="0"/>
                <w:color w:val="auto"/>
                <w:kern w:val="0"/>
                <w:sz w:val="24"/>
                <w:szCs w:val="24"/>
                <w:u w:val="none"/>
                <w:lang w:val="en-US" w:eastAsia="zh-CN" w:bidi="ar"/>
              </w:rPr>
              <w:t>固定含税全费用综合单价</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560E51">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r>
              <w:rPr>
                <w:rFonts w:hint="eastAsia" w:ascii="Arial" w:hAnsi="Arial" w:cs="Arial"/>
                <w:i w:val="0"/>
                <w:iCs w:val="0"/>
                <w:color w:val="auto"/>
                <w:kern w:val="0"/>
                <w:sz w:val="24"/>
                <w:szCs w:val="24"/>
                <w:u w:val="none"/>
                <w:lang w:val="en-US" w:eastAsia="zh-CN" w:bidi="ar"/>
              </w:rPr>
              <w:t>合价</w:t>
            </w:r>
          </w:p>
        </w:tc>
      </w:tr>
      <w:tr w14:paraId="2950B4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7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428756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w:t>
            </w:r>
          </w:p>
        </w:tc>
        <w:tc>
          <w:tcPr>
            <w:tcW w:w="1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BEA57C">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挖沟槽土方</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1.土壤类别：普通土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2.挖土深度：2米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3.弃土运距</w:t>
            </w:r>
          </w:p>
        </w:tc>
        <w:tc>
          <w:tcPr>
            <w:tcW w:w="8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835FC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A21D02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324.33</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E91A0EF">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E8F360">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3574C2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7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CBA86D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w:t>
            </w:r>
          </w:p>
        </w:tc>
        <w:tc>
          <w:tcPr>
            <w:tcW w:w="1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04E5CB">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余方弃置</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1.废弃料品种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2.运距：5公里</w:t>
            </w:r>
          </w:p>
        </w:tc>
        <w:tc>
          <w:tcPr>
            <w:tcW w:w="8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21AB6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022B7F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139.68</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52A0C1">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4AC8EE7">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62E1C8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7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1F354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w:t>
            </w:r>
          </w:p>
        </w:tc>
        <w:tc>
          <w:tcPr>
            <w:tcW w:w="1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78F578">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回填方</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1.密实度要求&gt;=93%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2.填方材料品种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3.填方粒径要求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4.填方来源、运距</w:t>
            </w:r>
          </w:p>
        </w:tc>
        <w:tc>
          <w:tcPr>
            <w:tcW w:w="8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0CB29E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487A5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68.78</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BFDDB3">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A8CDC0">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5F39C9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7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141944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w:t>
            </w:r>
          </w:p>
        </w:tc>
        <w:tc>
          <w:tcPr>
            <w:tcW w:w="1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6A19DD8">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回填方</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1.密实度要求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2.填方材料品种：细砂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3.填方粒径要求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4.填方来源、运距</w:t>
            </w:r>
          </w:p>
        </w:tc>
        <w:tc>
          <w:tcPr>
            <w:tcW w:w="8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93869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0D9FBA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136.89</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2E5A44B">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3DE033C">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0FC808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7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F5A635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5</w:t>
            </w:r>
          </w:p>
        </w:tc>
        <w:tc>
          <w:tcPr>
            <w:tcW w:w="1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16C339">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垫层</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1.混凝土种类：商品混凝土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2.混凝土强度等级：C15</w:t>
            </w:r>
          </w:p>
        </w:tc>
        <w:tc>
          <w:tcPr>
            <w:tcW w:w="8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1DFB2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E73EAC">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18.97</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753EEAD">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BF4A7F0">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7A07F4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7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639F05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6</w:t>
            </w:r>
          </w:p>
        </w:tc>
        <w:tc>
          <w:tcPr>
            <w:tcW w:w="1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581579F">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独立基础</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1.混凝土种类：商品混凝土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2.混凝土强度等级：C30</w:t>
            </w:r>
          </w:p>
        </w:tc>
        <w:tc>
          <w:tcPr>
            <w:tcW w:w="8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A48384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EDE9B1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80.92</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5F58BBA">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F495EC">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5ECA35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7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D2B0E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7</w:t>
            </w:r>
          </w:p>
        </w:tc>
        <w:tc>
          <w:tcPr>
            <w:tcW w:w="1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5F1B2A">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矩形柱</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1.混凝土种类：商品混凝土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2.混凝土强度等级：C20</w:t>
            </w:r>
          </w:p>
        </w:tc>
        <w:tc>
          <w:tcPr>
            <w:tcW w:w="8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BA378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0266A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2.97</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BA4E17E">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6F5167">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620E90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7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55FE31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8</w:t>
            </w:r>
          </w:p>
        </w:tc>
        <w:tc>
          <w:tcPr>
            <w:tcW w:w="1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FECCB5F">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预埋铁件</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1.钢材种类:钢板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2.规格：14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3.铁件尺寸</w:t>
            </w:r>
          </w:p>
        </w:tc>
        <w:tc>
          <w:tcPr>
            <w:tcW w:w="8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F629B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t</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52BCA0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5.194</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69510A">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EB2362">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1A162F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DDCBA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9</w:t>
            </w:r>
          </w:p>
        </w:tc>
        <w:tc>
          <w:tcPr>
            <w:tcW w:w="1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0B8B336">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现浇构件钢筋</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钢筋种类、规格:φ12</w:t>
            </w:r>
          </w:p>
        </w:tc>
        <w:tc>
          <w:tcPr>
            <w:tcW w:w="8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3A768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t</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A14C4F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3.56</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06AC5D3">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8AFD38">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31A093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7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B04F05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10</w:t>
            </w:r>
          </w:p>
        </w:tc>
        <w:tc>
          <w:tcPr>
            <w:tcW w:w="1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6C19F9">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钢筋混凝土构件拆除</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1.构件名称:钢筋混凝土独立基础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2.拆除构件的厚度或规格尺寸：</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1.7*1.4*1.2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3.构件表面的附着物种类</w:t>
            </w:r>
          </w:p>
        </w:tc>
        <w:tc>
          <w:tcPr>
            <w:tcW w:w="8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7C6C6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EBD882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22.848</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9D46DF">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C3BBB4">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7F69FC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7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3523D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11</w:t>
            </w:r>
          </w:p>
        </w:tc>
        <w:tc>
          <w:tcPr>
            <w:tcW w:w="1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224E88C">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实心砖墙</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1.砖品种、规格、强度等级：机砖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2.墙体类型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3.砂浆强度等级、配合比：水泥砂浆M5</w:t>
            </w:r>
          </w:p>
        </w:tc>
        <w:tc>
          <w:tcPr>
            <w:tcW w:w="8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CAE9D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666666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4.68</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25D8F0A">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6767C8">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3C4232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5" w:hRule="atLeast"/>
        </w:trPr>
        <w:tc>
          <w:tcPr>
            <w:tcW w:w="7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F8890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12</w:t>
            </w:r>
          </w:p>
        </w:tc>
        <w:tc>
          <w:tcPr>
            <w:tcW w:w="1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3B999F">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墙面一般抹灰</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1.墙体类型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2.底层厚度、砂浆配合比:9mm,1:3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3.面层厚度、砂浆配合比:6mm,1:2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4.装饰面材料种类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5.分格缝宽度、材料种类</w:t>
            </w:r>
          </w:p>
        </w:tc>
        <w:tc>
          <w:tcPr>
            <w:tcW w:w="8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8B1053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m2</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FDA1AC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46.8</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29B2DA8">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D48B46">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303232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7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A19C2D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13</w:t>
            </w:r>
          </w:p>
        </w:tc>
        <w:tc>
          <w:tcPr>
            <w:tcW w:w="1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892120">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块料墙面</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1.墙体类型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2.安装方式:水泥砂浆粘贴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3.面层材料品种、规格、颜色:瓷砖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200×300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4.缝宽、嵌缝材料种类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5.防护材料种类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6.磨光、酸洗、打蜡要求</w:t>
            </w:r>
          </w:p>
        </w:tc>
        <w:tc>
          <w:tcPr>
            <w:tcW w:w="8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C5DB6D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m2</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A7EC0D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75.6</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5684BD3">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55CC70">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41A360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7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C4A85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14</w:t>
            </w:r>
          </w:p>
        </w:tc>
        <w:tc>
          <w:tcPr>
            <w:tcW w:w="1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DD14DD0">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块料楼地面</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1.找平层厚度、砂浆配合比：刷素水泥浆一</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遍,1:2水泥砂浆20mm , 细石混凝土 40mm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2.结合层厚度、砂浆配合比:30mm 干硬性水</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泥砂浆 1:3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3.面层材料品种、规格、颜色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4.嵌缝材料种类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5.防护层材料种类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6.酸洗、打蜡要求</w:t>
            </w:r>
          </w:p>
        </w:tc>
        <w:tc>
          <w:tcPr>
            <w:tcW w:w="8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3652BC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m2</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E7B82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445.5</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810C9C6">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4D8CDC8">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3B4BAA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7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B15840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15</w:t>
            </w:r>
          </w:p>
        </w:tc>
        <w:tc>
          <w:tcPr>
            <w:tcW w:w="1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341D154">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块料踢脚线</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1.踢脚线高度:150mm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2.粘贴层厚度、材料种类:水泥砂浆1:1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3.面层材料品种、规格、颜色：瓷砖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4.防护材料种类</w:t>
            </w:r>
          </w:p>
        </w:tc>
        <w:tc>
          <w:tcPr>
            <w:tcW w:w="8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8D5059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m2</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D70BC8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7.2</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4566AC">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AEC7F81">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15AF76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7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5B6258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16</w:t>
            </w:r>
          </w:p>
        </w:tc>
        <w:tc>
          <w:tcPr>
            <w:tcW w:w="1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F67E0F">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成品格栅</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1.材料品种、规格： 树脂+玻璃钢</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500*1000*50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2.边框及立柱型钢品种、规格</w:t>
            </w:r>
          </w:p>
        </w:tc>
        <w:tc>
          <w:tcPr>
            <w:tcW w:w="8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F5D32B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m2</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E8718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16</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5BB989">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9E8E62B">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5DF64B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0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53B038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17</w:t>
            </w:r>
          </w:p>
        </w:tc>
        <w:tc>
          <w:tcPr>
            <w:tcW w:w="1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E63105">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拆除恢复保温</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拆除、恢复保温层，保护层，真石漆</w:t>
            </w:r>
          </w:p>
        </w:tc>
        <w:tc>
          <w:tcPr>
            <w:tcW w:w="87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56332E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m2</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B214E9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11.52</w:t>
            </w: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1FBE2C">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3E1395">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bl>
    <w:p w14:paraId="1D58ABE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1.2、安装工程量清单</w:t>
      </w:r>
    </w:p>
    <w:tbl>
      <w:tblPr>
        <w:tblStyle w:val="39"/>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82"/>
        <w:gridCol w:w="3393"/>
        <w:gridCol w:w="1723"/>
        <w:gridCol w:w="1152"/>
        <w:gridCol w:w="1154"/>
        <w:gridCol w:w="1154"/>
      </w:tblGrid>
      <w:tr w14:paraId="2F927C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B4EDAE">
            <w:pPr>
              <w:keepNext w:val="0"/>
              <w:keepLines w:val="0"/>
              <w:widowControl/>
              <w:suppressLineNumbers w:val="0"/>
              <w:jc w:val="center"/>
              <w:textAlignment w:val="center"/>
              <w:rPr>
                <w:rFonts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序号</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911FA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项目名称</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项目特征</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E31A12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计量单位</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E25C9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工程量</w:t>
            </w:r>
          </w:p>
        </w:tc>
        <w:tc>
          <w:tcPr>
            <w:tcW w:w="9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6C4741">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r>
              <w:rPr>
                <w:rFonts w:hint="default" w:ascii="Arial" w:hAnsi="Arial" w:eastAsia="宋体" w:cs="Arial"/>
                <w:i w:val="0"/>
                <w:iCs w:val="0"/>
                <w:color w:val="auto"/>
                <w:kern w:val="0"/>
                <w:sz w:val="24"/>
                <w:szCs w:val="24"/>
                <w:u w:val="none"/>
                <w:lang w:val="en-US" w:eastAsia="zh-CN" w:bidi="ar"/>
              </w:rPr>
              <w:t>固定含税全费用综合单价</w:t>
            </w:r>
          </w:p>
        </w:tc>
        <w:tc>
          <w:tcPr>
            <w:tcW w:w="9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21989D">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r>
              <w:rPr>
                <w:rFonts w:hint="eastAsia" w:ascii="Arial" w:hAnsi="Arial" w:cs="Arial"/>
                <w:i w:val="0"/>
                <w:iCs w:val="0"/>
                <w:color w:val="auto"/>
                <w:kern w:val="0"/>
                <w:sz w:val="24"/>
                <w:szCs w:val="24"/>
                <w:u w:val="none"/>
                <w:lang w:val="en-US" w:eastAsia="zh-CN" w:bidi="ar"/>
              </w:rPr>
              <w:t>合价</w:t>
            </w:r>
          </w:p>
        </w:tc>
      </w:tr>
      <w:tr w14:paraId="6DA754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0DEADB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AD82E51">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钢管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1.安装部位：室外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3.规格、压力等级：DN250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6.警示带形式</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E277BC">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37D56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340.67</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072A6C5">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F999CB8">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2BC487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65A07D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6A27E5D">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钢管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1.安装部位：室外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3.规格、压力等级：DN200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6.警示带形式</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A926FC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65E50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230.11</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5B6161D">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51FB7C0">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2DC82D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B190D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1DDD54">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钢管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1.安装部位：室外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3.规格、压力等级：DN150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6.警示带形式</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2BE61C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81D02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151.28</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EC4960F">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ADB216">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251A08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5B6F8C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C74C55">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钢管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1.安装部位：室外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3.规格、压力等级：DN125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6.警示带形式</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A4589A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F24FF2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460.76</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B8BEF00">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2A4908">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221378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905B3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5</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43B055">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钢管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1.安装部位：室外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3.规格、压力等级：DN100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6.警示带形式</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06189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205E4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418.07</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4E9382">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8D6621">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01BE9F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B038C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6</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2C4A70">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钢管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1.安装部位：室外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3.规格、压力等级：DN80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6.警示带形式</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76DFED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EC9799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188.9</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041563">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97C7DB7">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53B542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5"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46CA05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7</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5EB0904">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直埋式预制保温管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1.埋设深度：&gt;=1.5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3.管道材质、规格：DN300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5.接口保温材料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6.压力试验及吹、洗设计要求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7.警示带形式</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56FD0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BC0B45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150</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F42718B">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D6CB7D">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495E08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7CC062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8</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E5CEB4">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直埋式预制保温管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1.埋设深度：&gt;=1.5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3.管道材质、规格：DN200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5.接口保温材料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6.压力试验及吹、洗设计要求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7.警示带形式</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5017D7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A47402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41</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21542D">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BBBAD1A">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5AA6F0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D035E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9</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4ED0B9">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直埋式预制保温管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1.埋设深度：&gt;=1.5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3.管道材质、规格：DN150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5.接口保温材料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6.压力试验及吹、洗设计要求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7.警示带形式</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5FA728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EEB4CC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59.64</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FCBCA63">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2FD45A">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372490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182D7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10</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AF64D04">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直埋式预制保温管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1.埋设深度：&gt;=1.5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2.介质:热水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3.管道材质、规格：DN125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4.连接形式:焊接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5.接口保温材料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6.压力试验及吹、洗设计要求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7.警示带形式</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4F574CC">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2A013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120.4</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276BA6">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6AB720">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26A6A0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09902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11</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207A55">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拆除架空管道</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架空管道DN300</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3CC2AA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B41C9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150</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561A5B">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952631">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1FD137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6B2B7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12</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F24D3CC">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拆除架空管道</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架空管道DN200</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65297D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B3DD0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33</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A6963B">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86A0E3">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168857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1DF33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13</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A4DAC1">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压力仪表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 ：压力表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2.型号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4.压力表弯材质、规格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5.挠性管材质、规格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6.支架形式、材质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7.调试要求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8.脱脂要求</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8AEC8E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台</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190852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45</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C7B00B5">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B37230">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01733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3CEB5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14</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6ACB0D0">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温度仪表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   ：温度计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2.型号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4.类型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5.套管材质、规格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6.挠性管材质、规格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7.支架形式、材质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8.调试要求</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A0142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支</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BEA1B2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30</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78A2E1">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F70B9A2">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6BCE60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5"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20B226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15</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CE6F63">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焊接阀门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 ：焊接球阀DN125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 ：焊接球阀DN125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F4C112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6CF7E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8</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8808A4E">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458CD5">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63B0B3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CF4160C">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16</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1578CF">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焊接阀门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 ：焊接球阀DN100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 ：焊接球阀DN100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97B9D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A8E111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24</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5288503">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CD77A55">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17FF18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CB89A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17</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FAB6FB">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焊接阀门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 ：焊接球阀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 ：焊接球阀DN80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E3F4A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04C787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28</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C400C3A">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549E169">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45D563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2F762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18</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09041F">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焊接阀门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1.类型：过滤器DN125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3.规格、压力等级：过滤器DN125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E2185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B18081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CB9C74">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0E20A72">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0E60E3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4DE60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19</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3730347">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焊接法兰阀门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1.类型：过滤器DN100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3.规格、压力等级：过滤器DN100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DCD9E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94EFE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6</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26FED41">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F63678D">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2CC950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067F5A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20</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E20979">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焊接法兰阀门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1.类型：过滤器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3.规格、压力等级：过滤器DN80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1A6FBB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30AB0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7</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B6412A">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974E54">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4C4563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A94FC1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21</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FA3757">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焊接法兰阀门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 ：动态平衡阀DN125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 ：动态平衡阀DN125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429CEE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043F7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D7DBED">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452497E">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319135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7505FC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22</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4CF42EE">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焊接法兰阀门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 ：动态平衡阀DN100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 ：动态平衡阀DN100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23B12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E8DD78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6</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D69EA2">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4F317E">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2C88BE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FD630C">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23</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3861F2">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焊接法兰阀门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 ：动态平衡阀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 ：动态平衡阀DN65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76632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A9178C">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7</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23E3C84">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73523D">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19B75C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95"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C00E1D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24</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B56EA9">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套管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1.名称、类型:刚性防水套管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2.材质:刚性防水套管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3.规格:DN125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4.填料材质</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42E05B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A0CB4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C5A12C">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3B8E2C3">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6F7811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A2FBF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25</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9705EE">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套管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1.名称、类型:刚性防水套管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2.材质:刚性防水套管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3.规格:DN100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4.填料材质</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32EA9D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4112EA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12</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995BD9B">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401B23">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66F1FC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57BC9D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26</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AFBE59F">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套管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1.名称、类型:刚性防水套管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2.材质:刚性防水套管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3.规格:DN80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4.填料材质</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C518C1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CF543F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14</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B6F2AF9">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8A5A8C">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756910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ADDDE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27</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B638E6">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螺纹阀门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    ：旁通阀DN50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：铸钢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    ：旁通阀DN50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AFD02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FDDBE0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15</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51B7D3">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04B228C">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0B1A75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9259AD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28</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C22A9B">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螺纹阀门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 ：泄水阀DN25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：铜制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 ：泄水阀DN25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A7BB9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C2BD9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30</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86CC75">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D1E70B">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757A39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4366D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29</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CA7EF40">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管道支架</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1.材质 ：型钢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2.管架形式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3.含除锈、刷防锈漆2道、银粉2道</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868A48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Kg</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601C66">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2041.24</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0C471A">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4248E14">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4D48FE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8DA1A7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30</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98D109">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设备支架</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1.材质 ：镀锌钢管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2.管架形式：立柱支架</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3AA5C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Kg</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BF97A8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6787.33</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B9756E0">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876274">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4D1EBD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64537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31</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DFDEDC">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螺纹阀门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1.类型：自动排气阀DN20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2.材质：铜制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3.规格、压力等级：自动排气阀DN20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91FF38">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9B68A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6</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B801F6">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104042">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5AE8AD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06B15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32</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481F1C6">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螺纹阀门</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1.类型  ：铜球阀DN20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：铜球阀DN20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3.规格、压力等级  ：铜球阀DN20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4.连接形式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5.焊接方法</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A590C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个</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298413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6</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E6243AE">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D83D290">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7EBB96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D2C6C3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33</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E4517B">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管道刷油</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1.除锈级别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2.油漆品种:红丹防锈漆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3.涂刷遍数、漆膜厚度：2遍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4.标志色方式、品种</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6370A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m2</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4662C4">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895.7</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23B51CB">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344A4AE">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672C3D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5"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AFB332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34</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BA3E91F">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管道绝热</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1.绝热材料品种  ：橡塑管壳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2.绝热厚度    ：40mm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3.管道外径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4.软木品种</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BF7806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0D35C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20.9</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873E351">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F0EB73">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2F17DA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48F98BB">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35</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697A568">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管道绝热</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1.绝热材料品种  ：橡塑管壳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2.绝热厚度    :30mm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3.管道外径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4.软木品种</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6FEA9B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m3</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35841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17.4</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5F02618">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17E316C">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05CE9E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CAF6777">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36</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DB28E30">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防潮层、保护层</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1.材料  ：铝皮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2.厚度    ：0.5mm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3.层数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4.对象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5.结构形式</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97B3B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m2</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33843C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1290.2</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E28D86">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F18D1CE">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34145D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94944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37</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FB5E79B">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配管</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 刚性阻燃管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2.材质: 刚性阻燃管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3.规格:De25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4.配置形式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5.接地要求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6.钢索材质、规格</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726F3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96E0A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200</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5F56B5">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8352CEF">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110BCB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AF15B92">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38</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3A0625">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配线</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1.名称:绝缘电线BV2.5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2.配线形式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3.型号:绝缘电线BV2.5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4.规格:绝缘电线BV2.5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5.材质:绝缘电线BV2.5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6.配线部位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7.配线线制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8.钢索材质、规格</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3AECC4F">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68E59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400</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31C26F8">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6D00D45">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62853F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ADA1D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39</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D72B1BB">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荧光灯</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1.名称：荧光灯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2.型号：40W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4.安装形式:吊链式，双管</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D789C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套</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2A2B3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581AF93">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49D120">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75019D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C8736E5">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40</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2979C5E">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工厂灯</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1.名称:应急灯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2.型号:36W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4.安装形式</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361853">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套</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2874A91">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E29573">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20215E2">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18DEA3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3E3C8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41</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06A4AF2">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桥架</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1.名称:桥架100*100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2.型号:桥架100*100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3.规格:桥架100*100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4.材质:钢质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5.类型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6.接地方式</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3917A5D">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3A711A">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25</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7799A6">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26935A5">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r w14:paraId="65CB63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69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F11241E">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42</w:t>
            </w:r>
          </w:p>
        </w:tc>
        <w:tc>
          <w:tcPr>
            <w:tcW w:w="17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7875FA">
            <w:pPr>
              <w:keepNext w:val="0"/>
              <w:keepLines w:val="0"/>
              <w:widowControl/>
              <w:suppressLineNumbers w:val="0"/>
              <w:jc w:val="left"/>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电力电缆</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1.名称：电缆3*50+1*25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2.型号：电缆3*50+1*25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3.规格：电缆3*50+1*25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4.材质：铜质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5.敷设方式、部位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 xml:space="preserve">6.电压等级（kV） </w:t>
            </w:r>
            <w:r>
              <w:rPr>
                <w:rFonts w:hint="default" w:ascii="Arial" w:hAnsi="Arial" w:eastAsia="宋体" w:cs="Arial"/>
                <w:i w:val="0"/>
                <w:iCs w:val="0"/>
                <w:color w:val="auto"/>
                <w:kern w:val="0"/>
                <w:sz w:val="24"/>
                <w:szCs w:val="24"/>
                <w:u w:val="none"/>
                <w:lang w:val="en-US" w:eastAsia="zh-CN" w:bidi="ar"/>
              </w:rPr>
              <w:br w:type="textWrapping"/>
            </w:r>
            <w:r>
              <w:rPr>
                <w:rFonts w:hint="default" w:ascii="Arial" w:hAnsi="Arial" w:eastAsia="宋体" w:cs="Arial"/>
                <w:i w:val="0"/>
                <w:iCs w:val="0"/>
                <w:color w:val="auto"/>
                <w:kern w:val="0"/>
                <w:sz w:val="24"/>
                <w:szCs w:val="24"/>
                <w:u w:val="none"/>
                <w:lang w:val="en-US" w:eastAsia="zh-CN" w:bidi="ar"/>
              </w:rPr>
              <w:t>7.地形</w:t>
            </w:r>
          </w:p>
        </w:tc>
        <w:tc>
          <w:tcPr>
            <w:tcW w:w="86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2D6F859">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m</w:t>
            </w:r>
          </w:p>
        </w:tc>
        <w:tc>
          <w:tcPr>
            <w:tcW w:w="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882DB0">
            <w:pPr>
              <w:keepNext w:val="0"/>
              <w:keepLines w:val="0"/>
              <w:widowControl/>
              <w:suppressLineNumbers w:val="0"/>
              <w:jc w:val="center"/>
              <w:textAlignment w:val="center"/>
              <w:rPr>
                <w:rFonts w:hint="default" w:ascii="Arial" w:hAnsi="Arial" w:eastAsia="宋体" w:cs="Arial"/>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t>30</w:t>
            </w: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20995D">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c>
          <w:tcPr>
            <w:tcW w:w="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CAD012C">
            <w:pPr>
              <w:keepNext w:val="0"/>
              <w:keepLines w:val="0"/>
              <w:widowControl/>
              <w:suppressLineNumbers w:val="0"/>
              <w:jc w:val="center"/>
              <w:textAlignment w:val="center"/>
              <w:rPr>
                <w:rFonts w:hint="default" w:ascii="Arial" w:hAnsi="Arial" w:eastAsia="宋体" w:cs="Arial"/>
                <w:i w:val="0"/>
                <w:iCs w:val="0"/>
                <w:color w:val="auto"/>
                <w:kern w:val="0"/>
                <w:sz w:val="24"/>
                <w:szCs w:val="24"/>
                <w:u w:val="none"/>
                <w:lang w:val="en-US" w:eastAsia="zh-CN" w:bidi="ar"/>
              </w:rPr>
            </w:pPr>
          </w:p>
        </w:tc>
      </w:tr>
    </w:tbl>
    <w:p w14:paraId="6E02730A">
      <w:pPr>
        <w:rPr>
          <w:rFonts w:ascii="宋体" w:hAnsi="宋体"/>
          <w:color w:val="auto"/>
          <w:sz w:val="24"/>
        </w:rPr>
      </w:pPr>
    </w:p>
    <w:p w14:paraId="5BBCC85A">
      <w:pPr>
        <w:pStyle w:val="10"/>
        <w:rPr>
          <w:rFonts w:hint="eastAsia" w:ascii="宋体" w:hAnsi="宋体"/>
          <w:color w:val="auto"/>
          <w:sz w:val="24"/>
          <w:lang w:val="en-US" w:eastAsia="zh-CN"/>
        </w:rPr>
      </w:pPr>
      <w:r>
        <w:rPr>
          <w:rFonts w:hint="eastAsia" w:ascii="宋体" w:hAnsi="宋体"/>
          <w:color w:val="auto"/>
          <w:sz w:val="24"/>
          <w:lang w:val="en-US" w:eastAsia="zh-CN"/>
        </w:rPr>
        <w:t xml:space="preserve">    </w:t>
      </w:r>
    </w:p>
    <w:p w14:paraId="0A57AFD9">
      <w:pPr>
        <w:rPr>
          <w:rFonts w:hint="eastAsia" w:ascii="宋体" w:hAnsi="宋体"/>
          <w:color w:val="auto"/>
          <w:sz w:val="24"/>
          <w:lang w:val="en-US" w:eastAsia="zh-CN"/>
        </w:rPr>
      </w:pPr>
      <w:r>
        <w:rPr>
          <w:rFonts w:hint="eastAsia" w:ascii="宋体" w:hAnsi="宋体"/>
          <w:color w:val="auto"/>
          <w:sz w:val="24"/>
          <w:lang w:val="en-US" w:eastAsia="zh-CN"/>
        </w:rPr>
        <w:br w:type="page"/>
      </w:r>
    </w:p>
    <w:p w14:paraId="3B3E64D7">
      <w:pPr>
        <w:pStyle w:val="10"/>
        <w:rPr>
          <w:rFonts w:hint="default" w:ascii="宋体" w:hAnsi="宋体" w:eastAsia="宋体"/>
          <w:color w:val="auto"/>
          <w:sz w:val="24"/>
          <w:lang w:val="en-US" w:eastAsia="zh-CN"/>
        </w:rPr>
      </w:pPr>
      <w:r>
        <w:rPr>
          <w:rFonts w:hint="eastAsia" w:ascii="宋体" w:hAnsi="宋体"/>
          <w:color w:val="auto"/>
          <w:sz w:val="24"/>
          <w:lang w:val="en-US" w:eastAsia="zh-CN"/>
        </w:rPr>
        <w:t>2、热力机组设备报价明细表</w:t>
      </w:r>
    </w:p>
    <w:tbl>
      <w:tblPr>
        <w:tblStyle w:val="39"/>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3"/>
        <w:gridCol w:w="6235"/>
        <w:gridCol w:w="2782"/>
      </w:tblGrid>
      <w:tr w14:paraId="17538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73" w:type="pct"/>
            <w:noWrap w:val="0"/>
            <w:vAlign w:val="center"/>
          </w:tcPr>
          <w:p w14:paraId="65EABDBE">
            <w:pPr>
              <w:spacing w:line="440" w:lineRule="exact"/>
              <w:jc w:val="center"/>
              <w:rPr>
                <w:rFonts w:hint="eastAsia" w:ascii="宋体" w:hAnsi="Times New Roman" w:eastAsia="宋体" w:cs="Times New Roman"/>
                <w:color w:val="auto"/>
                <w:sz w:val="24"/>
                <w:szCs w:val="24"/>
              </w:rPr>
            </w:pPr>
            <w:r>
              <w:rPr>
                <w:rFonts w:hint="eastAsia" w:ascii="宋体" w:hAnsi="Times New Roman" w:eastAsia="宋体" w:cs="Times New Roman"/>
                <w:color w:val="auto"/>
                <w:sz w:val="24"/>
                <w:szCs w:val="24"/>
              </w:rPr>
              <w:t>序号</w:t>
            </w:r>
          </w:p>
        </w:tc>
        <w:tc>
          <w:tcPr>
            <w:tcW w:w="3129" w:type="pct"/>
            <w:noWrap w:val="0"/>
            <w:vAlign w:val="center"/>
          </w:tcPr>
          <w:p w14:paraId="06BFB2D7">
            <w:pPr>
              <w:spacing w:line="440" w:lineRule="exact"/>
              <w:jc w:val="center"/>
              <w:rPr>
                <w:rFonts w:hint="eastAsia" w:ascii="宋体" w:hAnsi="Times New Roman" w:eastAsia="宋体" w:cs="Times New Roman"/>
                <w:color w:val="auto"/>
                <w:sz w:val="24"/>
                <w:szCs w:val="24"/>
              </w:rPr>
            </w:pPr>
            <w:r>
              <w:rPr>
                <w:rFonts w:hint="eastAsia" w:ascii="宋体" w:hAnsi="Times New Roman" w:eastAsia="宋体" w:cs="Times New Roman"/>
                <w:color w:val="auto"/>
                <w:sz w:val="24"/>
                <w:szCs w:val="24"/>
              </w:rPr>
              <w:t>项目</w:t>
            </w:r>
          </w:p>
        </w:tc>
        <w:tc>
          <w:tcPr>
            <w:tcW w:w="1396" w:type="pct"/>
            <w:noWrap w:val="0"/>
            <w:vAlign w:val="center"/>
          </w:tcPr>
          <w:p w14:paraId="1CAA834E">
            <w:pPr>
              <w:spacing w:line="440" w:lineRule="exact"/>
              <w:jc w:val="center"/>
              <w:rPr>
                <w:rFonts w:hint="eastAsia" w:ascii="宋体" w:hAnsi="Times New Roman" w:eastAsia="宋体" w:cs="Times New Roman"/>
                <w:color w:val="auto"/>
                <w:sz w:val="24"/>
                <w:szCs w:val="24"/>
              </w:rPr>
            </w:pPr>
            <w:r>
              <w:rPr>
                <w:rFonts w:hint="eastAsia" w:ascii="宋体" w:hAnsi="Times New Roman" w:eastAsia="宋体" w:cs="Times New Roman"/>
                <w:color w:val="auto"/>
                <w:sz w:val="24"/>
                <w:szCs w:val="24"/>
              </w:rPr>
              <w:t>价格（元人民币）</w:t>
            </w:r>
          </w:p>
        </w:tc>
      </w:tr>
      <w:tr w14:paraId="343D4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73" w:type="pct"/>
            <w:noWrap w:val="0"/>
            <w:vAlign w:val="center"/>
          </w:tcPr>
          <w:p w14:paraId="76FEE776">
            <w:pPr>
              <w:spacing w:line="440" w:lineRule="exact"/>
              <w:jc w:val="center"/>
              <w:rPr>
                <w:rFonts w:hint="eastAsia" w:ascii="宋体" w:hAnsi="Times New Roman" w:eastAsia="宋体" w:cs="Times New Roman"/>
                <w:color w:val="auto"/>
                <w:sz w:val="24"/>
                <w:szCs w:val="24"/>
              </w:rPr>
            </w:pPr>
            <w:r>
              <w:rPr>
                <w:rFonts w:hint="eastAsia" w:ascii="宋体" w:hAnsi="Times New Roman" w:eastAsia="宋体" w:cs="Times New Roman"/>
                <w:color w:val="auto"/>
                <w:sz w:val="24"/>
                <w:szCs w:val="24"/>
              </w:rPr>
              <w:t>1</w:t>
            </w:r>
          </w:p>
        </w:tc>
        <w:tc>
          <w:tcPr>
            <w:tcW w:w="3129" w:type="pct"/>
            <w:noWrap w:val="0"/>
            <w:vAlign w:val="center"/>
          </w:tcPr>
          <w:p w14:paraId="69FBF782">
            <w:pPr>
              <w:spacing w:line="440" w:lineRule="exact"/>
              <w:jc w:val="center"/>
              <w:rPr>
                <w:rFonts w:hint="eastAsia" w:ascii="宋体" w:hAnsi="Times New Roman" w:eastAsia="宋体" w:cs="Times New Roman"/>
                <w:color w:val="auto"/>
                <w:sz w:val="24"/>
                <w:szCs w:val="24"/>
              </w:rPr>
            </w:pPr>
            <w:r>
              <w:rPr>
                <w:rFonts w:hint="eastAsia" w:ascii="宋体" w:hAnsi="Times New Roman" w:eastAsia="宋体" w:cs="Times New Roman"/>
                <w:color w:val="auto"/>
                <w:sz w:val="24"/>
                <w:szCs w:val="24"/>
                <w:lang w:val="en-US" w:eastAsia="zh-CN"/>
              </w:rPr>
              <w:t>换热站工程-换热机组</w:t>
            </w:r>
            <w:r>
              <w:rPr>
                <w:rFonts w:hint="eastAsia" w:ascii="宋体" w:hAnsi="Times New Roman" w:eastAsia="宋体" w:cs="Times New Roman"/>
                <w:color w:val="auto"/>
                <w:sz w:val="24"/>
                <w:szCs w:val="24"/>
              </w:rPr>
              <w:t>设备价格</w:t>
            </w:r>
          </w:p>
        </w:tc>
        <w:tc>
          <w:tcPr>
            <w:tcW w:w="1396" w:type="pct"/>
            <w:noWrap w:val="0"/>
            <w:vAlign w:val="center"/>
          </w:tcPr>
          <w:p w14:paraId="13C8C3C6">
            <w:pPr>
              <w:spacing w:line="440" w:lineRule="exact"/>
              <w:jc w:val="center"/>
              <w:rPr>
                <w:rFonts w:hint="eastAsia" w:ascii="宋体" w:hAnsi="Times New Roman" w:eastAsia="宋体" w:cs="Times New Roman"/>
                <w:color w:val="auto"/>
                <w:sz w:val="24"/>
                <w:szCs w:val="24"/>
                <w:lang w:val="en-US" w:eastAsia="zh-CN"/>
              </w:rPr>
            </w:pPr>
          </w:p>
        </w:tc>
      </w:tr>
      <w:tr w14:paraId="67B39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473" w:type="pct"/>
            <w:noWrap w:val="0"/>
            <w:vAlign w:val="center"/>
          </w:tcPr>
          <w:p w14:paraId="210B9EE4">
            <w:pPr>
              <w:spacing w:line="440" w:lineRule="exact"/>
              <w:jc w:val="center"/>
              <w:rPr>
                <w:rFonts w:hint="eastAsia" w:ascii="宋体" w:hAnsi="Times New Roman" w:eastAsia="宋体" w:cs="Times New Roman"/>
                <w:color w:val="auto"/>
                <w:sz w:val="24"/>
                <w:szCs w:val="24"/>
              </w:rPr>
            </w:pPr>
            <w:r>
              <w:rPr>
                <w:rFonts w:hint="eastAsia" w:ascii="宋体" w:hAnsi="Times New Roman" w:eastAsia="宋体" w:cs="Times New Roman"/>
                <w:color w:val="auto"/>
                <w:sz w:val="24"/>
                <w:szCs w:val="24"/>
              </w:rPr>
              <w:t>2</w:t>
            </w:r>
          </w:p>
        </w:tc>
        <w:tc>
          <w:tcPr>
            <w:tcW w:w="3129" w:type="pct"/>
            <w:noWrap w:val="0"/>
            <w:vAlign w:val="center"/>
          </w:tcPr>
          <w:p w14:paraId="3A40A5EF">
            <w:pPr>
              <w:spacing w:line="440" w:lineRule="exact"/>
              <w:jc w:val="center"/>
              <w:rPr>
                <w:rFonts w:hint="default" w:ascii="宋体" w:hAnsi="Times New Roman" w:eastAsia="宋体" w:cs="Times New Roman"/>
                <w:color w:val="auto"/>
                <w:sz w:val="24"/>
                <w:szCs w:val="24"/>
                <w:lang w:val="en-US"/>
              </w:rPr>
            </w:pPr>
            <w:r>
              <w:rPr>
                <w:rFonts w:hint="eastAsia" w:ascii="宋体" w:hAnsi="Times New Roman" w:eastAsia="宋体" w:cs="Times New Roman"/>
                <w:color w:val="auto"/>
                <w:sz w:val="24"/>
                <w:szCs w:val="24"/>
                <w:lang w:val="en-US" w:eastAsia="zh-CN"/>
              </w:rPr>
              <w:t>换热站工程-水处理配套设备</w:t>
            </w:r>
          </w:p>
        </w:tc>
        <w:tc>
          <w:tcPr>
            <w:tcW w:w="1396" w:type="pct"/>
            <w:noWrap w:val="0"/>
            <w:vAlign w:val="center"/>
          </w:tcPr>
          <w:p w14:paraId="6C45A58B">
            <w:pPr>
              <w:spacing w:line="440" w:lineRule="exact"/>
              <w:jc w:val="center"/>
              <w:rPr>
                <w:rFonts w:hint="default" w:ascii="宋体" w:hAnsi="Times New Roman" w:eastAsia="宋体" w:cs="Times New Roman"/>
                <w:color w:val="auto"/>
                <w:sz w:val="24"/>
                <w:szCs w:val="24"/>
                <w:lang w:val="en-US" w:eastAsia="zh-CN"/>
              </w:rPr>
            </w:pPr>
          </w:p>
        </w:tc>
      </w:tr>
      <w:tr w14:paraId="79121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473" w:type="pct"/>
            <w:noWrap w:val="0"/>
            <w:vAlign w:val="center"/>
          </w:tcPr>
          <w:p w14:paraId="3AAAFB1D">
            <w:pPr>
              <w:spacing w:line="440" w:lineRule="exact"/>
              <w:jc w:val="center"/>
              <w:rPr>
                <w:rFonts w:hint="eastAsia" w:ascii="宋体" w:hAnsi="Times New Roman" w:eastAsia="宋体" w:cs="Times New Roman"/>
                <w:color w:val="auto"/>
                <w:sz w:val="24"/>
                <w:szCs w:val="24"/>
                <w:lang w:val="en-US" w:eastAsia="zh-CN"/>
              </w:rPr>
            </w:pPr>
            <w:r>
              <w:rPr>
                <w:rFonts w:hint="eastAsia" w:ascii="宋体" w:hAnsi="Times New Roman" w:eastAsia="宋体" w:cs="Times New Roman"/>
                <w:color w:val="auto"/>
                <w:sz w:val="24"/>
                <w:szCs w:val="24"/>
                <w:lang w:val="en-US" w:eastAsia="zh-CN"/>
              </w:rPr>
              <w:t>3</w:t>
            </w:r>
          </w:p>
        </w:tc>
        <w:tc>
          <w:tcPr>
            <w:tcW w:w="3129" w:type="pct"/>
            <w:noWrap w:val="0"/>
            <w:vAlign w:val="center"/>
          </w:tcPr>
          <w:p w14:paraId="4C5A3559">
            <w:pPr>
              <w:spacing w:line="440" w:lineRule="exact"/>
              <w:jc w:val="center"/>
              <w:rPr>
                <w:rFonts w:hint="default" w:ascii="宋体" w:hAnsi="Times New Roman" w:eastAsia="宋体" w:cs="Times New Roman"/>
                <w:color w:val="auto"/>
                <w:sz w:val="24"/>
                <w:szCs w:val="24"/>
                <w:lang w:val="en-US" w:eastAsia="zh-CN"/>
              </w:rPr>
            </w:pPr>
            <w:r>
              <w:rPr>
                <w:rFonts w:hint="eastAsia" w:ascii="宋体" w:hAnsi="Times New Roman" w:eastAsia="宋体" w:cs="Times New Roman"/>
                <w:color w:val="auto"/>
                <w:sz w:val="24"/>
                <w:szCs w:val="24"/>
                <w:lang w:val="en-US" w:eastAsia="zh-CN"/>
              </w:rPr>
              <w:t>换热站工程-管道安装及配套设施</w:t>
            </w:r>
          </w:p>
        </w:tc>
        <w:tc>
          <w:tcPr>
            <w:tcW w:w="1396" w:type="pct"/>
            <w:noWrap w:val="0"/>
            <w:vAlign w:val="center"/>
          </w:tcPr>
          <w:p w14:paraId="0C2C5177">
            <w:pPr>
              <w:spacing w:line="440" w:lineRule="exact"/>
              <w:jc w:val="center"/>
              <w:rPr>
                <w:rFonts w:hint="default" w:ascii="宋体" w:hAnsi="Times New Roman" w:eastAsia="宋体" w:cs="Times New Roman"/>
                <w:color w:val="auto"/>
                <w:sz w:val="24"/>
                <w:szCs w:val="24"/>
                <w:lang w:val="en-US" w:eastAsia="zh-CN"/>
              </w:rPr>
            </w:pPr>
          </w:p>
        </w:tc>
      </w:tr>
    </w:tbl>
    <w:p w14:paraId="2A94EF2C">
      <w:pPr>
        <w:rPr>
          <w:rFonts w:ascii="宋体" w:hAnsi="宋体"/>
          <w:color w:val="auto"/>
          <w:sz w:val="24"/>
        </w:rPr>
      </w:pPr>
    </w:p>
    <w:p w14:paraId="13449F4B">
      <w:pPr>
        <w:pStyle w:val="10"/>
        <w:rPr>
          <w:rFonts w:ascii="宋体" w:hAnsi="宋体"/>
          <w:color w:val="auto"/>
          <w:sz w:val="24"/>
        </w:rPr>
      </w:pPr>
    </w:p>
    <w:p w14:paraId="63ED131E">
      <w:pPr>
        <w:rPr>
          <w:rFonts w:ascii="宋体" w:hAnsi="宋体"/>
          <w:color w:val="auto"/>
          <w:sz w:val="24"/>
        </w:rPr>
      </w:pPr>
    </w:p>
    <w:p w14:paraId="68E248BA">
      <w:pPr>
        <w:pStyle w:val="10"/>
        <w:rPr>
          <w:rFonts w:ascii="宋体" w:hAnsi="宋体"/>
          <w:color w:val="auto"/>
          <w:sz w:val="24"/>
        </w:rPr>
      </w:pPr>
    </w:p>
    <w:p w14:paraId="4347638B">
      <w:pPr>
        <w:rPr>
          <w:rFonts w:ascii="宋体" w:hAnsi="宋体"/>
          <w:color w:val="auto"/>
          <w:sz w:val="24"/>
        </w:rPr>
      </w:pPr>
    </w:p>
    <w:p w14:paraId="31A7C0D0">
      <w:pPr>
        <w:pStyle w:val="10"/>
        <w:rPr>
          <w:rFonts w:ascii="宋体" w:hAnsi="宋体"/>
          <w:color w:val="auto"/>
          <w:sz w:val="24"/>
        </w:rPr>
      </w:pPr>
    </w:p>
    <w:p w14:paraId="5BCB753C">
      <w:pPr>
        <w:rPr>
          <w:rFonts w:ascii="宋体" w:hAnsi="宋体"/>
          <w:color w:val="auto"/>
          <w:sz w:val="24"/>
        </w:rPr>
      </w:pPr>
    </w:p>
    <w:p w14:paraId="51B5F9EC">
      <w:pPr>
        <w:pStyle w:val="10"/>
        <w:rPr>
          <w:rFonts w:ascii="宋体" w:hAnsi="宋体"/>
          <w:color w:val="auto"/>
          <w:sz w:val="24"/>
        </w:rPr>
      </w:pPr>
    </w:p>
    <w:p w14:paraId="111C23CB">
      <w:pPr>
        <w:rPr>
          <w:rFonts w:ascii="宋体" w:hAnsi="宋体"/>
          <w:color w:val="auto"/>
          <w:sz w:val="24"/>
        </w:rPr>
      </w:pPr>
    </w:p>
    <w:p w14:paraId="006B292E">
      <w:pPr>
        <w:pStyle w:val="10"/>
        <w:rPr>
          <w:rFonts w:ascii="宋体" w:hAnsi="宋体"/>
          <w:color w:val="auto"/>
          <w:sz w:val="24"/>
        </w:rPr>
      </w:pPr>
    </w:p>
    <w:p w14:paraId="29632747">
      <w:pPr>
        <w:rPr>
          <w:rFonts w:ascii="宋体" w:hAnsi="宋体"/>
          <w:color w:val="auto"/>
          <w:sz w:val="24"/>
        </w:rPr>
      </w:pPr>
    </w:p>
    <w:p w14:paraId="0C0ACB10">
      <w:pPr>
        <w:pStyle w:val="10"/>
        <w:rPr>
          <w:rFonts w:ascii="宋体" w:hAnsi="宋体"/>
          <w:color w:val="auto"/>
          <w:sz w:val="24"/>
        </w:rPr>
      </w:pPr>
    </w:p>
    <w:p w14:paraId="2FF2B2FB">
      <w:pPr>
        <w:rPr>
          <w:rFonts w:ascii="宋体" w:hAnsi="宋体"/>
          <w:color w:val="auto"/>
          <w:sz w:val="24"/>
        </w:rPr>
      </w:pPr>
    </w:p>
    <w:p w14:paraId="66E80ACC">
      <w:pPr>
        <w:pStyle w:val="10"/>
        <w:rPr>
          <w:rFonts w:ascii="宋体" w:hAnsi="宋体"/>
          <w:color w:val="auto"/>
          <w:sz w:val="24"/>
        </w:rPr>
      </w:pPr>
    </w:p>
    <w:p w14:paraId="2164BF17">
      <w:pPr>
        <w:rPr>
          <w:rFonts w:ascii="宋体" w:hAnsi="宋体"/>
          <w:color w:val="auto"/>
          <w:sz w:val="24"/>
        </w:rPr>
      </w:pPr>
    </w:p>
    <w:p w14:paraId="328D133F">
      <w:pPr>
        <w:pStyle w:val="10"/>
        <w:rPr>
          <w:rFonts w:ascii="宋体" w:hAnsi="宋体"/>
          <w:color w:val="auto"/>
          <w:sz w:val="24"/>
        </w:rPr>
      </w:pPr>
    </w:p>
    <w:p w14:paraId="4C82DCE1">
      <w:pPr>
        <w:pStyle w:val="10"/>
        <w:rPr>
          <w:color w:val="auto"/>
        </w:rPr>
      </w:pPr>
    </w:p>
    <w:p w14:paraId="3C6B8E09">
      <w:pPr>
        <w:spacing w:line="360" w:lineRule="auto"/>
        <w:jc w:val="center"/>
        <w:rPr>
          <w:rFonts w:hint="eastAsia" w:ascii="宋体" w:hAnsi="宋体" w:eastAsia="宋体"/>
          <w:b/>
          <w:color w:val="auto"/>
          <w:sz w:val="24"/>
          <w:szCs w:val="24"/>
          <w:lang w:eastAsia="zh-CN"/>
        </w:rPr>
      </w:pPr>
      <w:r>
        <w:rPr>
          <w:rFonts w:hint="eastAsia" w:ascii="宋体" w:hAnsi="宋体"/>
          <w:b/>
          <w:bCs/>
          <w:color w:val="auto"/>
          <w:lang w:eastAsia="zh-CN"/>
        </w:rPr>
        <w:t>五</w:t>
      </w:r>
      <w:r>
        <w:rPr>
          <w:rFonts w:hint="eastAsia" w:ascii="宋体" w:hAnsi="宋体"/>
          <w:b/>
          <w:bCs/>
          <w:color w:val="auto"/>
        </w:rPr>
        <w:t>、</w:t>
      </w:r>
      <w:r>
        <w:rPr>
          <w:rFonts w:hint="eastAsia" w:ascii="宋体" w:hAnsi="宋体"/>
          <w:b/>
          <w:color w:val="auto"/>
          <w:sz w:val="24"/>
          <w:szCs w:val="24"/>
          <w:lang w:eastAsia="zh-CN"/>
        </w:rPr>
        <w:t>技术部分</w:t>
      </w:r>
    </w:p>
    <w:p w14:paraId="01743F40">
      <w:pPr>
        <w:spacing w:line="360" w:lineRule="auto"/>
        <w:rPr>
          <w:rFonts w:ascii="宋体" w:hAnsi="宋体"/>
          <w:color w:val="auto"/>
          <w:sz w:val="24"/>
        </w:rPr>
      </w:pPr>
      <w:r>
        <w:rPr>
          <w:rFonts w:hint="eastAsia" w:ascii="宋体" w:hAnsi="宋体"/>
          <w:color w:val="auto"/>
          <w:sz w:val="24"/>
        </w:rPr>
        <w:t>一、施工组织方案：</w:t>
      </w:r>
    </w:p>
    <w:tbl>
      <w:tblPr>
        <w:tblStyle w:val="39"/>
        <w:tblW w:w="9505" w:type="dxa"/>
        <w:jc w:val="center"/>
        <w:tblLayout w:type="fixed"/>
        <w:tblCellMar>
          <w:top w:w="0" w:type="dxa"/>
          <w:left w:w="108" w:type="dxa"/>
          <w:bottom w:w="0" w:type="dxa"/>
          <w:right w:w="108" w:type="dxa"/>
        </w:tblCellMar>
      </w:tblPr>
      <w:tblGrid>
        <w:gridCol w:w="9505"/>
      </w:tblGrid>
      <w:tr w14:paraId="257BA21B">
        <w:tblPrEx>
          <w:tblCellMar>
            <w:top w:w="0" w:type="dxa"/>
            <w:left w:w="108" w:type="dxa"/>
            <w:bottom w:w="0" w:type="dxa"/>
            <w:right w:w="108" w:type="dxa"/>
          </w:tblCellMar>
        </w:tblPrEx>
        <w:trPr>
          <w:trHeight w:val="600" w:hRule="atLeast"/>
          <w:jc w:val="center"/>
        </w:trPr>
        <w:tc>
          <w:tcPr>
            <w:tcW w:w="9505" w:type="dxa"/>
          </w:tcPr>
          <w:p w14:paraId="38C00B76">
            <w:pPr>
              <w:rPr>
                <w:rFonts w:ascii="宋体" w:hAnsi="宋体"/>
                <w:color w:val="auto"/>
                <w:sz w:val="24"/>
              </w:rPr>
            </w:pPr>
            <w:r>
              <w:rPr>
                <w:rFonts w:hint="eastAsia" w:ascii="宋体" w:hAnsi="宋体"/>
                <w:color w:val="auto"/>
                <w:sz w:val="24"/>
              </w:rPr>
              <w:t>1.针对项目特点内容规范完整性和整体编制水平</w:t>
            </w:r>
          </w:p>
        </w:tc>
      </w:tr>
      <w:tr w14:paraId="66A25FD1">
        <w:tblPrEx>
          <w:tblCellMar>
            <w:top w:w="0" w:type="dxa"/>
            <w:left w:w="108" w:type="dxa"/>
            <w:bottom w:w="0" w:type="dxa"/>
            <w:right w:w="108" w:type="dxa"/>
          </w:tblCellMar>
        </w:tblPrEx>
        <w:trPr>
          <w:trHeight w:val="600" w:hRule="atLeast"/>
          <w:jc w:val="center"/>
        </w:trPr>
        <w:tc>
          <w:tcPr>
            <w:tcW w:w="9505" w:type="dxa"/>
          </w:tcPr>
          <w:p w14:paraId="24DC126E">
            <w:pPr>
              <w:rPr>
                <w:rFonts w:ascii="宋体" w:hAnsi="宋体"/>
                <w:color w:val="auto"/>
                <w:sz w:val="24"/>
              </w:rPr>
            </w:pPr>
            <w:r>
              <w:rPr>
                <w:rFonts w:hint="eastAsia" w:ascii="宋体" w:hAnsi="宋体"/>
                <w:color w:val="auto"/>
                <w:sz w:val="24"/>
              </w:rPr>
              <w:t>2.施工方案与技术措施</w:t>
            </w:r>
          </w:p>
        </w:tc>
      </w:tr>
      <w:tr w14:paraId="05B5B2CB">
        <w:tblPrEx>
          <w:tblCellMar>
            <w:top w:w="0" w:type="dxa"/>
            <w:left w:w="108" w:type="dxa"/>
            <w:bottom w:w="0" w:type="dxa"/>
            <w:right w:w="108" w:type="dxa"/>
          </w:tblCellMar>
        </w:tblPrEx>
        <w:trPr>
          <w:trHeight w:val="600" w:hRule="atLeast"/>
          <w:jc w:val="center"/>
        </w:trPr>
        <w:tc>
          <w:tcPr>
            <w:tcW w:w="9505" w:type="dxa"/>
          </w:tcPr>
          <w:p w14:paraId="7132A1BC">
            <w:pPr>
              <w:rPr>
                <w:rFonts w:ascii="宋体" w:hAnsi="宋体"/>
                <w:color w:val="auto"/>
                <w:sz w:val="24"/>
              </w:rPr>
            </w:pPr>
            <w:r>
              <w:rPr>
                <w:rFonts w:hint="eastAsia" w:ascii="宋体" w:hAnsi="宋体"/>
                <w:color w:val="auto"/>
                <w:sz w:val="24"/>
              </w:rPr>
              <w:t>3.质量管理体系与措施</w:t>
            </w:r>
          </w:p>
        </w:tc>
      </w:tr>
      <w:tr w14:paraId="26D2783F">
        <w:tblPrEx>
          <w:tblCellMar>
            <w:top w:w="0" w:type="dxa"/>
            <w:left w:w="108" w:type="dxa"/>
            <w:bottom w:w="0" w:type="dxa"/>
            <w:right w:w="108" w:type="dxa"/>
          </w:tblCellMar>
        </w:tblPrEx>
        <w:trPr>
          <w:trHeight w:val="600" w:hRule="atLeast"/>
          <w:jc w:val="center"/>
        </w:trPr>
        <w:tc>
          <w:tcPr>
            <w:tcW w:w="9505" w:type="dxa"/>
          </w:tcPr>
          <w:p w14:paraId="0BF9132F">
            <w:pPr>
              <w:rPr>
                <w:rFonts w:ascii="宋体" w:hAnsi="宋体"/>
                <w:color w:val="auto"/>
                <w:sz w:val="24"/>
              </w:rPr>
            </w:pPr>
            <w:r>
              <w:rPr>
                <w:rFonts w:hint="eastAsia" w:ascii="宋体" w:hAnsi="宋体"/>
                <w:color w:val="auto"/>
                <w:sz w:val="24"/>
              </w:rPr>
              <w:t>4.安全管理体系与措施</w:t>
            </w:r>
          </w:p>
        </w:tc>
      </w:tr>
      <w:tr w14:paraId="5A111B99">
        <w:tblPrEx>
          <w:tblCellMar>
            <w:top w:w="0" w:type="dxa"/>
            <w:left w:w="108" w:type="dxa"/>
            <w:bottom w:w="0" w:type="dxa"/>
            <w:right w:w="108" w:type="dxa"/>
          </w:tblCellMar>
        </w:tblPrEx>
        <w:trPr>
          <w:trHeight w:val="600" w:hRule="atLeast"/>
          <w:jc w:val="center"/>
        </w:trPr>
        <w:tc>
          <w:tcPr>
            <w:tcW w:w="9505" w:type="dxa"/>
          </w:tcPr>
          <w:p w14:paraId="1837A7EC">
            <w:pPr>
              <w:rPr>
                <w:rFonts w:ascii="宋体" w:hAnsi="宋体"/>
                <w:color w:val="auto"/>
                <w:sz w:val="24"/>
              </w:rPr>
            </w:pPr>
            <w:r>
              <w:rPr>
                <w:rFonts w:hint="eastAsia" w:ascii="宋体" w:hAnsi="宋体"/>
                <w:color w:val="auto"/>
                <w:sz w:val="24"/>
              </w:rPr>
              <w:t>5.工程进度计划与措施</w:t>
            </w:r>
          </w:p>
        </w:tc>
      </w:tr>
      <w:tr w14:paraId="327D3744">
        <w:tblPrEx>
          <w:tblCellMar>
            <w:top w:w="0" w:type="dxa"/>
            <w:left w:w="108" w:type="dxa"/>
            <w:bottom w:w="0" w:type="dxa"/>
            <w:right w:w="108" w:type="dxa"/>
          </w:tblCellMar>
        </w:tblPrEx>
        <w:trPr>
          <w:trHeight w:val="600" w:hRule="atLeast"/>
          <w:jc w:val="center"/>
        </w:trPr>
        <w:tc>
          <w:tcPr>
            <w:tcW w:w="9505" w:type="dxa"/>
          </w:tcPr>
          <w:p w14:paraId="013AFC22">
            <w:pPr>
              <w:rPr>
                <w:rFonts w:ascii="宋体" w:hAnsi="宋体"/>
                <w:color w:val="auto"/>
                <w:sz w:val="24"/>
              </w:rPr>
            </w:pPr>
            <w:r>
              <w:rPr>
                <w:rFonts w:hint="eastAsia" w:ascii="宋体" w:hAnsi="宋体"/>
                <w:color w:val="auto"/>
                <w:sz w:val="24"/>
              </w:rPr>
              <w:t>6.环保管理体系与措施</w:t>
            </w:r>
          </w:p>
        </w:tc>
      </w:tr>
      <w:tr w14:paraId="0EF6A1D4">
        <w:tblPrEx>
          <w:tblCellMar>
            <w:top w:w="0" w:type="dxa"/>
            <w:left w:w="108" w:type="dxa"/>
            <w:bottom w:w="0" w:type="dxa"/>
            <w:right w:w="108" w:type="dxa"/>
          </w:tblCellMar>
        </w:tblPrEx>
        <w:trPr>
          <w:trHeight w:val="600" w:hRule="atLeast"/>
          <w:jc w:val="center"/>
        </w:trPr>
        <w:tc>
          <w:tcPr>
            <w:tcW w:w="9505" w:type="dxa"/>
          </w:tcPr>
          <w:p w14:paraId="6324C4E0">
            <w:pPr>
              <w:rPr>
                <w:rFonts w:ascii="宋体" w:hAnsi="宋体"/>
                <w:color w:val="auto"/>
                <w:sz w:val="24"/>
              </w:rPr>
            </w:pPr>
            <w:r>
              <w:rPr>
                <w:rFonts w:hint="eastAsia" w:ascii="宋体" w:hAnsi="宋体"/>
                <w:color w:val="auto"/>
                <w:sz w:val="24"/>
              </w:rPr>
              <w:t>7.文明管理体系与措施</w:t>
            </w:r>
          </w:p>
        </w:tc>
      </w:tr>
      <w:tr w14:paraId="1A10514A">
        <w:tblPrEx>
          <w:tblCellMar>
            <w:top w:w="0" w:type="dxa"/>
            <w:left w:w="108" w:type="dxa"/>
            <w:bottom w:w="0" w:type="dxa"/>
            <w:right w:w="108" w:type="dxa"/>
          </w:tblCellMar>
        </w:tblPrEx>
        <w:trPr>
          <w:trHeight w:val="600" w:hRule="atLeast"/>
          <w:jc w:val="center"/>
        </w:trPr>
        <w:tc>
          <w:tcPr>
            <w:tcW w:w="9505" w:type="dxa"/>
          </w:tcPr>
          <w:p w14:paraId="742DA17B">
            <w:pPr>
              <w:rPr>
                <w:rFonts w:ascii="宋体" w:hAnsi="宋体"/>
                <w:color w:val="auto"/>
                <w:sz w:val="24"/>
              </w:rPr>
            </w:pPr>
            <w:r>
              <w:rPr>
                <w:rFonts w:hint="eastAsia" w:ascii="宋体" w:hAnsi="宋体"/>
                <w:color w:val="auto"/>
                <w:sz w:val="24"/>
              </w:rPr>
              <w:t>8.施工管理及措施</w:t>
            </w:r>
          </w:p>
        </w:tc>
      </w:tr>
      <w:tr w14:paraId="51741EB5">
        <w:tblPrEx>
          <w:tblCellMar>
            <w:top w:w="0" w:type="dxa"/>
            <w:left w:w="108" w:type="dxa"/>
            <w:bottom w:w="0" w:type="dxa"/>
            <w:right w:w="108" w:type="dxa"/>
          </w:tblCellMar>
        </w:tblPrEx>
        <w:trPr>
          <w:trHeight w:val="600" w:hRule="atLeast"/>
          <w:jc w:val="center"/>
        </w:trPr>
        <w:tc>
          <w:tcPr>
            <w:tcW w:w="9505" w:type="dxa"/>
          </w:tcPr>
          <w:p w14:paraId="582D3835">
            <w:pPr>
              <w:rPr>
                <w:rFonts w:ascii="宋体" w:hAnsi="宋体"/>
                <w:color w:val="auto"/>
                <w:sz w:val="24"/>
              </w:rPr>
            </w:pPr>
            <w:r>
              <w:rPr>
                <w:rFonts w:hint="eastAsia" w:ascii="宋体" w:hAnsi="宋体"/>
                <w:color w:val="auto"/>
                <w:sz w:val="24"/>
              </w:rPr>
              <w:t>9.资源配备计划及措施</w:t>
            </w:r>
          </w:p>
        </w:tc>
      </w:tr>
      <w:tr w14:paraId="20872933">
        <w:tblPrEx>
          <w:tblCellMar>
            <w:top w:w="0" w:type="dxa"/>
            <w:left w:w="108" w:type="dxa"/>
            <w:bottom w:w="0" w:type="dxa"/>
            <w:right w:w="108" w:type="dxa"/>
          </w:tblCellMar>
        </w:tblPrEx>
        <w:trPr>
          <w:trHeight w:val="600" w:hRule="atLeast"/>
          <w:jc w:val="center"/>
        </w:trPr>
        <w:tc>
          <w:tcPr>
            <w:tcW w:w="9505" w:type="dxa"/>
          </w:tcPr>
          <w:p w14:paraId="1DB3481E">
            <w:pPr>
              <w:rPr>
                <w:rFonts w:ascii="宋体" w:hAnsi="宋体"/>
                <w:color w:val="auto"/>
                <w:sz w:val="24"/>
              </w:rPr>
            </w:pPr>
            <w:r>
              <w:rPr>
                <w:rFonts w:hint="eastAsia" w:ascii="宋体" w:hAnsi="宋体"/>
                <w:color w:val="auto"/>
                <w:sz w:val="24"/>
              </w:rPr>
              <w:t>10.施工关键部位、材料采购要点的控制及措施</w:t>
            </w:r>
          </w:p>
        </w:tc>
      </w:tr>
    </w:tbl>
    <w:p w14:paraId="514AFAE9">
      <w:pPr>
        <w:spacing w:before="143" w:beforeLines="50" w:after="286" w:afterLines="100" w:line="360" w:lineRule="auto"/>
        <w:rPr>
          <w:rFonts w:hint="eastAsia" w:ascii="宋体" w:hAnsi="宋体"/>
          <w:b/>
          <w:color w:val="auto"/>
          <w:sz w:val="24"/>
          <w:lang w:eastAsia="zh-CN"/>
        </w:rPr>
      </w:pPr>
      <w:r>
        <w:rPr>
          <w:rFonts w:hint="eastAsia" w:ascii="宋体" w:hAnsi="宋体"/>
          <w:b/>
          <w:color w:val="auto"/>
          <w:sz w:val="24"/>
          <w:lang w:eastAsia="zh-CN"/>
        </w:rPr>
        <w:t>二、设备供货方案</w:t>
      </w:r>
    </w:p>
    <w:p w14:paraId="452A3140">
      <w:pPr>
        <w:spacing w:before="143" w:beforeLines="50" w:after="286" w:afterLines="100" w:line="360" w:lineRule="auto"/>
        <w:rPr>
          <w:rFonts w:hint="eastAsia" w:ascii="宋体" w:hAnsi="宋体" w:eastAsia="宋体"/>
          <w:b/>
          <w:color w:val="auto"/>
          <w:sz w:val="24"/>
          <w:lang w:eastAsia="zh-CN"/>
        </w:rPr>
      </w:pPr>
      <w:r>
        <w:rPr>
          <w:rFonts w:hint="eastAsia" w:ascii="宋体" w:hAnsi="宋体"/>
          <w:b/>
          <w:color w:val="auto"/>
          <w:sz w:val="24"/>
          <w:lang w:eastAsia="zh-CN"/>
        </w:rPr>
        <w:t>三、设备售后服务方案</w:t>
      </w:r>
    </w:p>
    <w:p w14:paraId="5CA97D61">
      <w:pPr>
        <w:spacing w:before="143" w:beforeLines="50" w:after="286" w:afterLines="100" w:line="360" w:lineRule="auto"/>
        <w:rPr>
          <w:rFonts w:ascii="宋体" w:hAnsi="宋体"/>
          <w:b/>
          <w:color w:val="auto"/>
          <w:sz w:val="24"/>
        </w:rPr>
      </w:pPr>
    </w:p>
    <w:p w14:paraId="16091E08">
      <w:pPr>
        <w:spacing w:before="143" w:beforeLines="50" w:after="286" w:afterLines="100" w:line="360" w:lineRule="auto"/>
        <w:rPr>
          <w:rFonts w:ascii="宋体" w:hAnsi="宋体"/>
          <w:b/>
          <w:color w:val="auto"/>
          <w:sz w:val="24"/>
        </w:rPr>
      </w:pPr>
    </w:p>
    <w:p w14:paraId="53A0270E">
      <w:pPr>
        <w:spacing w:before="143" w:beforeLines="50" w:after="286" w:afterLines="100" w:line="360" w:lineRule="auto"/>
        <w:rPr>
          <w:rFonts w:ascii="宋体" w:hAnsi="宋体"/>
          <w:b/>
          <w:color w:val="auto"/>
          <w:sz w:val="24"/>
        </w:rPr>
      </w:pPr>
    </w:p>
    <w:p w14:paraId="78424C51">
      <w:pPr>
        <w:spacing w:before="143" w:beforeLines="50" w:after="286" w:afterLines="100" w:line="360" w:lineRule="auto"/>
        <w:rPr>
          <w:rFonts w:ascii="宋体" w:hAnsi="宋体"/>
          <w:b/>
          <w:color w:val="auto"/>
          <w:sz w:val="24"/>
        </w:rPr>
      </w:pPr>
    </w:p>
    <w:p w14:paraId="3798EC2F">
      <w:pPr>
        <w:spacing w:before="143" w:beforeLines="50" w:after="286" w:afterLines="100" w:line="360" w:lineRule="auto"/>
        <w:rPr>
          <w:rFonts w:ascii="宋体" w:hAnsi="宋体"/>
          <w:b/>
          <w:color w:val="auto"/>
          <w:sz w:val="24"/>
        </w:rPr>
      </w:pPr>
    </w:p>
    <w:p w14:paraId="7D1FCE48">
      <w:pPr>
        <w:pStyle w:val="86"/>
        <w:tabs>
          <w:tab w:val="left" w:pos="9638"/>
        </w:tabs>
        <w:spacing w:line="360" w:lineRule="auto"/>
        <w:ind w:right="-82" w:firstLine="472" w:firstLineChars="196"/>
        <w:jc w:val="center"/>
        <w:rPr>
          <w:rFonts w:ascii="宋体" w:hAnsi="宋体"/>
          <w:b/>
          <w:color w:val="auto"/>
          <w:sz w:val="24"/>
          <w:szCs w:val="24"/>
        </w:rPr>
      </w:pPr>
      <w:bookmarkStart w:id="161" w:name="_Toc323642005"/>
      <w:bookmarkStart w:id="162" w:name="_Toc374107074"/>
      <w:bookmarkStart w:id="163" w:name="_Toc300901200"/>
      <w:r>
        <w:rPr>
          <w:rFonts w:hint="eastAsia" w:ascii="宋体" w:hAnsi="宋体"/>
          <w:b/>
          <w:color w:val="auto"/>
          <w:sz w:val="24"/>
          <w:szCs w:val="24"/>
        </w:rPr>
        <w:t>六、项目经理无在施建设工程项目承诺书</w:t>
      </w:r>
    </w:p>
    <w:p w14:paraId="2BCD365E">
      <w:pPr>
        <w:spacing w:before="286" w:beforeLines="100" w:after="286" w:afterLines="100" w:line="360" w:lineRule="auto"/>
        <w:jc w:val="center"/>
        <w:rPr>
          <w:rFonts w:ascii="宋体" w:hAnsi="宋体"/>
          <w:color w:val="auto"/>
          <w:sz w:val="24"/>
        </w:rPr>
      </w:pPr>
      <w:r>
        <w:rPr>
          <w:rFonts w:hint="eastAsia" w:ascii="宋体" w:hAnsi="宋体"/>
          <w:color w:val="auto"/>
          <w:sz w:val="24"/>
        </w:rPr>
        <w:t>承诺书</w:t>
      </w:r>
    </w:p>
    <w:p w14:paraId="20351D83">
      <w:pPr>
        <w:spacing w:after="286" w:afterLines="100" w:line="360" w:lineRule="auto"/>
        <w:ind w:firstLine="480" w:firstLineChars="200"/>
        <w:rPr>
          <w:rFonts w:ascii="宋体" w:hAnsi="宋体"/>
          <w:color w:val="auto"/>
          <w:sz w:val="24"/>
        </w:rPr>
      </w:pPr>
      <w:r>
        <w:rPr>
          <w:rFonts w:hint="eastAsia" w:ascii="宋体" w:hAnsi="宋体"/>
          <w:color w:val="auto"/>
          <w:sz w:val="24"/>
          <w:u w:val="single"/>
        </w:rPr>
        <w:t xml:space="preserve">（采购人名称）    </w:t>
      </w:r>
      <w:r>
        <w:rPr>
          <w:rFonts w:hint="eastAsia" w:ascii="宋体" w:hAnsi="宋体"/>
          <w:color w:val="auto"/>
          <w:sz w:val="24"/>
        </w:rPr>
        <w:t>：</w:t>
      </w:r>
    </w:p>
    <w:p w14:paraId="7654C234">
      <w:pPr>
        <w:spacing w:line="360" w:lineRule="auto"/>
        <w:ind w:firstLine="480" w:firstLineChars="200"/>
        <w:rPr>
          <w:rFonts w:ascii="宋体" w:hAnsi="宋体"/>
          <w:color w:val="auto"/>
          <w:sz w:val="24"/>
        </w:rPr>
      </w:pPr>
      <w:r>
        <w:rPr>
          <w:rFonts w:hint="eastAsia" w:ascii="宋体" w:hAnsi="宋体"/>
          <w:color w:val="auto"/>
          <w:sz w:val="24"/>
        </w:rPr>
        <w:t>我方在此声明，我方拟派往</w:t>
      </w:r>
      <w:r>
        <w:rPr>
          <w:rFonts w:hint="eastAsia" w:ascii="宋体" w:hAnsi="宋体"/>
          <w:color w:val="auto"/>
          <w:sz w:val="24"/>
          <w:u w:val="single"/>
        </w:rPr>
        <w:t xml:space="preserve">   （项目名称）</w:t>
      </w:r>
      <w:r>
        <w:rPr>
          <w:rFonts w:hint="eastAsia" w:ascii="宋体" w:hAnsi="宋体"/>
          <w:color w:val="auto"/>
          <w:sz w:val="24"/>
        </w:rPr>
        <w:t>（以下简称“本工程”）的项目经理</w:t>
      </w:r>
      <w:r>
        <w:rPr>
          <w:rFonts w:hint="eastAsia" w:ascii="宋体" w:hAnsi="宋体"/>
          <w:color w:val="auto"/>
          <w:sz w:val="24"/>
          <w:u w:val="single"/>
        </w:rPr>
        <w:t xml:space="preserve">     </w:t>
      </w:r>
      <w:r>
        <w:rPr>
          <w:rFonts w:hint="eastAsia" w:ascii="宋体" w:hAnsi="宋体"/>
          <w:color w:val="auto"/>
          <w:sz w:val="24"/>
        </w:rPr>
        <w:t>（项目经理姓名）现阶段没有担任任何在施建设工程项目的项目经理。</w:t>
      </w:r>
    </w:p>
    <w:p w14:paraId="5ABA1A85">
      <w:pPr>
        <w:spacing w:line="360" w:lineRule="auto"/>
        <w:ind w:firstLine="480" w:firstLineChars="200"/>
        <w:rPr>
          <w:rFonts w:ascii="宋体" w:hAnsi="宋体"/>
          <w:color w:val="auto"/>
          <w:sz w:val="24"/>
        </w:rPr>
      </w:pPr>
      <w:r>
        <w:rPr>
          <w:rFonts w:hint="eastAsia" w:ascii="宋体" w:hAnsi="宋体"/>
          <w:color w:val="auto"/>
          <w:sz w:val="24"/>
        </w:rPr>
        <w:t>我方保证上述信息的真实和准确，并愿意承担因我方就此弄虚作假所引起的一切法律后果。</w:t>
      </w:r>
    </w:p>
    <w:p w14:paraId="351D0493">
      <w:pPr>
        <w:spacing w:line="360" w:lineRule="auto"/>
        <w:ind w:firstLine="480" w:firstLineChars="200"/>
        <w:rPr>
          <w:rFonts w:ascii="宋体" w:hAnsi="宋体"/>
          <w:color w:val="auto"/>
          <w:sz w:val="24"/>
        </w:rPr>
      </w:pPr>
    </w:p>
    <w:p w14:paraId="00396332">
      <w:pPr>
        <w:spacing w:line="360" w:lineRule="auto"/>
        <w:ind w:firstLine="480" w:firstLineChars="200"/>
        <w:rPr>
          <w:rFonts w:ascii="宋体" w:hAnsi="宋体"/>
          <w:color w:val="auto"/>
          <w:sz w:val="24"/>
        </w:rPr>
      </w:pPr>
    </w:p>
    <w:p w14:paraId="471B339A">
      <w:pPr>
        <w:spacing w:line="360" w:lineRule="auto"/>
        <w:ind w:firstLine="480" w:firstLineChars="200"/>
        <w:rPr>
          <w:rFonts w:ascii="宋体" w:hAnsi="宋体"/>
          <w:color w:val="auto"/>
          <w:sz w:val="24"/>
        </w:rPr>
      </w:pPr>
      <w:r>
        <w:rPr>
          <w:rFonts w:hint="eastAsia" w:ascii="宋体" w:hAnsi="宋体"/>
          <w:color w:val="auto"/>
          <w:sz w:val="24"/>
        </w:rPr>
        <w:t>特此承诺。</w:t>
      </w:r>
    </w:p>
    <w:p w14:paraId="783BAC0C">
      <w:pPr>
        <w:spacing w:line="360" w:lineRule="auto"/>
        <w:ind w:firstLine="480" w:firstLineChars="200"/>
        <w:jc w:val="center"/>
        <w:rPr>
          <w:rFonts w:ascii="宋体" w:hAnsi="宋体"/>
          <w:color w:val="auto"/>
          <w:sz w:val="24"/>
        </w:rPr>
      </w:pPr>
      <w:r>
        <w:rPr>
          <w:rFonts w:hint="eastAsia" w:ascii="宋体" w:hAnsi="宋体"/>
          <w:color w:val="auto"/>
          <w:sz w:val="24"/>
          <w:lang w:val="en-US" w:eastAsia="zh-CN"/>
        </w:rPr>
        <w:t xml:space="preserve">                                    </w:t>
      </w:r>
      <w:r>
        <w:rPr>
          <w:rFonts w:hint="eastAsia" w:ascii="宋体" w:hAnsi="宋体"/>
          <w:color w:val="auto"/>
          <w:sz w:val="24"/>
        </w:rPr>
        <w:t>单位名称：</w:t>
      </w:r>
    </w:p>
    <w:p w14:paraId="0EDC47DA">
      <w:pPr>
        <w:spacing w:line="360" w:lineRule="auto"/>
        <w:ind w:firstLine="480" w:firstLineChars="200"/>
        <w:jc w:val="right"/>
        <w:rPr>
          <w:rFonts w:ascii="宋体" w:hAnsi="宋体"/>
          <w:color w:val="auto"/>
          <w:sz w:val="24"/>
        </w:rPr>
      </w:pPr>
      <w:r>
        <w:rPr>
          <w:rFonts w:hint="eastAsia" w:ascii="宋体" w:hAnsi="宋体"/>
          <w:color w:val="auto"/>
          <w:sz w:val="24"/>
        </w:rPr>
        <w:t xml:space="preserve">年 </w:t>
      </w:r>
      <w:r>
        <w:rPr>
          <w:rFonts w:hint="eastAsia" w:ascii="宋体" w:hAnsi="宋体"/>
          <w:color w:val="auto"/>
          <w:sz w:val="24"/>
          <w:lang w:val="en-US" w:eastAsia="zh-CN"/>
        </w:rPr>
        <w:t xml:space="preserve">  </w:t>
      </w:r>
      <w:r>
        <w:rPr>
          <w:rFonts w:hint="eastAsia" w:ascii="宋体" w:hAnsi="宋体"/>
          <w:color w:val="auto"/>
          <w:sz w:val="24"/>
        </w:rPr>
        <w:t>月</w:t>
      </w:r>
      <w:r>
        <w:rPr>
          <w:rFonts w:hint="eastAsia" w:ascii="宋体" w:hAnsi="宋体"/>
          <w:color w:val="auto"/>
          <w:sz w:val="24"/>
          <w:lang w:val="en-US" w:eastAsia="zh-CN"/>
        </w:rPr>
        <w:t xml:space="preserve"> </w:t>
      </w:r>
      <w:r>
        <w:rPr>
          <w:rFonts w:hint="eastAsia" w:ascii="宋体" w:hAnsi="宋体"/>
          <w:color w:val="auto"/>
          <w:sz w:val="24"/>
        </w:rPr>
        <w:t xml:space="preserve"> 日</w:t>
      </w:r>
    </w:p>
    <w:p w14:paraId="4CE7827A">
      <w:pPr>
        <w:pStyle w:val="3"/>
        <w:numPr>
          <w:ilvl w:val="0"/>
          <w:numId w:val="0"/>
        </w:numPr>
        <w:spacing w:line="360" w:lineRule="auto"/>
        <w:jc w:val="both"/>
        <w:outlineLvl w:val="9"/>
        <w:rPr>
          <w:rFonts w:hint="eastAsia" w:ascii="宋体" w:hAnsi="宋体"/>
          <w:b/>
          <w:color w:val="auto"/>
          <w:sz w:val="24"/>
          <w:szCs w:val="24"/>
          <w:lang w:eastAsia="zh-CN"/>
        </w:rPr>
      </w:pPr>
    </w:p>
    <w:p w14:paraId="3C14C1DF">
      <w:pPr>
        <w:rPr>
          <w:rFonts w:hint="eastAsia" w:ascii="宋体" w:hAnsi="宋体"/>
          <w:b/>
          <w:color w:val="auto"/>
          <w:sz w:val="24"/>
          <w:szCs w:val="24"/>
          <w:lang w:eastAsia="zh-CN"/>
        </w:rPr>
      </w:pPr>
    </w:p>
    <w:p w14:paraId="3C282D51">
      <w:pPr>
        <w:pStyle w:val="10"/>
        <w:rPr>
          <w:rFonts w:hint="eastAsia" w:ascii="宋体" w:hAnsi="宋体"/>
          <w:b/>
          <w:color w:val="auto"/>
          <w:sz w:val="24"/>
          <w:szCs w:val="24"/>
          <w:lang w:eastAsia="zh-CN"/>
        </w:rPr>
      </w:pPr>
    </w:p>
    <w:p w14:paraId="13BD2E56">
      <w:pPr>
        <w:rPr>
          <w:rFonts w:hint="eastAsia" w:ascii="宋体" w:hAnsi="宋体"/>
          <w:b/>
          <w:color w:val="auto"/>
          <w:sz w:val="24"/>
          <w:szCs w:val="24"/>
          <w:lang w:eastAsia="zh-CN"/>
        </w:rPr>
      </w:pPr>
    </w:p>
    <w:p w14:paraId="220CBEB1">
      <w:pPr>
        <w:pStyle w:val="10"/>
        <w:rPr>
          <w:rFonts w:hint="eastAsia" w:ascii="宋体" w:hAnsi="宋体"/>
          <w:b/>
          <w:color w:val="auto"/>
          <w:sz w:val="24"/>
          <w:szCs w:val="24"/>
          <w:lang w:eastAsia="zh-CN"/>
        </w:rPr>
      </w:pPr>
    </w:p>
    <w:p w14:paraId="2C55060C">
      <w:pPr>
        <w:rPr>
          <w:rFonts w:hint="eastAsia" w:ascii="宋体" w:hAnsi="宋体"/>
          <w:b/>
          <w:color w:val="auto"/>
          <w:sz w:val="24"/>
          <w:szCs w:val="24"/>
          <w:lang w:eastAsia="zh-CN"/>
        </w:rPr>
      </w:pPr>
    </w:p>
    <w:p w14:paraId="07396B84">
      <w:pPr>
        <w:pStyle w:val="10"/>
        <w:rPr>
          <w:rFonts w:hint="eastAsia" w:ascii="宋体" w:hAnsi="宋体"/>
          <w:b/>
          <w:color w:val="auto"/>
          <w:sz w:val="24"/>
          <w:szCs w:val="24"/>
          <w:lang w:eastAsia="zh-CN"/>
        </w:rPr>
      </w:pPr>
    </w:p>
    <w:p w14:paraId="66F44638">
      <w:pPr>
        <w:rPr>
          <w:rFonts w:hint="eastAsia" w:ascii="宋体" w:hAnsi="宋体"/>
          <w:b/>
          <w:color w:val="auto"/>
          <w:sz w:val="24"/>
          <w:szCs w:val="24"/>
          <w:lang w:eastAsia="zh-CN"/>
        </w:rPr>
      </w:pPr>
    </w:p>
    <w:p w14:paraId="71E31A08">
      <w:pPr>
        <w:pStyle w:val="10"/>
        <w:rPr>
          <w:rFonts w:hint="eastAsia"/>
          <w:color w:val="auto"/>
          <w:lang w:eastAsia="zh-CN"/>
        </w:rPr>
      </w:pPr>
    </w:p>
    <w:p w14:paraId="4A5B2339">
      <w:pPr>
        <w:numPr>
          <w:ilvl w:val="0"/>
          <w:numId w:val="0"/>
        </w:numPr>
        <w:rPr>
          <w:rFonts w:hint="eastAsia"/>
          <w:color w:val="auto"/>
          <w:lang w:eastAsia="zh-CN"/>
        </w:rPr>
      </w:pPr>
    </w:p>
    <w:p w14:paraId="4C5F93C4">
      <w:pPr>
        <w:pStyle w:val="3"/>
        <w:spacing w:line="360" w:lineRule="auto"/>
        <w:jc w:val="center"/>
        <w:rPr>
          <w:rFonts w:ascii="宋体" w:hAnsi="宋体" w:eastAsia="宋体"/>
          <w:color w:val="auto"/>
          <w:sz w:val="24"/>
          <w:szCs w:val="24"/>
        </w:rPr>
      </w:pPr>
      <w:r>
        <w:rPr>
          <w:rFonts w:hint="eastAsia" w:ascii="宋体" w:hAnsi="宋体"/>
          <w:b/>
          <w:color w:val="auto"/>
          <w:sz w:val="24"/>
          <w:szCs w:val="24"/>
          <w:lang w:eastAsia="zh-CN"/>
        </w:rPr>
        <w:t>七、</w:t>
      </w:r>
      <w:r>
        <w:rPr>
          <w:rFonts w:hint="eastAsia" w:ascii="宋体" w:hAnsi="宋体" w:eastAsia="宋体"/>
          <w:color w:val="auto"/>
          <w:sz w:val="24"/>
          <w:szCs w:val="24"/>
        </w:rPr>
        <w:t>资格审查资料</w:t>
      </w:r>
      <w:bookmarkEnd w:id="161"/>
      <w:bookmarkEnd w:id="162"/>
      <w:bookmarkEnd w:id="163"/>
    </w:p>
    <w:p w14:paraId="345953C9">
      <w:pPr>
        <w:spacing w:line="360" w:lineRule="auto"/>
        <w:rPr>
          <w:rFonts w:hint="eastAsia" w:ascii="宋体" w:hAnsi="宋体"/>
          <w:color w:val="auto"/>
          <w:sz w:val="24"/>
        </w:rPr>
      </w:pPr>
      <w:r>
        <w:rPr>
          <w:rFonts w:hint="eastAsia" w:ascii="宋体" w:hAnsi="宋体"/>
          <w:color w:val="auto"/>
          <w:sz w:val="24"/>
          <w:lang w:eastAsia="zh-CN"/>
        </w:rPr>
        <w:t>（一）</w:t>
      </w:r>
      <w:r>
        <w:rPr>
          <w:rFonts w:hint="eastAsia" w:ascii="宋体" w:hAnsi="宋体"/>
          <w:color w:val="auto"/>
          <w:sz w:val="24"/>
        </w:rPr>
        <w:t>营业执照</w:t>
      </w:r>
    </w:p>
    <w:p w14:paraId="0666DD6E">
      <w:pPr>
        <w:spacing w:line="360" w:lineRule="auto"/>
        <w:jc w:val="center"/>
        <w:rPr>
          <w:rFonts w:hint="eastAsia" w:ascii="宋体" w:hAnsi="宋体"/>
          <w:color w:val="auto"/>
          <w:sz w:val="24"/>
          <w:lang w:eastAsia="zh-CN"/>
        </w:rPr>
      </w:pPr>
      <w:r>
        <w:rPr>
          <w:rFonts w:hint="eastAsia" w:ascii="宋体" w:hAnsi="宋体"/>
          <w:color w:val="auto"/>
          <w:sz w:val="24"/>
          <w:lang w:eastAsia="zh-CN"/>
        </w:rPr>
        <w:t>附加盖公章的复印件或扫描件</w:t>
      </w:r>
    </w:p>
    <w:p w14:paraId="5F0E15BB">
      <w:pPr>
        <w:spacing w:line="360" w:lineRule="auto"/>
        <w:rPr>
          <w:rFonts w:hint="eastAsia" w:ascii="宋体" w:hAnsi="宋体"/>
          <w:color w:val="auto"/>
          <w:sz w:val="24"/>
        </w:rPr>
      </w:pPr>
      <w:r>
        <w:rPr>
          <w:rFonts w:hint="eastAsia" w:ascii="宋体" w:hAnsi="宋体"/>
          <w:color w:val="auto"/>
          <w:sz w:val="24"/>
          <w:lang w:eastAsia="zh-CN"/>
        </w:rPr>
        <w:t>（二）</w:t>
      </w:r>
      <w:r>
        <w:rPr>
          <w:rFonts w:hint="eastAsia" w:ascii="宋体" w:hAnsi="宋体"/>
          <w:color w:val="auto"/>
          <w:sz w:val="24"/>
        </w:rPr>
        <w:t>企业资质证书</w:t>
      </w:r>
    </w:p>
    <w:p w14:paraId="2593C69A">
      <w:pPr>
        <w:spacing w:line="360" w:lineRule="auto"/>
        <w:jc w:val="center"/>
        <w:rPr>
          <w:rFonts w:hint="eastAsia" w:ascii="宋体" w:hAnsi="宋体"/>
          <w:color w:val="auto"/>
          <w:sz w:val="24"/>
          <w:lang w:eastAsia="zh-CN"/>
        </w:rPr>
      </w:pPr>
      <w:r>
        <w:rPr>
          <w:rFonts w:hint="eastAsia" w:ascii="宋体" w:hAnsi="宋体"/>
          <w:color w:val="auto"/>
          <w:sz w:val="24"/>
          <w:lang w:eastAsia="zh-CN"/>
        </w:rPr>
        <w:t>附加盖公章的复印件或扫描件</w:t>
      </w:r>
    </w:p>
    <w:p w14:paraId="1614E897">
      <w:pPr>
        <w:spacing w:line="360" w:lineRule="auto"/>
        <w:rPr>
          <w:rFonts w:hint="eastAsia" w:ascii="宋体" w:hAnsi="宋体"/>
          <w:color w:val="auto"/>
          <w:sz w:val="24"/>
        </w:rPr>
      </w:pPr>
      <w:r>
        <w:rPr>
          <w:rFonts w:hint="eastAsia" w:ascii="宋体" w:hAnsi="宋体"/>
          <w:color w:val="auto"/>
          <w:sz w:val="24"/>
          <w:lang w:eastAsia="zh-CN"/>
        </w:rPr>
        <w:t>（三）</w:t>
      </w:r>
      <w:r>
        <w:rPr>
          <w:rFonts w:hint="eastAsia" w:ascii="宋体" w:hAnsi="宋体"/>
          <w:color w:val="auto"/>
          <w:sz w:val="24"/>
        </w:rPr>
        <w:t>安全生产许可证</w:t>
      </w:r>
    </w:p>
    <w:p w14:paraId="17C506F6">
      <w:pPr>
        <w:spacing w:line="360" w:lineRule="auto"/>
        <w:jc w:val="center"/>
        <w:rPr>
          <w:rFonts w:hint="eastAsia" w:ascii="宋体" w:hAnsi="宋体"/>
          <w:color w:val="auto"/>
          <w:sz w:val="24"/>
          <w:lang w:eastAsia="zh-CN"/>
        </w:rPr>
      </w:pPr>
      <w:r>
        <w:rPr>
          <w:rFonts w:hint="eastAsia" w:ascii="宋体" w:hAnsi="宋体"/>
          <w:color w:val="auto"/>
          <w:sz w:val="24"/>
          <w:lang w:eastAsia="zh-CN"/>
        </w:rPr>
        <w:t>附加盖公章的复印件或扫描件</w:t>
      </w:r>
    </w:p>
    <w:p w14:paraId="28A96817">
      <w:pPr>
        <w:spacing w:line="360" w:lineRule="auto"/>
        <w:rPr>
          <w:rFonts w:hint="eastAsia" w:ascii="宋体" w:hAnsi="宋体"/>
          <w:color w:val="auto"/>
          <w:sz w:val="24"/>
          <w:lang w:eastAsia="zh-CN"/>
        </w:rPr>
      </w:pPr>
      <w:r>
        <w:rPr>
          <w:rFonts w:hint="eastAsia" w:ascii="宋体" w:hAnsi="宋体"/>
          <w:color w:val="auto"/>
          <w:sz w:val="24"/>
          <w:lang w:eastAsia="zh-CN"/>
        </w:rPr>
        <w:t>（四）项目经理建造师注册证</w:t>
      </w:r>
    </w:p>
    <w:p w14:paraId="1D11EFD7">
      <w:pPr>
        <w:spacing w:line="360" w:lineRule="auto"/>
        <w:jc w:val="center"/>
        <w:rPr>
          <w:rFonts w:hint="eastAsia" w:ascii="宋体" w:hAnsi="宋体"/>
          <w:color w:val="auto"/>
          <w:sz w:val="24"/>
          <w:lang w:eastAsia="zh-CN"/>
        </w:rPr>
      </w:pPr>
      <w:r>
        <w:rPr>
          <w:rFonts w:hint="eastAsia" w:ascii="宋体" w:hAnsi="宋体"/>
          <w:color w:val="auto"/>
          <w:sz w:val="24"/>
          <w:lang w:eastAsia="zh-CN"/>
        </w:rPr>
        <w:t>附加盖公章的复印件或扫描件</w:t>
      </w:r>
    </w:p>
    <w:p w14:paraId="35401DD7">
      <w:pPr>
        <w:spacing w:line="360" w:lineRule="auto"/>
        <w:rPr>
          <w:rFonts w:hint="eastAsia" w:ascii="宋体" w:hAnsi="宋体"/>
          <w:color w:val="auto"/>
          <w:sz w:val="24"/>
          <w:lang w:val="en-US" w:eastAsia="zh-CN"/>
        </w:rPr>
      </w:pPr>
      <w:r>
        <w:rPr>
          <w:rFonts w:hint="eastAsia" w:ascii="宋体" w:hAnsi="宋体"/>
          <w:color w:val="auto"/>
          <w:sz w:val="24"/>
          <w:lang w:eastAsia="zh-CN"/>
        </w:rPr>
        <w:t>（五）项目经理安全生产考核合格</w:t>
      </w:r>
      <w:r>
        <w:rPr>
          <w:rFonts w:hint="eastAsia" w:ascii="宋体" w:hAnsi="宋体"/>
          <w:color w:val="auto"/>
          <w:sz w:val="24"/>
          <w:lang w:val="en-US" w:eastAsia="zh-CN"/>
        </w:rPr>
        <w:t>B证</w:t>
      </w:r>
    </w:p>
    <w:p w14:paraId="72B18881">
      <w:pPr>
        <w:spacing w:line="360" w:lineRule="auto"/>
        <w:jc w:val="center"/>
        <w:rPr>
          <w:rFonts w:hint="eastAsia" w:ascii="宋体" w:hAnsi="宋体"/>
          <w:color w:val="auto"/>
          <w:sz w:val="24"/>
          <w:lang w:eastAsia="zh-CN"/>
        </w:rPr>
      </w:pPr>
      <w:r>
        <w:rPr>
          <w:rFonts w:hint="eastAsia" w:ascii="宋体" w:hAnsi="宋体"/>
          <w:color w:val="auto"/>
          <w:sz w:val="24"/>
          <w:lang w:eastAsia="zh-CN"/>
        </w:rPr>
        <w:t>附加盖公章的复印件或扫描件</w:t>
      </w:r>
    </w:p>
    <w:p w14:paraId="3F74D33C">
      <w:pPr>
        <w:rPr>
          <w:rFonts w:hint="eastAsia" w:ascii="宋体" w:hAnsi="宋体"/>
          <w:color w:val="auto"/>
          <w:sz w:val="24"/>
          <w:lang w:val="en-US" w:eastAsia="zh-CN"/>
        </w:rPr>
      </w:pPr>
      <w:r>
        <w:rPr>
          <w:rFonts w:hint="eastAsia" w:ascii="宋体" w:hAnsi="宋体"/>
          <w:color w:val="auto"/>
          <w:sz w:val="24"/>
          <w:lang w:val="en-US" w:eastAsia="zh-CN"/>
        </w:rPr>
        <w:br w:type="page"/>
      </w:r>
    </w:p>
    <w:p w14:paraId="17D2B0E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olor w:val="auto"/>
          <w:sz w:val="24"/>
          <w:szCs w:val="24"/>
          <w:lang w:eastAsia="zh-CN"/>
        </w:rPr>
      </w:pPr>
      <w:r>
        <w:rPr>
          <w:rFonts w:hint="eastAsia" w:ascii="宋体" w:hAnsi="宋体"/>
          <w:color w:val="auto"/>
          <w:sz w:val="24"/>
          <w:lang w:val="en-US" w:eastAsia="zh-CN"/>
        </w:rPr>
        <w:t>（六）</w:t>
      </w:r>
      <w:r>
        <w:rPr>
          <w:rFonts w:hint="eastAsia"/>
          <w:color w:val="auto"/>
          <w:sz w:val="24"/>
          <w:szCs w:val="24"/>
          <w:lang w:eastAsia="zh-CN"/>
        </w:rPr>
        <w:t>供应商缴纳税收和社会保障资金等证明告知承诺书</w:t>
      </w:r>
    </w:p>
    <w:p w14:paraId="5165E20F">
      <w:pPr>
        <w:spacing w:line="560" w:lineRule="exact"/>
        <w:jc w:val="center"/>
        <w:rPr>
          <w:rFonts w:ascii="宋体" w:hAnsi="宋体" w:cs="宋体"/>
          <w:b/>
          <w:bCs/>
          <w:color w:val="auto"/>
          <w:kern w:val="0"/>
          <w:sz w:val="24"/>
          <w:highlight w:val="none"/>
        </w:rPr>
      </w:pPr>
      <w:r>
        <w:rPr>
          <w:rFonts w:ascii="宋体" w:hAnsi="宋体" w:cs="宋体"/>
          <w:b/>
          <w:bCs/>
          <w:color w:val="auto"/>
          <w:kern w:val="0"/>
          <w:sz w:val="24"/>
          <w:highlight w:val="none"/>
        </w:rPr>
        <w:t>供应商缴纳税收和社会保障资金等证明告知承诺书</w:t>
      </w:r>
    </w:p>
    <w:p w14:paraId="512A8177">
      <w:pPr>
        <w:spacing w:line="600" w:lineRule="exact"/>
        <w:ind w:firstLine="480" w:firstLineChars="200"/>
        <w:rPr>
          <w:rFonts w:ascii="宋体" w:hAnsi="宋体" w:cs="宋体"/>
          <w:color w:val="auto"/>
          <w:kern w:val="0"/>
          <w:sz w:val="24"/>
          <w:highlight w:val="none"/>
        </w:rPr>
      </w:pPr>
      <w:r>
        <w:rPr>
          <w:rFonts w:ascii="宋体" w:hAnsi="宋体" w:cs="宋体"/>
          <w:color w:val="auto"/>
          <w:kern w:val="0"/>
          <w:sz w:val="24"/>
          <w:highlight w:val="none"/>
        </w:rPr>
        <w:t>本公司（联合体）郑重承诺：</w:t>
      </w:r>
    </w:p>
    <w:p w14:paraId="3346742F">
      <w:pPr>
        <w:spacing w:line="600" w:lineRule="exact"/>
        <w:ind w:firstLine="480" w:firstLineChars="200"/>
        <w:rPr>
          <w:rFonts w:ascii="宋体" w:hAnsi="宋体" w:cs="宋体"/>
          <w:color w:val="auto"/>
          <w:kern w:val="0"/>
          <w:sz w:val="24"/>
          <w:highlight w:val="none"/>
        </w:rPr>
      </w:pPr>
      <w:r>
        <w:rPr>
          <w:rFonts w:ascii="宋体" w:hAnsi="宋体" w:cs="宋体"/>
          <w:color w:val="auto"/>
          <w:kern w:val="0"/>
          <w:sz w:val="24"/>
          <w:highlight w:val="none"/>
        </w:rPr>
        <w:t>1.承诺具有良好的商业信誉和健全的财务会计制度；</w:t>
      </w:r>
    </w:p>
    <w:p w14:paraId="2612B74E">
      <w:pPr>
        <w:spacing w:line="600" w:lineRule="exact"/>
        <w:ind w:firstLine="480" w:firstLineChars="200"/>
        <w:rPr>
          <w:rFonts w:ascii="宋体" w:hAnsi="宋体" w:cs="宋体"/>
          <w:color w:val="auto"/>
          <w:kern w:val="0"/>
          <w:sz w:val="24"/>
          <w:highlight w:val="none"/>
        </w:rPr>
      </w:pPr>
      <w:r>
        <w:rPr>
          <w:rFonts w:ascii="宋体" w:hAnsi="宋体" w:cs="宋体"/>
          <w:color w:val="auto"/>
          <w:kern w:val="0"/>
          <w:sz w:val="24"/>
          <w:highlight w:val="none"/>
        </w:rPr>
        <w:t>2.承诺依法缴纳税收和社会保障资金的良好记录；</w:t>
      </w:r>
    </w:p>
    <w:p w14:paraId="1401FE67">
      <w:pPr>
        <w:spacing w:line="600" w:lineRule="exact"/>
        <w:ind w:firstLine="480" w:firstLineChars="200"/>
        <w:rPr>
          <w:rFonts w:ascii="宋体" w:hAnsi="宋体" w:cs="宋体"/>
          <w:color w:val="auto"/>
          <w:kern w:val="0"/>
          <w:sz w:val="24"/>
          <w:highlight w:val="none"/>
        </w:rPr>
      </w:pPr>
      <w:r>
        <w:rPr>
          <w:rFonts w:ascii="宋体" w:hAnsi="宋体" w:cs="宋体"/>
          <w:color w:val="auto"/>
          <w:kern w:val="0"/>
          <w:sz w:val="24"/>
          <w:highlight w:val="none"/>
        </w:rPr>
        <w:t>3.承诺参加政府采购活动前三年内，在经营活动中没有重大违法记录。</w:t>
      </w:r>
    </w:p>
    <w:p w14:paraId="4CD0E08A">
      <w:pPr>
        <w:spacing w:line="600" w:lineRule="exact"/>
        <w:ind w:firstLine="480" w:firstLineChars="200"/>
        <w:rPr>
          <w:rFonts w:ascii="宋体" w:hAnsi="宋体" w:cs="宋体"/>
          <w:color w:val="auto"/>
          <w:kern w:val="0"/>
          <w:sz w:val="24"/>
          <w:highlight w:val="none"/>
        </w:rPr>
      </w:pPr>
      <w:r>
        <w:rPr>
          <w:rFonts w:ascii="宋体" w:hAnsi="宋体" w:cs="宋体"/>
          <w:color w:val="auto"/>
          <w:kern w:val="0"/>
          <w:sz w:val="24"/>
          <w:highlight w:val="none"/>
        </w:rPr>
        <w:t>我公司对上述承诺内容的真实性负责，如虚假承诺，将依法承担相应法律责任。</w:t>
      </w:r>
    </w:p>
    <w:p w14:paraId="0EA308EA">
      <w:pPr>
        <w:spacing w:line="600" w:lineRule="exact"/>
        <w:rPr>
          <w:rFonts w:ascii="宋体" w:hAnsi="宋体" w:cs="宋体"/>
          <w:color w:val="auto"/>
          <w:kern w:val="0"/>
          <w:sz w:val="24"/>
          <w:highlight w:val="none"/>
        </w:rPr>
      </w:pPr>
    </w:p>
    <w:p w14:paraId="7D67A70B">
      <w:pPr>
        <w:spacing w:line="600" w:lineRule="exact"/>
        <w:rPr>
          <w:rFonts w:ascii="宋体" w:hAnsi="宋体" w:cs="宋体"/>
          <w:color w:val="auto"/>
          <w:kern w:val="0"/>
          <w:sz w:val="24"/>
          <w:highlight w:val="none"/>
        </w:rPr>
      </w:pPr>
    </w:p>
    <w:p w14:paraId="019D0088">
      <w:pPr>
        <w:spacing w:line="600" w:lineRule="exact"/>
        <w:ind w:firstLine="4080" w:firstLineChars="1700"/>
        <w:rPr>
          <w:rFonts w:ascii="宋体" w:hAnsi="宋体" w:cs="宋体"/>
          <w:color w:val="auto"/>
          <w:kern w:val="0"/>
          <w:sz w:val="24"/>
          <w:highlight w:val="none"/>
        </w:rPr>
      </w:pPr>
      <w:r>
        <w:rPr>
          <w:rFonts w:ascii="宋体" w:hAnsi="宋体" w:cs="宋体"/>
          <w:color w:val="auto"/>
          <w:kern w:val="0"/>
          <w:sz w:val="24"/>
          <w:highlight w:val="none"/>
        </w:rPr>
        <w:t>承诺单位（公章）：</w:t>
      </w:r>
    </w:p>
    <w:p w14:paraId="5A34AAAC">
      <w:pPr>
        <w:spacing w:line="600" w:lineRule="exact"/>
        <w:ind w:firstLine="120" w:firstLineChars="50"/>
        <w:rPr>
          <w:rFonts w:ascii="宋体" w:hAnsi="宋体" w:cs="宋体"/>
          <w:color w:val="auto"/>
          <w:kern w:val="0"/>
          <w:sz w:val="24"/>
          <w:highlight w:val="none"/>
        </w:rPr>
      </w:pPr>
    </w:p>
    <w:p w14:paraId="47770B33">
      <w:pPr>
        <w:spacing w:line="600" w:lineRule="exact"/>
        <w:ind w:firstLine="1800" w:firstLineChars="750"/>
        <w:rPr>
          <w:rFonts w:ascii="宋体" w:hAnsi="宋体" w:cs="宋体"/>
          <w:color w:val="auto"/>
          <w:kern w:val="0"/>
          <w:sz w:val="24"/>
          <w:highlight w:val="none"/>
        </w:rPr>
      </w:pPr>
      <w:r>
        <w:rPr>
          <w:rFonts w:ascii="宋体" w:hAnsi="宋体" w:cs="宋体"/>
          <w:color w:val="auto"/>
          <w:kern w:val="0"/>
          <w:sz w:val="24"/>
          <w:highlight w:val="none"/>
        </w:rPr>
        <w:t>法定代表人或其授权代表（签字或盖章）：</w:t>
      </w:r>
    </w:p>
    <w:p w14:paraId="6A1310BA">
      <w:pPr>
        <w:spacing w:line="360" w:lineRule="auto"/>
        <w:rPr>
          <w:rFonts w:ascii="宋体" w:hAnsi="宋体" w:cs="宋体"/>
          <w:color w:val="auto"/>
          <w:kern w:val="0"/>
          <w:sz w:val="24"/>
          <w:highlight w:val="none"/>
        </w:rPr>
      </w:pPr>
      <w:r>
        <w:rPr>
          <w:rFonts w:ascii="宋体" w:hAnsi="宋体" w:cs="宋体"/>
          <w:color w:val="auto"/>
          <w:kern w:val="0"/>
          <w:sz w:val="24"/>
          <w:highlight w:val="none"/>
        </w:rPr>
        <w:t xml:space="preserve">                                               年  月  日</w:t>
      </w:r>
    </w:p>
    <w:p w14:paraId="54D4834D">
      <w:pPr>
        <w:rPr>
          <w:rFonts w:ascii="宋体" w:hAnsi="宋体" w:cs="宋体"/>
          <w:color w:val="auto"/>
          <w:kern w:val="0"/>
          <w:sz w:val="24"/>
          <w:highlight w:val="none"/>
        </w:rPr>
      </w:pPr>
      <w:r>
        <w:rPr>
          <w:rFonts w:ascii="宋体" w:hAnsi="宋体" w:cs="宋体"/>
          <w:color w:val="auto"/>
          <w:kern w:val="0"/>
          <w:sz w:val="24"/>
          <w:highlight w:val="none"/>
        </w:rPr>
        <w:br w:type="page"/>
      </w:r>
    </w:p>
    <w:p w14:paraId="72F6D030">
      <w:pPr>
        <w:pStyle w:val="3"/>
        <w:spacing w:line="360" w:lineRule="auto"/>
        <w:jc w:val="center"/>
        <w:rPr>
          <w:rFonts w:ascii="宋体" w:hAnsi="宋体" w:eastAsia="宋体"/>
          <w:color w:val="auto"/>
          <w:sz w:val="24"/>
          <w:szCs w:val="24"/>
        </w:rPr>
      </w:pPr>
      <w:r>
        <w:rPr>
          <w:rFonts w:hint="eastAsia" w:ascii="宋体" w:hAnsi="宋体" w:eastAsia="宋体"/>
          <w:color w:val="auto"/>
          <w:sz w:val="24"/>
          <w:szCs w:val="24"/>
          <w:lang w:eastAsia="zh-CN"/>
        </w:rPr>
        <w:t>八</w:t>
      </w:r>
      <w:r>
        <w:rPr>
          <w:rFonts w:hint="eastAsia" w:ascii="宋体" w:hAnsi="宋体" w:eastAsia="宋体"/>
          <w:color w:val="auto"/>
          <w:sz w:val="24"/>
          <w:szCs w:val="24"/>
        </w:rPr>
        <w:t>、建设工程扬尘治理工作承诺书</w:t>
      </w:r>
    </w:p>
    <w:p w14:paraId="146740FC">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为切实做好建设工程扬尘治理工作，进一步改善空气环境质量，依据省、市文件精神，按照市委市政府“全年任务目标化，所有目标项目化，一切项目责任化，每项责任考核化”的工作要求，本项目郑重承诺如下：</w:t>
      </w:r>
    </w:p>
    <w:p w14:paraId="3396E98F">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一、工作目标</w:t>
      </w:r>
    </w:p>
    <w:p w14:paraId="572F1C63">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实现“施工现场100%围挡；路面100%硬化；驶出车辆100%冲洗；运输车辆100%密闭；裸露物料100%覆盖；特殊作业及扬尘地块100%喷淋洒水；出入口路段100%清扫洒水”。</w:t>
      </w:r>
    </w:p>
    <w:p w14:paraId="75D27CCD">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二、承诺事项</w:t>
      </w:r>
    </w:p>
    <w:p w14:paraId="06DC626A">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1、坚决贯彻执行《济宁市建筑工地扬尘治理工作导则（试行）》，切实做好生产现场及周边环境的扬尘整治工作。</w:t>
      </w:r>
    </w:p>
    <w:p w14:paraId="4AFC9B60">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2、建立健全公司扬尘整治专项检查组织机构，夯实扬尘治理工作责任，针对不同施工阶段，制定具体防治措施。</w:t>
      </w:r>
    </w:p>
    <w:p w14:paraId="6C4E9BC0">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 xml:space="preserve">3、切实保证本项目做好扬尘治理工作，安排专人负责施工现场重要部位、重要环节的清洗和洒水，切实做好施工现场的降尘工作；切实用好安全文明施工费，确保专款专用，使扬尘整治活动能够顺利有效的持续开展进行。  </w:t>
      </w:r>
    </w:p>
    <w:p w14:paraId="17C8A971">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4、认真开展施工现场扬尘污染综合整治活动，对施工现场，每月组织不少于两次的专项检查，对发现的问题及时监督整改。</w:t>
      </w:r>
    </w:p>
    <w:p w14:paraId="6FEC3564">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5、完善施工扬尘处置应急预案，在气象部门发布空气质量预警时，坚决停止室外生产及其他易产生扬尘作业，并采取有效措施进行降尘。</w:t>
      </w:r>
    </w:p>
    <w:p w14:paraId="129D6154">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三、责任追究</w:t>
      </w:r>
    </w:p>
    <w:p w14:paraId="50E0E1CF">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1、坚决落实“三不”惩治措施。对扬尘治理不达标的工程不予验收、不予拨付安全文明施工费、不予评选优质工程，并在创建安全文明工地活动中实行一票否决。</w:t>
      </w:r>
    </w:p>
    <w:p w14:paraId="75895EB9">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2、对达不到扬尘治理标准的、要求停工整改拒不整改的项目，提请上级主管部门取消该项目负责人建造师执业资格。</w:t>
      </w:r>
    </w:p>
    <w:p w14:paraId="683FB4C6">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3、实行周调度、月通报制度，对扬尘治理工作开展不积极、问题整改不到位、治理标准不达标的企业，进行通报批评，依据《邹城市建筑工程施工企业管理考核办法》扣分，并纳入年终综合考核。</w:t>
      </w:r>
    </w:p>
    <w:p w14:paraId="0BAC2279">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本项目采取一切有效措施，确保完成承诺事项，否则，自愿接受主管部门做出的一切处罚。</w:t>
      </w:r>
    </w:p>
    <w:p w14:paraId="7AEA8B8A">
      <w:pPr>
        <w:widowControl/>
        <w:jc w:val="right"/>
        <w:rPr>
          <w:rFonts w:ascii="宋体" w:hAnsi="宋体" w:cs="宋体"/>
          <w:color w:val="auto"/>
          <w:sz w:val="24"/>
          <w:lang w:bidi="ar"/>
        </w:rPr>
      </w:pPr>
    </w:p>
    <w:p w14:paraId="4B8E5043">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 xml:space="preserve">供 </w:t>
      </w:r>
      <w:r>
        <w:rPr>
          <w:rFonts w:ascii="宋体" w:hAnsi="宋体" w:cs="宋体"/>
          <w:color w:val="auto"/>
          <w:sz w:val="24"/>
          <w:lang w:bidi="ar"/>
        </w:rPr>
        <w:t xml:space="preserve"> </w:t>
      </w:r>
      <w:r>
        <w:rPr>
          <w:rFonts w:hint="eastAsia" w:ascii="宋体" w:hAnsi="宋体" w:cs="宋体"/>
          <w:color w:val="auto"/>
          <w:sz w:val="24"/>
          <w:lang w:bidi="ar"/>
        </w:rPr>
        <w:t xml:space="preserve">应 </w:t>
      </w:r>
      <w:r>
        <w:rPr>
          <w:rFonts w:ascii="宋体" w:hAnsi="宋体" w:cs="宋体"/>
          <w:color w:val="auto"/>
          <w:sz w:val="24"/>
          <w:lang w:bidi="ar"/>
        </w:rPr>
        <w:t xml:space="preserve"> </w:t>
      </w:r>
      <w:r>
        <w:rPr>
          <w:rFonts w:hint="eastAsia" w:ascii="宋体" w:hAnsi="宋体" w:cs="宋体"/>
          <w:color w:val="auto"/>
          <w:sz w:val="24"/>
          <w:lang w:bidi="ar"/>
        </w:rPr>
        <w:t>商：</w:t>
      </w:r>
      <w:r>
        <w:rPr>
          <w:rFonts w:hint="eastAsia" w:ascii="宋体" w:hAnsi="宋体" w:cs="宋体"/>
          <w:color w:val="auto"/>
          <w:sz w:val="24"/>
          <w:u w:val="single"/>
          <w:lang w:bidi="ar"/>
        </w:rPr>
        <w:t xml:space="preserve">         </w:t>
      </w:r>
      <w:r>
        <w:rPr>
          <w:rFonts w:ascii="宋体" w:hAnsi="宋体" w:cs="宋体"/>
          <w:color w:val="auto"/>
          <w:sz w:val="24"/>
          <w:u w:val="single"/>
          <w:lang w:bidi="ar"/>
        </w:rPr>
        <w:t xml:space="preserve">        </w:t>
      </w:r>
      <w:r>
        <w:rPr>
          <w:rFonts w:hint="eastAsia" w:ascii="宋体" w:hAnsi="宋体" w:cs="宋体"/>
          <w:color w:val="auto"/>
          <w:sz w:val="24"/>
          <w:u w:val="single"/>
          <w:lang w:bidi="ar"/>
        </w:rPr>
        <w:t xml:space="preserve">    </w:t>
      </w:r>
      <w:r>
        <w:rPr>
          <w:rFonts w:hint="eastAsia" w:ascii="宋体" w:hAnsi="宋体" w:cs="宋体"/>
          <w:color w:val="auto"/>
          <w:sz w:val="24"/>
          <w:lang w:bidi="ar"/>
        </w:rPr>
        <w:t>（盖单位章）</w:t>
      </w:r>
    </w:p>
    <w:p w14:paraId="729ECEA1">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法定代表人：</w:t>
      </w:r>
      <w:r>
        <w:rPr>
          <w:rFonts w:hint="eastAsia" w:ascii="宋体" w:hAnsi="宋体" w:cs="宋体"/>
          <w:color w:val="auto"/>
          <w:sz w:val="24"/>
          <w:u w:val="single"/>
          <w:lang w:bidi="ar"/>
        </w:rPr>
        <w:t xml:space="preserve">               （</w:t>
      </w:r>
      <w:r>
        <w:rPr>
          <w:rFonts w:hint="eastAsia" w:ascii="宋体" w:hAnsi="宋体" w:cs="宋体"/>
          <w:color w:val="auto"/>
          <w:sz w:val="24"/>
          <w:lang w:bidi="ar"/>
        </w:rPr>
        <w:t>签字或盖章）</w:t>
      </w:r>
    </w:p>
    <w:p w14:paraId="58D9CA32">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 xml:space="preserve">日 </w:t>
      </w:r>
      <w:r>
        <w:rPr>
          <w:rFonts w:ascii="宋体" w:hAnsi="宋体" w:cs="宋体"/>
          <w:color w:val="auto"/>
          <w:sz w:val="24"/>
          <w:lang w:bidi="ar"/>
        </w:rPr>
        <w:t xml:space="preserve">     </w:t>
      </w:r>
      <w:r>
        <w:rPr>
          <w:rFonts w:hint="eastAsia" w:ascii="宋体" w:hAnsi="宋体" w:cs="宋体"/>
          <w:color w:val="auto"/>
          <w:sz w:val="24"/>
          <w:lang w:bidi="ar"/>
        </w:rPr>
        <w:t>期：</w:t>
      </w:r>
    </w:p>
    <w:p w14:paraId="18A414B6">
      <w:pPr>
        <w:widowControl/>
        <w:jc w:val="right"/>
        <w:rPr>
          <w:rFonts w:ascii="宋体" w:hAnsi="宋体" w:cs="宋体"/>
          <w:color w:val="auto"/>
          <w:sz w:val="24"/>
          <w:lang w:bidi="ar"/>
        </w:rPr>
      </w:pPr>
    </w:p>
    <w:p w14:paraId="58C272C6">
      <w:pPr>
        <w:widowControl/>
        <w:jc w:val="left"/>
        <w:rPr>
          <w:rFonts w:ascii="宋体" w:hAnsi="宋体" w:cs="黑体"/>
          <w:b/>
          <w:color w:val="auto"/>
          <w:kern w:val="0"/>
          <w:sz w:val="24"/>
        </w:rPr>
      </w:pPr>
      <w:r>
        <w:rPr>
          <w:rFonts w:ascii="宋体" w:hAnsi="宋体" w:cs="黑体"/>
          <w:b/>
          <w:color w:val="auto"/>
          <w:kern w:val="0"/>
          <w:sz w:val="24"/>
        </w:rPr>
        <w:br w:type="page"/>
      </w:r>
    </w:p>
    <w:p w14:paraId="535332B9">
      <w:pPr>
        <w:pStyle w:val="3"/>
        <w:spacing w:line="360" w:lineRule="auto"/>
        <w:jc w:val="center"/>
        <w:rPr>
          <w:rFonts w:ascii="宋体" w:hAnsi="宋体" w:eastAsia="宋体"/>
          <w:color w:val="auto"/>
          <w:sz w:val="24"/>
          <w:szCs w:val="24"/>
        </w:rPr>
      </w:pPr>
      <w:r>
        <w:rPr>
          <w:rFonts w:hint="eastAsia" w:ascii="宋体" w:hAnsi="宋体" w:cs="黑体"/>
          <w:b/>
          <w:color w:val="auto"/>
          <w:kern w:val="0"/>
          <w:sz w:val="24"/>
          <w:lang w:eastAsia="zh-CN"/>
        </w:rPr>
        <w:t>九</w:t>
      </w:r>
      <w:r>
        <w:rPr>
          <w:rFonts w:hint="eastAsia" w:ascii="宋体" w:hAnsi="宋体" w:cs="黑体"/>
          <w:b/>
          <w:color w:val="auto"/>
          <w:kern w:val="0"/>
          <w:sz w:val="24"/>
        </w:rPr>
        <w:t>、</w:t>
      </w:r>
      <w:r>
        <w:rPr>
          <w:rFonts w:hint="eastAsia" w:ascii="宋体" w:hAnsi="宋体" w:eastAsia="宋体"/>
          <w:color w:val="auto"/>
          <w:sz w:val="24"/>
          <w:szCs w:val="24"/>
        </w:rPr>
        <w:t>其他资料</w:t>
      </w:r>
    </w:p>
    <w:p w14:paraId="21541910">
      <w:pPr>
        <w:pStyle w:val="86"/>
        <w:tabs>
          <w:tab w:val="left" w:pos="9638"/>
        </w:tabs>
        <w:spacing w:line="360" w:lineRule="auto"/>
        <w:ind w:right="-82" w:firstLine="472" w:firstLineChars="196"/>
        <w:outlineLvl w:val="0"/>
        <w:rPr>
          <w:rFonts w:ascii="宋体" w:hAnsi="宋体"/>
          <w:b/>
          <w:color w:val="auto"/>
          <w:sz w:val="24"/>
          <w:szCs w:val="24"/>
        </w:rPr>
      </w:pPr>
      <w:bookmarkStart w:id="164" w:name="_Toc11382"/>
      <w:r>
        <w:rPr>
          <w:rFonts w:hint="eastAsia" w:ascii="宋体" w:hAnsi="宋体"/>
          <w:b/>
          <w:color w:val="auto"/>
          <w:sz w:val="24"/>
          <w:szCs w:val="24"/>
        </w:rPr>
        <w:t>供应商认为需要加以说明的其他内容和需要提供的证明文件</w:t>
      </w:r>
      <w:bookmarkEnd w:id="164"/>
    </w:p>
    <w:p w14:paraId="330F8F47">
      <w:pPr>
        <w:pStyle w:val="86"/>
        <w:tabs>
          <w:tab w:val="left" w:pos="9638"/>
        </w:tabs>
        <w:spacing w:line="360" w:lineRule="auto"/>
        <w:ind w:right="-82" w:firstLine="472" w:firstLineChars="196"/>
        <w:outlineLvl w:val="0"/>
        <w:rPr>
          <w:rFonts w:ascii="宋体" w:hAnsi="宋体"/>
          <w:b/>
          <w:color w:val="auto"/>
          <w:sz w:val="24"/>
          <w:szCs w:val="24"/>
        </w:rPr>
      </w:pPr>
      <w:bookmarkStart w:id="165" w:name="_Toc26771"/>
      <w:r>
        <w:rPr>
          <w:rFonts w:hint="eastAsia" w:ascii="宋体" w:hAnsi="宋体"/>
          <w:b/>
          <w:color w:val="auto"/>
          <w:sz w:val="24"/>
          <w:szCs w:val="24"/>
        </w:rPr>
        <w:t>1、……</w:t>
      </w:r>
      <w:bookmarkEnd w:id="165"/>
    </w:p>
    <w:p w14:paraId="617C61B8">
      <w:pPr>
        <w:pStyle w:val="86"/>
        <w:tabs>
          <w:tab w:val="left" w:pos="9638"/>
        </w:tabs>
        <w:spacing w:line="360" w:lineRule="auto"/>
        <w:ind w:right="-82" w:firstLine="472" w:firstLineChars="196"/>
        <w:outlineLvl w:val="0"/>
        <w:rPr>
          <w:rFonts w:ascii="宋体" w:hAnsi="宋体"/>
          <w:b/>
          <w:color w:val="auto"/>
          <w:sz w:val="24"/>
          <w:szCs w:val="24"/>
        </w:rPr>
      </w:pPr>
      <w:bookmarkStart w:id="166" w:name="_Toc14706"/>
      <w:r>
        <w:rPr>
          <w:rFonts w:hint="eastAsia" w:ascii="宋体" w:hAnsi="宋体"/>
          <w:b/>
          <w:color w:val="auto"/>
          <w:sz w:val="24"/>
          <w:szCs w:val="24"/>
        </w:rPr>
        <w:t>2、……</w:t>
      </w:r>
      <w:bookmarkEnd w:id="166"/>
    </w:p>
    <w:p w14:paraId="7B665A35">
      <w:pPr>
        <w:pStyle w:val="86"/>
        <w:tabs>
          <w:tab w:val="left" w:pos="9638"/>
        </w:tabs>
        <w:spacing w:line="360" w:lineRule="auto"/>
        <w:ind w:right="-82" w:firstLine="472" w:firstLineChars="196"/>
        <w:outlineLvl w:val="0"/>
        <w:rPr>
          <w:rFonts w:ascii="宋体" w:hAnsi="宋体"/>
          <w:color w:val="auto"/>
          <w:sz w:val="24"/>
          <w:szCs w:val="24"/>
        </w:rPr>
      </w:pPr>
      <w:bookmarkStart w:id="167" w:name="_Toc10594"/>
      <w:r>
        <w:rPr>
          <w:rFonts w:hint="eastAsia" w:ascii="宋体" w:hAnsi="宋体"/>
          <w:b/>
          <w:color w:val="auto"/>
          <w:sz w:val="24"/>
          <w:szCs w:val="24"/>
        </w:rPr>
        <w:t>3、……</w:t>
      </w:r>
      <w:bookmarkEnd w:id="167"/>
    </w:p>
    <w:p w14:paraId="3C45D7BF">
      <w:pPr>
        <w:spacing w:line="360" w:lineRule="auto"/>
        <w:rPr>
          <w:rFonts w:ascii="宋体" w:hAnsi="宋体"/>
          <w:color w:val="auto"/>
          <w:sz w:val="24"/>
        </w:rPr>
      </w:pPr>
    </w:p>
    <w:p w14:paraId="1A11BE95">
      <w:pPr>
        <w:pStyle w:val="10"/>
        <w:spacing w:before="0" w:line="360" w:lineRule="auto"/>
        <w:ind w:firstLine="480" w:firstLineChars="200"/>
        <w:rPr>
          <w:rFonts w:hint="eastAsia" w:ascii="宋体" w:hAnsi="宋体" w:eastAsia="宋体"/>
          <w:color w:val="auto"/>
          <w:szCs w:val="24"/>
          <w:lang w:eastAsia="zh-CN"/>
        </w:rPr>
        <w:sectPr>
          <w:headerReference r:id="rId17" w:type="first"/>
          <w:pgSz w:w="11906" w:h="16838"/>
          <w:pgMar w:top="1440" w:right="1080" w:bottom="1440" w:left="1080" w:header="851" w:footer="992" w:gutter="0"/>
          <w:pgNumType w:fmt="decimal"/>
          <w:cols w:space="720" w:num="1"/>
          <w:titlePg/>
          <w:docGrid w:type="lines" w:linePitch="286" w:charSpace="0"/>
        </w:sectPr>
      </w:pPr>
      <w:r>
        <w:rPr>
          <w:rFonts w:hint="eastAsia" w:ascii="宋体" w:hAnsi="宋体"/>
          <w:color w:val="auto"/>
          <w:szCs w:val="24"/>
          <w:lang w:eastAsia="zh-CN"/>
        </w:rPr>
        <w:t>注：如无需增加其他资料，此部分可在编制响应文件时删除</w:t>
      </w:r>
    </w:p>
    <w:p w14:paraId="46DD7AD2">
      <w:pPr>
        <w:spacing w:line="360" w:lineRule="auto"/>
        <w:jc w:val="center"/>
        <w:rPr>
          <w:rFonts w:hint="eastAsia" w:ascii="宋体" w:hAnsi="宋体"/>
          <w:color w:val="auto"/>
          <w:sz w:val="24"/>
          <w:szCs w:val="24"/>
        </w:rPr>
      </w:pPr>
      <w:r>
        <w:rPr>
          <w:rFonts w:hint="eastAsia" w:ascii="宋体" w:hAnsi="宋体" w:cs="宋体"/>
          <w:color w:val="auto"/>
          <w:kern w:val="0"/>
          <w:sz w:val="24"/>
          <w:szCs w:val="24"/>
          <w:lang w:eastAsia="zh-CN"/>
        </w:rPr>
        <w:t>磋商</w:t>
      </w:r>
      <w:r>
        <w:rPr>
          <w:rFonts w:hint="eastAsia" w:ascii="宋体" w:hAnsi="宋体"/>
          <w:color w:val="auto"/>
          <w:sz w:val="24"/>
          <w:szCs w:val="24"/>
        </w:rPr>
        <w:t>响应文件密封信封正面格式</w:t>
      </w:r>
    </w:p>
    <w:p w14:paraId="662C0872">
      <w:pPr>
        <w:spacing w:line="360" w:lineRule="auto"/>
        <w:jc w:val="center"/>
        <w:rPr>
          <w:rFonts w:hint="eastAsia" w:ascii="宋体" w:hAnsi="宋体"/>
          <w:color w:val="auto"/>
          <w:sz w:val="24"/>
          <w:szCs w:val="24"/>
        </w:rPr>
      </w:pP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34"/>
      </w:tblGrid>
      <w:tr w14:paraId="0BEAA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0" w:hRule="atLeast"/>
          <w:jc w:val="center"/>
        </w:trPr>
        <w:tc>
          <w:tcPr>
            <w:tcW w:w="9234" w:type="dxa"/>
            <w:noWrap w:val="0"/>
            <w:vAlign w:val="top"/>
          </w:tcPr>
          <w:p w14:paraId="1454BB01">
            <w:pPr>
              <w:spacing w:line="360" w:lineRule="auto"/>
              <w:jc w:val="center"/>
              <w:rPr>
                <w:rFonts w:hint="eastAsia" w:ascii="宋体" w:hAnsi="宋体"/>
                <w:color w:val="auto"/>
                <w:sz w:val="24"/>
                <w:szCs w:val="24"/>
              </w:rPr>
            </w:pPr>
            <w:r>
              <w:rPr>
                <w:rFonts w:hint="eastAsia" w:ascii="宋体" w:hAnsi="宋体"/>
                <w:color w:val="auto"/>
                <w:sz w:val="24"/>
                <w:szCs w:val="24"/>
              </w:rPr>
              <w:t xml:space="preserve">                                                            正（副）本</w:t>
            </w:r>
          </w:p>
          <w:p w14:paraId="4F7FF6C5">
            <w:pPr>
              <w:spacing w:line="360" w:lineRule="auto"/>
              <w:ind w:firstLine="480" w:firstLineChars="200"/>
              <w:rPr>
                <w:rFonts w:hint="eastAsia" w:ascii="宋体" w:hAnsi="宋体"/>
                <w:color w:val="auto"/>
                <w:sz w:val="24"/>
                <w:szCs w:val="24"/>
                <w:u w:val="single"/>
              </w:rPr>
            </w:pPr>
            <w:r>
              <w:rPr>
                <w:rFonts w:hint="eastAsia" w:ascii="宋体" w:hAnsi="宋体"/>
                <w:color w:val="auto"/>
                <w:sz w:val="24"/>
                <w:szCs w:val="24"/>
              </w:rPr>
              <w:t>项目编号：</w:t>
            </w:r>
            <w:r>
              <w:rPr>
                <w:rFonts w:hint="eastAsia" w:ascii="宋体" w:hAnsi="宋体"/>
                <w:color w:val="auto"/>
                <w:sz w:val="24"/>
                <w:szCs w:val="24"/>
                <w:u w:val="single"/>
              </w:rPr>
              <w:t xml:space="preserve">                       </w:t>
            </w:r>
          </w:p>
          <w:p w14:paraId="42BFF7AC">
            <w:pPr>
              <w:spacing w:line="360" w:lineRule="auto"/>
              <w:ind w:firstLine="480" w:firstLineChars="200"/>
              <w:rPr>
                <w:rFonts w:hint="eastAsia" w:ascii="宋体" w:hAnsi="宋体"/>
                <w:color w:val="auto"/>
                <w:sz w:val="24"/>
                <w:szCs w:val="24"/>
                <w:u w:val="single"/>
              </w:rPr>
            </w:pPr>
            <w:r>
              <w:rPr>
                <w:rFonts w:hint="eastAsia" w:ascii="宋体" w:hAnsi="宋体"/>
                <w:color w:val="auto"/>
                <w:sz w:val="24"/>
                <w:szCs w:val="24"/>
              </w:rPr>
              <w:t>项目名称：</w:t>
            </w:r>
            <w:r>
              <w:rPr>
                <w:rFonts w:hint="eastAsia" w:ascii="宋体" w:hAnsi="宋体"/>
                <w:color w:val="auto"/>
                <w:sz w:val="24"/>
                <w:szCs w:val="24"/>
                <w:u w:val="single"/>
              </w:rPr>
              <w:t xml:space="preserve">                       </w:t>
            </w:r>
          </w:p>
          <w:p w14:paraId="0A57DAEE">
            <w:pPr>
              <w:spacing w:line="360" w:lineRule="auto"/>
              <w:ind w:firstLine="480" w:firstLineChars="200"/>
              <w:rPr>
                <w:rFonts w:hint="eastAsia" w:ascii="宋体" w:hAnsi="宋体"/>
                <w:color w:val="auto"/>
                <w:sz w:val="24"/>
                <w:szCs w:val="24"/>
                <w:u w:val="single"/>
              </w:rPr>
            </w:pPr>
            <w:r>
              <w:rPr>
                <w:rFonts w:hint="eastAsia" w:ascii="宋体" w:hAnsi="宋体"/>
                <w:color w:val="auto"/>
                <w:sz w:val="24"/>
                <w:szCs w:val="24"/>
              </w:rPr>
              <w:t>供应商名称：</w:t>
            </w:r>
            <w:r>
              <w:rPr>
                <w:rFonts w:hint="eastAsia" w:ascii="宋体" w:hAnsi="宋体"/>
                <w:color w:val="auto"/>
                <w:sz w:val="24"/>
                <w:szCs w:val="24"/>
                <w:u w:val="single"/>
              </w:rPr>
              <w:t xml:space="preserve">                   </w:t>
            </w:r>
            <w:r>
              <w:rPr>
                <w:rFonts w:hint="eastAsia" w:ascii="宋体" w:hAnsi="宋体"/>
                <w:color w:val="auto"/>
                <w:sz w:val="24"/>
                <w:szCs w:val="24"/>
                <w:u w:val="single"/>
                <w:lang w:eastAsia="zh-CN"/>
              </w:rPr>
              <w:t>（加盖公</w:t>
            </w:r>
            <w:r>
              <w:rPr>
                <w:rFonts w:hint="eastAsia" w:ascii="宋体" w:hAnsi="宋体"/>
                <w:color w:val="auto"/>
                <w:sz w:val="24"/>
                <w:szCs w:val="24"/>
                <w:u w:val="single"/>
              </w:rPr>
              <w:t>章）</w:t>
            </w:r>
          </w:p>
          <w:p w14:paraId="4C8C01E7">
            <w:pPr>
              <w:spacing w:line="360" w:lineRule="auto"/>
              <w:ind w:firstLine="480" w:firstLineChars="200"/>
              <w:rPr>
                <w:rFonts w:hint="eastAsia" w:ascii="宋体" w:hAnsi="宋体"/>
                <w:color w:val="auto"/>
                <w:sz w:val="24"/>
                <w:szCs w:val="24"/>
              </w:rPr>
            </w:pPr>
            <w:r>
              <w:rPr>
                <w:rFonts w:hint="eastAsia" w:ascii="宋体" w:hAnsi="宋体"/>
                <w:color w:val="auto"/>
                <w:sz w:val="24"/>
                <w:szCs w:val="24"/>
              </w:rPr>
              <w:t>地址：</w:t>
            </w:r>
            <w:r>
              <w:rPr>
                <w:rFonts w:hint="eastAsia" w:ascii="宋体" w:hAnsi="宋体"/>
                <w:color w:val="auto"/>
                <w:sz w:val="24"/>
                <w:szCs w:val="24"/>
                <w:u w:val="single"/>
              </w:rPr>
              <w:t xml:space="preserve">                          </w:t>
            </w:r>
          </w:p>
        </w:tc>
      </w:tr>
    </w:tbl>
    <w:p w14:paraId="14045A15">
      <w:pPr>
        <w:spacing w:line="360" w:lineRule="auto"/>
        <w:rPr>
          <w:rFonts w:hint="eastAsia" w:ascii="宋体" w:hAnsi="宋体"/>
          <w:color w:val="auto"/>
          <w:sz w:val="24"/>
          <w:szCs w:val="24"/>
        </w:rPr>
      </w:pPr>
    </w:p>
    <w:p w14:paraId="786CA8B7">
      <w:pPr>
        <w:spacing w:line="360" w:lineRule="auto"/>
        <w:jc w:val="center"/>
        <w:rPr>
          <w:rFonts w:hint="eastAsia" w:ascii="宋体" w:hAnsi="宋体"/>
          <w:bCs/>
          <w:color w:val="auto"/>
          <w:sz w:val="24"/>
          <w:szCs w:val="24"/>
        </w:rPr>
      </w:pPr>
      <w:r>
        <w:rPr>
          <w:rFonts w:hint="eastAsia" w:ascii="宋体" w:hAnsi="宋体" w:cs="宋体"/>
          <w:color w:val="auto"/>
          <w:kern w:val="0"/>
          <w:sz w:val="24"/>
          <w:szCs w:val="24"/>
          <w:lang w:eastAsia="zh-CN"/>
        </w:rPr>
        <w:t>磋商</w:t>
      </w:r>
      <w:r>
        <w:rPr>
          <w:rFonts w:hint="eastAsia" w:ascii="宋体" w:hAnsi="宋体"/>
          <w:bCs/>
          <w:color w:val="auto"/>
          <w:sz w:val="24"/>
          <w:szCs w:val="24"/>
        </w:rPr>
        <w:t>响应文件密封信封封口格式</w:t>
      </w:r>
    </w:p>
    <w:p w14:paraId="594B7D1F">
      <w:pPr>
        <w:spacing w:line="360" w:lineRule="auto"/>
        <w:rPr>
          <w:rFonts w:hint="eastAsia" w:ascii="宋体" w:hAnsi="宋体"/>
          <w:bCs/>
          <w:color w:val="auto"/>
          <w:sz w:val="24"/>
          <w:szCs w:val="24"/>
        </w:rPr>
      </w:pP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34"/>
      </w:tblGrid>
      <w:tr w14:paraId="5FCE8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4" w:hRule="atLeast"/>
          <w:jc w:val="center"/>
        </w:trPr>
        <w:tc>
          <w:tcPr>
            <w:tcW w:w="9234" w:type="dxa"/>
            <w:noWrap w:val="0"/>
            <w:vAlign w:val="top"/>
          </w:tcPr>
          <w:p w14:paraId="6427D52C">
            <w:pPr>
              <w:spacing w:line="360" w:lineRule="auto"/>
              <w:rPr>
                <w:rFonts w:hint="eastAsia" w:ascii="宋体" w:hAnsi="宋体"/>
                <w:bCs/>
                <w:color w:val="auto"/>
                <w:sz w:val="24"/>
                <w:szCs w:val="24"/>
              </w:rPr>
            </w:pPr>
          </w:p>
          <w:p w14:paraId="3868384E">
            <w:pPr>
              <w:spacing w:line="360" w:lineRule="auto"/>
              <w:rPr>
                <w:rFonts w:hint="eastAsia" w:ascii="宋体" w:hAnsi="宋体"/>
                <w:bCs/>
                <w:color w:val="auto"/>
                <w:sz w:val="24"/>
                <w:szCs w:val="24"/>
              </w:rPr>
            </w:pPr>
          </w:p>
          <w:p w14:paraId="68BFE902">
            <w:pPr>
              <w:spacing w:line="360" w:lineRule="auto"/>
              <w:rPr>
                <w:rFonts w:hint="eastAsia" w:ascii="宋体" w:hAnsi="宋体"/>
                <w:bCs/>
                <w:color w:val="auto"/>
                <w:sz w:val="24"/>
                <w:szCs w:val="24"/>
              </w:rPr>
            </w:pPr>
          </w:p>
          <w:p w14:paraId="77B400D1">
            <w:pPr>
              <w:spacing w:line="360" w:lineRule="auto"/>
              <w:jc w:val="center"/>
              <w:rPr>
                <w:rFonts w:hint="eastAsia" w:ascii="宋体" w:hAnsi="宋体"/>
                <w:bCs/>
                <w:color w:val="auto"/>
                <w:sz w:val="24"/>
                <w:szCs w:val="24"/>
              </w:rPr>
            </w:pPr>
            <w:r>
              <w:rPr>
                <w:rFonts w:hint="eastAsia" w:ascii="宋体" w:hAnsi="宋体"/>
                <w:bCs/>
                <w:color w:val="auto"/>
                <w:sz w:val="24"/>
                <w:szCs w:val="24"/>
              </w:rPr>
              <w:t>……于</w:t>
            </w:r>
            <w:r>
              <w:rPr>
                <w:rFonts w:hint="eastAsia" w:ascii="宋体" w:hAnsi="宋体"/>
                <w:bCs/>
                <w:color w:val="auto"/>
                <w:sz w:val="24"/>
                <w:szCs w:val="24"/>
                <w:u w:val="single"/>
              </w:rPr>
              <w:t xml:space="preserve">     </w:t>
            </w:r>
            <w:r>
              <w:rPr>
                <w:rFonts w:hint="eastAsia" w:ascii="宋体" w:hAnsi="宋体"/>
                <w:bCs/>
                <w:color w:val="auto"/>
                <w:sz w:val="24"/>
                <w:szCs w:val="24"/>
              </w:rPr>
              <w:t>年</w:t>
            </w:r>
            <w:r>
              <w:rPr>
                <w:rFonts w:hint="eastAsia" w:ascii="宋体" w:hAnsi="宋体"/>
                <w:bCs/>
                <w:color w:val="auto"/>
                <w:sz w:val="24"/>
                <w:szCs w:val="24"/>
                <w:u w:val="single"/>
              </w:rPr>
              <w:t xml:space="preserve">    </w:t>
            </w:r>
            <w:r>
              <w:rPr>
                <w:rFonts w:hint="eastAsia" w:ascii="宋体" w:hAnsi="宋体"/>
                <w:bCs/>
                <w:color w:val="auto"/>
                <w:sz w:val="24"/>
                <w:szCs w:val="24"/>
              </w:rPr>
              <w:t>月</w:t>
            </w:r>
            <w:r>
              <w:rPr>
                <w:rFonts w:hint="eastAsia" w:ascii="宋体" w:hAnsi="宋体"/>
                <w:bCs/>
                <w:color w:val="auto"/>
                <w:sz w:val="24"/>
                <w:szCs w:val="24"/>
                <w:u w:val="single"/>
              </w:rPr>
              <w:t xml:space="preserve">    </w:t>
            </w:r>
            <w:r>
              <w:rPr>
                <w:rFonts w:hint="eastAsia" w:ascii="宋体" w:hAnsi="宋体"/>
                <w:bCs/>
                <w:color w:val="auto"/>
                <w:sz w:val="24"/>
                <w:szCs w:val="24"/>
              </w:rPr>
              <w:t>日</w:t>
            </w:r>
            <w:r>
              <w:rPr>
                <w:rFonts w:hint="eastAsia" w:ascii="宋体" w:hAnsi="宋体"/>
                <w:bCs/>
                <w:color w:val="auto"/>
                <w:sz w:val="24"/>
                <w:szCs w:val="24"/>
                <w:u w:val="single"/>
              </w:rPr>
              <w:t xml:space="preserve">    </w:t>
            </w:r>
            <w:r>
              <w:rPr>
                <w:rFonts w:hint="eastAsia" w:ascii="宋体" w:hAnsi="宋体"/>
                <w:bCs/>
                <w:color w:val="auto"/>
                <w:sz w:val="24"/>
                <w:szCs w:val="24"/>
              </w:rPr>
              <w:t>时</w:t>
            </w:r>
            <w:r>
              <w:rPr>
                <w:rFonts w:hint="eastAsia" w:ascii="宋体" w:hAnsi="宋体"/>
                <w:bCs/>
                <w:color w:val="auto"/>
                <w:sz w:val="24"/>
                <w:szCs w:val="24"/>
                <w:u w:val="single"/>
              </w:rPr>
              <w:t xml:space="preserve">   分</w:t>
            </w:r>
            <w:r>
              <w:rPr>
                <w:rFonts w:hint="eastAsia" w:ascii="宋体" w:hAnsi="宋体"/>
                <w:bCs/>
                <w:color w:val="auto"/>
                <w:sz w:val="24"/>
                <w:szCs w:val="24"/>
              </w:rPr>
              <w:t>前不准启封（</w:t>
            </w:r>
            <w:r>
              <w:rPr>
                <w:rFonts w:hint="eastAsia" w:ascii="宋体" w:hAnsi="宋体"/>
                <w:color w:val="auto"/>
                <w:sz w:val="24"/>
                <w:szCs w:val="24"/>
                <w:u w:val="single"/>
                <w:lang w:eastAsia="zh-CN"/>
              </w:rPr>
              <w:t>（加盖公</w:t>
            </w:r>
            <w:r>
              <w:rPr>
                <w:rFonts w:hint="eastAsia" w:ascii="宋体" w:hAnsi="宋体"/>
                <w:color w:val="auto"/>
                <w:sz w:val="24"/>
                <w:szCs w:val="24"/>
                <w:u w:val="single"/>
              </w:rPr>
              <w:t>章）</w:t>
            </w:r>
            <w:r>
              <w:rPr>
                <w:rFonts w:hint="eastAsia" w:ascii="宋体" w:hAnsi="宋体"/>
                <w:bCs/>
                <w:color w:val="auto"/>
                <w:sz w:val="24"/>
                <w:szCs w:val="24"/>
              </w:rPr>
              <w:t>）……</w:t>
            </w:r>
          </w:p>
          <w:p w14:paraId="2EC1A79F">
            <w:pPr>
              <w:spacing w:line="360" w:lineRule="auto"/>
              <w:rPr>
                <w:rFonts w:hint="eastAsia" w:ascii="宋体" w:hAnsi="宋体"/>
                <w:bCs/>
                <w:color w:val="auto"/>
                <w:sz w:val="24"/>
                <w:szCs w:val="24"/>
              </w:rPr>
            </w:pPr>
            <w:r>
              <w:rPr>
                <w:rFonts w:ascii="宋体" w:hAnsi="宋体"/>
                <w:bCs/>
                <w:color w:val="auto"/>
                <w:sz w:val="24"/>
                <w:szCs w:val="24"/>
              </w:rPr>
              <mc:AlternateContent>
                <mc:Choice Requires="wps">
                  <w:drawing>
                    <wp:anchor distT="0" distB="0" distL="114300" distR="114300" simplePos="0" relativeHeight="251659264" behindDoc="0" locked="0" layoutInCell="1" allowOverlap="1">
                      <wp:simplePos x="0" y="0"/>
                      <wp:positionH relativeFrom="column">
                        <wp:posOffset>2630170</wp:posOffset>
                      </wp:positionH>
                      <wp:positionV relativeFrom="paragraph">
                        <wp:posOffset>74930</wp:posOffset>
                      </wp:positionV>
                      <wp:extent cx="635" cy="693420"/>
                      <wp:effectExtent l="37465" t="0" r="38100" b="11430"/>
                      <wp:wrapNone/>
                      <wp:docPr id="7" name="直接连接符 7"/>
                      <wp:cNvGraphicFramePr/>
                      <a:graphic xmlns:a="http://schemas.openxmlformats.org/drawingml/2006/main">
                        <a:graphicData uri="http://schemas.microsoft.com/office/word/2010/wordprocessingShape">
                          <wps:wsp>
                            <wps:cNvCnPr/>
                            <wps:spPr>
                              <a:xfrm flipV="1">
                                <a:off x="0" y="0"/>
                                <a:ext cx="635" cy="69342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y;margin-left:207.1pt;margin-top:5.9pt;height:54.6pt;width:0.05pt;z-index:251659264;mso-width-relative:page;mso-height-relative:page;" filled="f" stroked="t" coordsize="21600,21600" o:gfxdata="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BeLmjc1wAAAAoBAAAPAAAAAAAAAAEAIAAAACIAAABk&#10;cnMvZG93bnJldi54bWxQSwECFAAUAAAACACHTuJAvB+37gcCAADzAwAADgAAAAAAAAABACAAAAAm&#10;AQAAZHJzL2Uyb0RvYy54bWxQSwUGAAAAAAYABgBZAQAAnwUAAAAA&#10;">
                      <v:fill on="f" focussize="0,0"/>
                      <v:stroke color="#000000" joinstyle="round" endarrow="block"/>
                      <v:imagedata o:title=""/>
                      <o:lock v:ext="edit" aspectratio="f"/>
                    </v:line>
                  </w:pict>
                </mc:Fallback>
              </mc:AlternateContent>
            </w:r>
          </w:p>
          <w:p w14:paraId="2D79A484">
            <w:pPr>
              <w:spacing w:line="360" w:lineRule="auto"/>
              <w:rPr>
                <w:rFonts w:hint="eastAsia" w:ascii="宋体" w:hAnsi="宋体"/>
                <w:bCs/>
                <w:color w:val="auto"/>
                <w:sz w:val="24"/>
                <w:szCs w:val="24"/>
              </w:rPr>
            </w:pPr>
          </w:p>
          <w:p w14:paraId="5E5B4DEE">
            <w:pPr>
              <w:spacing w:line="360" w:lineRule="auto"/>
              <w:ind w:firstLine="3600" w:firstLineChars="1500"/>
              <w:rPr>
                <w:rFonts w:hint="eastAsia" w:ascii="宋体" w:hAnsi="宋体"/>
                <w:bCs/>
                <w:color w:val="auto"/>
                <w:sz w:val="24"/>
                <w:szCs w:val="24"/>
              </w:rPr>
            </w:pPr>
          </w:p>
          <w:p w14:paraId="6AB09CFC">
            <w:pPr>
              <w:spacing w:line="360" w:lineRule="auto"/>
              <w:ind w:firstLine="4200" w:firstLineChars="1750"/>
              <w:rPr>
                <w:rFonts w:hint="eastAsia" w:ascii="宋体" w:hAnsi="宋体"/>
                <w:bCs/>
                <w:color w:val="auto"/>
                <w:sz w:val="24"/>
                <w:szCs w:val="24"/>
              </w:rPr>
            </w:pPr>
            <w:r>
              <w:rPr>
                <w:rFonts w:hint="eastAsia" w:ascii="宋体" w:hAnsi="宋体"/>
                <w:bCs/>
                <w:color w:val="auto"/>
                <w:sz w:val="24"/>
                <w:szCs w:val="24"/>
              </w:rPr>
              <w:t>（封口处）</w:t>
            </w:r>
          </w:p>
          <w:p w14:paraId="225A0225">
            <w:pPr>
              <w:spacing w:line="360" w:lineRule="auto"/>
              <w:rPr>
                <w:rFonts w:hint="eastAsia" w:ascii="宋体" w:hAnsi="宋体"/>
                <w:bCs/>
                <w:color w:val="auto"/>
                <w:sz w:val="24"/>
                <w:szCs w:val="24"/>
              </w:rPr>
            </w:pPr>
          </w:p>
        </w:tc>
      </w:tr>
    </w:tbl>
    <w:p w14:paraId="6A579962">
      <w:pPr>
        <w:rPr>
          <w:color w:val="auto"/>
        </w:rPr>
      </w:pPr>
    </w:p>
    <w:p w14:paraId="7CCC4AF6">
      <w:pPr>
        <w:rPr>
          <w:color w:val="auto"/>
        </w:rPr>
      </w:pPr>
    </w:p>
    <w:bookmarkEnd w:id="168"/>
    <w:sectPr>
      <w:headerReference r:id="rId18" w:type="first"/>
      <w:pgSz w:w="11906" w:h="16838"/>
      <w:pgMar w:top="1440" w:right="1080" w:bottom="1440" w:left="1080" w:header="851" w:footer="992" w:gutter="0"/>
      <w:pgNumType w:fmt="decimal"/>
      <w:cols w:space="720" w:num="1"/>
      <w:titlePg/>
      <w:docGrid w:type="lines"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onsolas">
    <w:panose1 w:val="020B0609020204030204"/>
    <w:charset w:val="00"/>
    <w:family w:val="modern"/>
    <w:pitch w:val="default"/>
    <w:sig w:usb0="E10002FF" w:usb1="4000FCFF" w:usb2="00000009" w:usb3="00000000" w:csb0="6000019F" w:csb1="DFD70000"/>
  </w:font>
  <w:font w:name="Arial Unicode MS">
    <w:altName w:val="宋体"/>
    <w:panose1 w:val="020B0604020202020204"/>
    <w:charset w:val="86"/>
    <w:family w:val="swiss"/>
    <w:pitch w:val="default"/>
    <w:sig w:usb0="00000000" w:usb1="00000000" w:usb2="0000003F" w:usb3="00000000" w:csb0="603F01FF" w:csb1="FFFF0000"/>
  </w:font>
  <w:font w:name="Microsoft YaHei UI">
    <w:altName w:val="宋体"/>
    <w:panose1 w:val="020B0503020204020204"/>
    <w:charset w:val="86"/>
    <w:family w:val="swiss"/>
    <w:pitch w:val="default"/>
    <w:sig w:usb0="00000000" w:usb1="00000000" w:usb2="00000016" w:usb3="00000000" w:csb0="0004001F" w:csb1="00000000"/>
  </w:font>
  <w:font w:name="Helvetica">
    <w:altName w:val="Arial"/>
    <w:panose1 w:val="020B0604020202020204"/>
    <w:charset w:val="00"/>
    <w:family w:val="swiss"/>
    <w:pitch w:val="default"/>
    <w:sig w:usb0="00000000" w:usb1="00000000" w:usb2="00000009" w:usb3="00000000" w:csb0="000001F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CED56">
    <w:pPr>
      <w:pStyle w:val="25"/>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8869D0">
    <w:pPr>
      <w:pStyle w:val="25"/>
      <w:jc w:val="both"/>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wps:spPr>
                    <wps:txbx>
                      <w:txbxContent>
                        <w:p w14:paraId="65A3D0B5">
                          <w:pPr>
                            <w:pStyle w:val="25"/>
                          </w:pPr>
                          <w:r>
                            <w:rPr>
                              <w:rFonts w:hint="eastAsia"/>
                            </w:rPr>
                            <w:fldChar w:fldCharType="begin"/>
                          </w:r>
                          <w:r>
                            <w:rPr>
                              <w:rFonts w:hint="eastAsia"/>
                            </w:rPr>
                            <w:instrText xml:space="preserve"> PAGE  \* MERGEFORMAT </w:instrText>
                          </w:r>
                          <w:r>
                            <w:rPr>
                              <w:rFonts w:hint="eastAsia"/>
                            </w:rPr>
                            <w:fldChar w:fldCharType="separate"/>
                          </w:r>
                          <w:r>
                            <w:t>16</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zql5uc8AAAAFAQAADwAAAAAAAAABACAAAAAiAAAAZHJzL2Rvd25yZXYu&#10;eG1sUEsBAhQAFAAAAAgAh07iQE7hIDMEAgAABAQAAA4AAAAAAAAAAQAgAAAAHgEAAGRycy9lMm9E&#10;b2MueG1sUEsFBgAAAAAGAAYAWQEAAJQFAAAAAA==&#10;">
              <v:fill on="f" focussize="0,0"/>
              <v:stroke on="f"/>
              <v:imagedata o:title=""/>
              <o:lock v:ext="edit" aspectratio="f"/>
              <v:textbox inset="0mm,0mm,0mm,0mm" style="mso-fit-shape-to-text:t;">
                <w:txbxContent>
                  <w:p w14:paraId="65A3D0B5">
                    <w:pPr>
                      <w:pStyle w:val="25"/>
                    </w:pPr>
                    <w:r>
                      <w:rPr>
                        <w:rFonts w:hint="eastAsia"/>
                      </w:rPr>
                      <w:fldChar w:fldCharType="begin"/>
                    </w:r>
                    <w:r>
                      <w:rPr>
                        <w:rFonts w:hint="eastAsia"/>
                      </w:rPr>
                      <w:instrText xml:space="preserve"> PAGE  \* MERGEFORMAT </w:instrText>
                    </w:r>
                    <w:r>
                      <w:rPr>
                        <w:rFonts w:hint="eastAsia"/>
                      </w:rPr>
                      <w:fldChar w:fldCharType="separate"/>
                    </w:r>
                    <w:r>
                      <w:t>16</w:t>
                    </w:r>
                    <w:r>
                      <w:rPr>
                        <w:rFonts w:hint="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34E94B">
    <w:pPr>
      <w:pStyle w:val="25"/>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53324C">
                          <w:pPr>
                            <w:pStyle w:val="25"/>
                            <w:jc w:val="center"/>
                          </w:pPr>
                          <w:r>
                            <w:fldChar w:fldCharType="begin"/>
                          </w:r>
                          <w:r>
                            <w:instrText xml:space="preserve"> PAGE   \* MERGEFORMAT </w:instrText>
                          </w:r>
                          <w:r>
                            <w:fldChar w:fldCharType="separate"/>
                          </w:r>
                          <w:r>
                            <w:rPr>
                              <w:lang w:val="zh-CN"/>
                            </w:rP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553324C">
                    <w:pPr>
                      <w:pStyle w:val="25"/>
                      <w:jc w:val="center"/>
                    </w:pPr>
                    <w:r>
                      <w:fldChar w:fldCharType="begin"/>
                    </w:r>
                    <w:r>
                      <w:instrText xml:space="preserve"> PAGE   \* MERGEFORMAT </w:instrText>
                    </w:r>
                    <w:r>
                      <w:fldChar w:fldCharType="separate"/>
                    </w:r>
                    <w:r>
                      <w:rPr>
                        <w:lang w:val="zh-CN"/>
                      </w:rP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347FEE">
    <w:pPr>
      <w:pStyle w:val="25"/>
      <w:tabs>
        <w:tab w:val="center" w:pos="4535"/>
        <w:tab w:val="clear" w:pos="4153"/>
      </w:tabs>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53D83B">
                          <w:pPr>
                            <w:pStyle w:val="2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6353D83B">
                    <w:pPr>
                      <w:pStyle w:val="25"/>
                    </w:pPr>
                    <w:r>
                      <w:fldChar w:fldCharType="begin"/>
                    </w:r>
                    <w:r>
                      <w:instrText xml:space="preserve"> PAGE  \* MERGEFORMAT </w:instrText>
                    </w:r>
                    <w:r>
                      <w:fldChar w:fldCharType="separate"/>
                    </w:r>
                    <w:r>
                      <w:t>2</w:t>
                    </w:r>
                    <w:r>
                      <w:fldChar w:fldCharType="end"/>
                    </w:r>
                  </w:p>
                </w:txbxContent>
              </v:textbox>
            </v:shape>
          </w:pict>
        </mc:Fallback>
      </mc:AlternateContent>
    </w:r>
    <w:r>
      <w:rPr>
        <w:rFonts w:hint="eastAsia"/>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9DBFD1">
    <w:pPr>
      <w:pStyle w:val="25"/>
      <w:framePr w:wrap="around" w:vAnchor="text" w:hAnchor="margin" w:xAlign="center" w:y="1"/>
      <w:rPr>
        <w:rStyle w:val="43"/>
      </w:rPr>
    </w:pPr>
    <w:r>
      <w:fldChar w:fldCharType="begin"/>
    </w:r>
    <w:r>
      <w:rPr>
        <w:rStyle w:val="43"/>
      </w:rPr>
      <w:instrText xml:space="preserve">PAGE  </w:instrText>
    </w:r>
    <w:r>
      <w:fldChar w:fldCharType="end"/>
    </w:r>
  </w:p>
  <w:p w14:paraId="1B26ED8C">
    <w:pPr>
      <w:pStyle w:val="25"/>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4F80D5">
    <w:pPr>
      <w:pStyle w:val="25"/>
      <w:tabs>
        <w:tab w:val="center" w:pos="4535"/>
        <w:tab w:val="clear" w:pos="4153"/>
      </w:tabs>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D1F2BDA">
                          <w:pPr>
                            <w:pStyle w:val="25"/>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14:paraId="1D1F2BDA">
                    <w:pPr>
                      <w:pStyle w:val="25"/>
                    </w:pPr>
                    <w:r>
                      <w:fldChar w:fldCharType="begin"/>
                    </w:r>
                    <w:r>
                      <w:instrText xml:space="preserve"> PAGE  \* MERGEFORMAT </w:instrText>
                    </w:r>
                    <w:r>
                      <w:fldChar w:fldCharType="separate"/>
                    </w:r>
                    <w:r>
                      <w:t>63</w:t>
                    </w:r>
                    <w:r>
                      <w:fldChar w:fldCharType="end"/>
                    </w:r>
                  </w:p>
                </w:txbxContent>
              </v:textbox>
            </v:shape>
          </w:pict>
        </mc:Fallback>
      </mc:AlternateContent>
    </w:r>
    <w:r>
      <w:rPr>
        <w:rFonts w:hint="eastAsia"/>
      </w:rPr>
      <w:tab/>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022B7E">
    <w:pPr>
      <w:pStyle w:val="25"/>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C83D23B">
                          <w:pPr>
                            <w:pStyle w:val="25"/>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mbQ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hMmzLGz1&#10;zvIIHeXxdnUMkDOpHEXplEB34gGzl/rU70kc7j/PKerx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G8Zm0MQIAAGMEAAAOAAAAAAAAAAEAIAAAAB8BAABkcnMvZTJvRG9jLnhtbFBLBQYA&#10;AAAABgAGAFkBAADCBQAAAAA=&#10;">
              <v:fill on="f" focussize="0,0"/>
              <v:stroke on="f" weight="0.5pt"/>
              <v:imagedata o:title=""/>
              <o:lock v:ext="edit" aspectratio="f"/>
              <v:textbox inset="0mm,0mm,0mm,0mm" style="mso-fit-shape-to-text:t;">
                <w:txbxContent>
                  <w:p w14:paraId="1C83D23B">
                    <w:pPr>
                      <w:pStyle w:val="25"/>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64778E">
    <w:pPr>
      <w:pStyle w:val="25"/>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965082430"/>
                            <w:docPartObj>
                              <w:docPartGallery w:val="autotext"/>
                            </w:docPartObj>
                          </w:sdtPr>
                          <w:sdtContent>
                            <w:p w14:paraId="497DC54B">
                              <w:pPr>
                                <w:pStyle w:val="25"/>
                                <w:jc w:val="center"/>
                              </w:pPr>
                              <w:r>
                                <w:fldChar w:fldCharType="begin"/>
                              </w:r>
                              <w:r>
                                <w:instrText xml:space="preserve">PAGE   \* MERGEFORMAT</w:instrText>
                              </w:r>
                              <w:r>
                                <w:fldChar w:fldCharType="separate"/>
                              </w:r>
                              <w:r>
                                <w:rPr>
                                  <w:lang w:val="zh-CN"/>
                                </w:rPr>
                                <w:t>2</w:t>
                              </w:r>
                              <w:r>
                                <w:fldChar w:fldCharType="end"/>
                              </w:r>
                            </w:p>
                          </w:sdtContent>
                        </w:sdt>
                        <w:p w14:paraId="138C2855">
                          <w:pPr>
                            <w:pStyle w:val="10"/>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sdt>
                    <w:sdtPr>
                      <w:id w:val="965082430"/>
                      <w:docPartObj>
                        <w:docPartGallery w:val="autotext"/>
                      </w:docPartObj>
                    </w:sdtPr>
                    <w:sdtContent>
                      <w:p w14:paraId="497DC54B">
                        <w:pPr>
                          <w:pStyle w:val="25"/>
                          <w:jc w:val="center"/>
                        </w:pPr>
                        <w:r>
                          <w:fldChar w:fldCharType="begin"/>
                        </w:r>
                        <w:r>
                          <w:instrText xml:space="preserve">PAGE   \* MERGEFORMAT</w:instrText>
                        </w:r>
                        <w:r>
                          <w:fldChar w:fldCharType="separate"/>
                        </w:r>
                        <w:r>
                          <w:rPr>
                            <w:lang w:val="zh-CN"/>
                          </w:rPr>
                          <w:t>2</w:t>
                        </w:r>
                        <w:r>
                          <w:fldChar w:fldCharType="end"/>
                        </w:r>
                      </w:p>
                    </w:sdtContent>
                  </w:sdt>
                  <w:p w14:paraId="138C2855">
                    <w:pPr>
                      <w:pStyle w:val="10"/>
                    </w:pPr>
                  </w:p>
                </w:txbxContent>
              </v:textbox>
            </v:shape>
          </w:pict>
        </mc:Fallback>
      </mc:AlternateContent>
    </w:r>
  </w:p>
  <w:p w14:paraId="522281CE">
    <w:pPr>
      <w:pStyle w:val="25"/>
      <w:jc w:val="cen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D5EFF3">
    <w:pPr>
      <w:pStyle w:val="25"/>
      <w:tabs>
        <w:tab w:val="clear" w:pos="4153"/>
      </w:tabs>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307340" cy="175260"/>
              <wp:effectExtent l="0" t="0" r="17145" b="15240"/>
              <wp:wrapNone/>
              <wp:docPr id="4" name="文本框 4"/>
              <wp:cNvGraphicFramePr/>
              <a:graphic xmlns:a="http://schemas.openxmlformats.org/drawingml/2006/main">
                <a:graphicData uri="http://schemas.microsoft.com/office/word/2010/wordprocessingShape">
                  <wps:wsp>
                    <wps:cNvSpPr txBox="1">
                      <a:spLocks noChangeArrowheads="1"/>
                    </wps:cNvSpPr>
                    <wps:spPr bwMode="auto">
                      <a:xfrm>
                        <a:off x="0" y="0"/>
                        <a:ext cx="307238" cy="175565"/>
                      </a:xfrm>
                      <a:prstGeom prst="rect">
                        <a:avLst/>
                      </a:prstGeom>
                      <a:noFill/>
                      <a:ln>
                        <a:noFill/>
                      </a:ln>
                    </wps:spPr>
                    <wps:txbx>
                      <w:txbxContent>
                        <w:p w14:paraId="7F6C9A32">
                          <w:pPr>
                            <w:pStyle w:val="25"/>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top:0pt;height:13.8pt;width:24.2pt;mso-position-horizontal:center;mso-position-horizontal-relative:margin;z-index:251661312;mso-width-relative:page;mso-height-relative:page;" filled="f" stroked="f" coordsize="21600,21600" o:gfxdata="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02LOldQAAAADAQAADwAAAAAAAAABACAAAAAi&#10;AAAAZHJzL2Rvd25yZXYueG1sUEsBAhQAFAAAAAgAh07iQEUkb4kOAgAABAQAAA4AAAAAAAAAAQAg&#10;AAAAIwEAAGRycy9lMm9Eb2MueG1sUEsFBgAAAAAGAAYAWQEAAKMFAAAAAA==&#10;">
              <v:fill on="f" focussize="0,0"/>
              <v:stroke on="f"/>
              <v:imagedata o:title=""/>
              <o:lock v:ext="edit" aspectratio="f"/>
              <v:textbox inset="0mm,0mm,0mm,0mm">
                <w:txbxContent>
                  <w:p w14:paraId="7F6C9A32">
                    <w:pPr>
                      <w:pStyle w:val="25"/>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4FE591">
    <w:pPr>
      <w:pStyle w:val="26"/>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5BC24">
    <w:pPr>
      <w:widowControl/>
      <w:shd w:val="clear" w:color="auto" w:fill="FFFFFF"/>
      <w:spacing w:line="560" w:lineRule="exact"/>
      <w:rPr>
        <w:rFonts w:ascii="宋体" w:hAnsi="宋体" w:cs="宋体"/>
        <w:kern w:val="0"/>
        <w:szCs w:val="21"/>
        <w:u w:val="single"/>
      </w:rPr>
    </w:pPr>
    <w:r>
      <w:rPr>
        <w:rFonts w:hint="eastAsia" w:ascii="宋体" w:hAnsi="宋体" w:cs="宋体"/>
        <w:kern w:val="0"/>
        <w:szCs w:val="21"/>
        <w:u w:val="single"/>
      </w:rPr>
      <w:t xml:space="preserve">              </w:t>
    </w:r>
    <w:r>
      <w:rPr>
        <w:rFonts w:ascii="宋体" w:hAnsi="宋体" w:cs="宋体"/>
        <w:kern w:val="0"/>
        <w:szCs w:val="21"/>
        <w:u w:val="single"/>
      </w:rPr>
      <w:t xml:space="preserve">             </w:t>
    </w:r>
    <w:r>
      <w:rPr>
        <w:rFonts w:hint="eastAsia" w:ascii="宋体" w:hAnsi="宋体" w:cs="宋体"/>
        <w:kern w:val="0"/>
        <w:szCs w:val="21"/>
        <w:u w:val="single"/>
        <w:lang w:val="en-US" w:eastAsia="zh-CN"/>
      </w:rPr>
      <w:t xml:space="preserve">        </w:t>
    </w:r>
    <w:r>
      <w:rPr>
        <w:rFonts w:hint="eastAsia" w:ascii="宋体" w:hAnsi="宋体" w:cs="宋体"/>
        <w:kern w:val="0"/>
        <w:szCs w:val="21"/>
        <w:u w:val="single"/>
      </w:rPr>
      <w:t xml:space="preserve">   </w:t>
    </w:r>
    <w:r>
      <w:rPr>
        <w:rFonts w:hint="eastAsia" w:ascii="宋体" w:hAnsi="宋体" w:cs="宋体"/>
        <w:kern w:val="0"/>
        <w:szCs w:val="21"/>
        <w:u w:val="single"/>
        <w:lang w:eastAsia="zh-CN"/>
      </w:rPr>
      <w:t>邹城市看庄镇鸿山村（时枣行村）东山流域综合治理工程</w:t>
    </w:r>
    <w:r>
      <w:rPr>
        <w:rFonts w:hint="eastAsia" w:ascii="宋体" w:hAnsi="宋体" w:cs="宋体"/>
        <w:kern w:val="0"/>
        <w:szCs w:val="21"/>
        <w:u w:val="single"/>
      </w:rPr>
      <w:t xml:space="preserve">竞争性磋商文件 </w:t>
    </w:r>
    <w:r>
      <w:rPr>
        <w:rFonts w:ascii="宋体" w:hAnsi="宋体" w:cs="宋体"/>
        <w:kern w:val="0"/>
        <w:szCs w:val="21"/>
        <w:u w:val="single"/>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138A93">
    <w:pPr>
      <w:pStyle w:val="26"/>
      <w:jc w:val="left"/>
      <w:rPr>
        <w:b/>
        <w:bCs/>
        <w:sz w:val="15"/>
        <w:szCs w:val="15"/>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2177E0">
    <w:pPr>
      <w:pStyle w:val="26"/>
      <w:pBdr>
        <w:bottom w:val="none" w:color="auto" w:sz="0" w:space="0"/>
      </w:pBdr>
      <w:wordWrap w:val="0"/>
      <w:rPr>
        <w:b/>
        <w:bCs/>
        <w:i/>
        <w:w w:val="90"/>
        <w:sz w:val="21"/>
        <w:szCs w:val="21"/>
      </w:rPr>
    </w:pPr>
    <w:r>
      <w:rPr>
        <w:rFonts w:hint="eastAsia"/>
        <w:bCs/>
        <w:w w:val="90"/>
        <w:sz w:val="21"/>
        <w:szCs w:val="21"/>
      </w:rPr>
      <w:t xml:space="preserve">             </w:t>
    </w:r>
    <w:r>
      <w:rPr>
        <w:rFonts w:hint="eastAsia"/>
        <w:bCs/>
        <w:i/>
        <w:w w:val="90"/>
        <w:sz w:val="21"/>
        <w:szCs w:val="21"/>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924C26">
    <w:pPr>
      <w:pStyle w:val="26"/>
      <w:pBdr>
        <w:bottom w:val="single" w:color="auto" w:sz="6" w:space="0"/>
      </w:pBdr>
      <w:wordWrap/>
      <w:jc w:val="left"/>
      <w:rPr>
        <w:rFonts w:hint="default" w:eastAsia="宋体"/>
        <w:sz w:val="21"/>
        <w:szCs w:val="21"/>
        <w:lang w:val="en-US" w:eastAsia="zh-CN"/>
      </w:rPr>
    </w:pPr>
    <w:r>
      <w:rPr>
        <w:rFonts w:hint="eastAsia" w:ascii="宋体" w:hAnsi="宋体" w:cs="宋体"/>
        <w:kern w:val="0"/>
        <w:sz w:val="21"/>
        <w:szCs w:val="21"/>
      </w:rPr>
      <w:t xml:space="preserve">  </w:t>
    </w:r>
    <w:r>
      <w:rPr>
        <w:rFonts w:hint="eastAsia" w:ascii="宋体" w:hAnsi="宋体" w:cs="宋体"/>
        <w:b w:val="0"/>
        <w:bCs w:val="0"/>
        <w:color w:val="auto"/>
        <w:kern w:val="0"/>
        <w:sz w:val="18"/>
        <w:szCs w:val="18"/>
        <w:lang w:eastAsia="zh-CN"/>
      </w:rPr>
      <w:t>邹城市钢山街道办事处钢山花园小区李官村三期热力工程</w:t>
    </w:r>
    <w:r>
      <w:rPr>
        <w:rFonts w:hint="eastAsia" w:ascii="宋体" w:hAnsi="宋体" w:cs="宋体"/>
        <w:kern w:val="0"/>
        <w:sz w:val="18"/>
        <w:szCs w:val="18"/>
      </w:rPr>
      <w:t>竞争性磋商文件</w:t>
    </w:r>
    <w:r>
      <w:rPr>
        <w:rFonts w:hint="eastAsia" w:ascii="宋体" w:hAnsi="宋体" w:cs="宋体"/>
        <w:kern w:val="0"/>
        <w:sz w:val="18"/>
        <w:szCs w:val="18"/>
        <w:lang w:val="en-US" w:eastAsia="zh-CN"/>
      </w:rPr>
      <w:t xml:space="preserve">  </w:t>
    </w:r>
  </w:p>
  <w:p w14:paraId="3B4F36FC"/>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B4FAFE">
    <w:pPr>
      <w:pStyle w:val="26"/>
      <w:jc w:val="both"/>
      <w:rPr>
        <w:sz w:val="15"/>
        <w:szCs w:val="15"/>
      </w:rPr>
    </w:pPr>
    <w:r>
      <w:rPr>
        <w:rFonts w:hint="eastAsia" w:ascii="宋体" w:hAnsi="宋体" w:cs="宋体"/>
        <w:kern w:val="0"/>
        <w:sz w:val="18"/>
        <w:szCs w:val="18"/>
        <w:lang w:eastAsia="zh-CN"/>
      </w:rPr>
      <w:t>邹城市钢山街道办事处钢山花园小区李官村三期热力工程</w:t>
    </w:r>
    <w:r>
      <w:rPr>
        <w:rFonts w:hint="eastAsia" w:ascii="宋体" w:hAnsi="宋体" w:cs="宋体"/>
        <w:kern w:val="0"/>
        <w:sz w:val="18"/>
        <w:szCs w:val="18"/>
      </w:rPr>
      <w:t>竞争性磋商文件</w:t>
    </w:r>
  </w:p>
  <w:p w14:paraId="7D95BAB2">
    <w:pPr>
      <w:pStyle w:val="26"/>
      <w:pBdr>
        <w:bottom w:val="none" w:color="auto" w:sz="0" w:space="1"/>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83CF88">
    <w:pPr>
      <w:pStyle w:val="26"/>
      <w:jc w:val="both"/>
      <w:rPr>
        <w:sz w:val="15"/>
        <w:szCs w:val="15"/>
      </w:rPr>
    </w:pPr>
    <w:r>
      <w:rPr>
        <w:rFonts w:hint="eastAsia" w:ascii="宋体" w:hAnsi="宋体" w:cs="宋体"/>
        <w:kern w:val="0"/>
        <w:sz w:val="18"/>
        <w:szCs w:val="18"/>
        <w:lang w:eastAsia="zh-CN"/>
      </w:rPr>
      <w:t>邹城市钢山街道办事处钢山花园小区李官村三期热力工程</w:t>
    </w:r>
    <w:r>
      <w:rPr>
        <w:rFonts w:hint="eastAsia" w:ascii="宋体" w:hAnsi="宋体" w:cs="宋体"/>
        <w:kern w:val="0"/>
        <w:sz w:val="18"/>
        <w:szCs w:val="18"/>
      </w:rPr>
      <w:t>竞争性磋商文件</w:t>
    </w:r>
  </w:p>
  <w:p w14:paraId="6DC6E8D0">
    <w:pPr>
      <w:pStyle w:val="26"/>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59CA18"/>
    <w:multiLevelType w:val="singleLevel"/>
    <w:tmpl w:val="E259CA18"/>
    <w:lvl w:ilvl="0" w:tentative="0">
      <w:start w:val="22"/>
      <w:numFmt w:val="decimal"/>
      <w:lvlText w:val="%1."/>
      <w:lvlJc w:val="left"/>
      <w:pPr>
        <w:tabs>
          <w:tab w:val="left" w:pos="312"/>
        </w:tabs>
      </w:pPr>
    </w:lvl>
  </w:abstractNum>
  <w:abstractNum w:abstractNumId="1">
    <w:nsid w:val="FF4FD782"/>
    <w:multiLevelType w:val="singleLevel"/>
    <w:tmpl w:val="FF4FD782"/>
    <w:lvl w:ilvl="0" w:tentative="0">
      <w:start w:val="1"/>
      <w:numFmt w:val="bullet"/>
      <w:lvlText w:val=""/>
      <w:lvlJc w:val="left"/>
      <w:pPr>
        <w:ind w:left="420" w:hanging="420"/>
      </w:pPr>
      <w:rPr>
        <w:rFonts w:hint="default" w:ascii="Wingdings" w:hAnsi="Wingdings"/>
      </w:rPr>
    </w:lvl>
  </w:abstractNum>
  <w:abstractNum w:abstractNumId="2">
    <w:nsid w:val="508D3106"/>
    <w:multiLevelType w:val="singleLevel"/>
    <w:tmpl w:val="508D3106"/>
    <w:lvl w:ilvl="0" w:tentative="0">
      <w:start w:val="1"/>
      <w:numFmt w:val="chineseCounting"/>
      <w:suff w:val="nothing"/>
      <w:lvlText w:val="（%1）"/>
      <w:lvlJc w:val="left"/>
      <w:rPr>
        <w:rFonts w:hint="eastAsia"/>
      </w:rPr>
    </w:lvl>
  </w:abstractNum>
  <w:abstractNum w:abstractNumId="3">
    <w:nsid w:val="78C8C112"/>
    <w:multiLevelType w:val="singleLevel"/>
    <w:tmpl w:val="78C8C112"/>
    <w:lvl w:ilvl="0" w:tentative="0">
      <w:start w:val="1"/>
      <w:numFmt w:val="chineseCounting"/>
      <w:suff w:val="nothing"/>
      <w:lvlText w:val="%1、"/>
      <w:lvlJc w:val="left"/>
      <w:rPr>
        <w:rFonts w:hint="eastAsia"/>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hideSpellingErrors/>
  <w:documentProtection w:enforcement="0"/>
  <w:defaultTabStop w:val="420"/>
  <w:drawingGridHorizontalSpacing w:val="105"/>
  <w:drawingGridVerticalSpacing w:val="143"/>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U3MjhlNjhlY2MxNmVjMWJmZDk1MmNmZGJkMThkYmMifQ=="/>
  </w:docVars>
  <w:rsids>
    <w:rsidRoot w:val="00172A27"/>
    <w:rsid w:val="00001496"/>
    <w:rsid w:val="00002202"/>
    <w:rsid w:val="000115A0"/>
    <w:rsid w:val="000318E3"/>
    <w:rsid w:val="00037EFF"/>
    <w:rsid w:val="00046BAA"/>
    <w:rsid w:val="0005083D"/>
    <w:rsid w:val="00056405"/>
    <w:rsid w:val="000765FC"/>
    <w:rsid w:val="00076C95"/>
    <w:rsid w:val="00077705"/>
    <w:rsid w:val="00086DBC"/>
    <w:rsid w:val="00094198"/>
    <w:rsid w:val="000957E0"/>
    <w:rsid w:val="00096D78"/>
    <w:rsid w:val="000A0493"/>
    <w:rsid w:val="000A4748"/>
    <w:rsid w:val="000A66F5"/>
    <w:rsid w:val="000B4096"/>
    <w:rsid w:val="000B6240"/>
    <w:rsid w:val="000B72CD"/>
    <w:rsid w:val="000C4A35"/>
    <w:rsid w:val="000D421A"/>
    <w:rsid w:val="000D4A93"/>
    <w:rsid w:val="000E287A"/>
    <w:rsid w:val="000E59CB"/>
    <w:rsid w:val="000F4BD8"/>
    <w:rsid w:val="000F4EA8"/>
    <w:rsid w:val="00102C9E"/>
    <w:rsid w:val="0010447C"/>
    <w:rsid w:val="001103B0"/>
    <w:rsid w:val="001200AD"/>
    <w:rsid w:val="0012276F"/>
    <w:rsid w:val="00125F99"/>
    <w:rsid w:val="00127A09"/>
    <w:rsid w:val="00127A8B"/>
    <w:rsid w:val="00137047"/>
    <w:rsid w:val="001379C5"/>
    <w:rsid w:val="001403C6"/>
    <w:rsid w:val="001422D7"/>
    <w:rsid w:val="00146229"/>
    <w:rsid w:val="00150466"/>
    <w:rsid w:val="00152DC4"/>
    <w:rsid w:val="00156CDD"/>
    <w:rsid w:val="00161A53"/>
    <w:rsid w:val="00166EFE"/>
    <w:rsid w:val="001674A0"/>
    <w:rsid w:val="00180AC6"/>
    <w:rsid w:val="001868D1"/>
    <w:rsid w:val="001921FC"/>
    <w:rsid w:val="001922D3"/>
    <w:rsid w:val="0019475C"/>
    <w:rsid w:val="001A1A25"/>
    <w:rsid w:val="001A2390"/>
    <w:rsid w:val="001A2C24"/>
    <w:rsid w:val="001A3A7F"/>
    <w:rsid w:val="001A6C04"/>
    <w:rsid w:val="001B087F"/>
    <w:rsid w:val="001B223C"/>
    <w:rsid w:val="001B37CE"/>
    <w:rsid w:val="001B601B"/>
    <w:rsid w:val="001C6B40"/>
    <w:rsid w:val="001C7049"/>
    <w:rsid w:val="001D2296"/>
    <w:rsid w:val="001D288C"/>
    <w:rsid w:val="001D28B6"/>
    <w:rsid w:val="001E53F5"/>
    <w:rsid w:val="001F00A9"/>
    <w:rsid w:val="001F41FD"/>
    <w:rsid w:val="001F4573"/>
    <w:rsid w:val="001F5D51"/>
    <w:rsid w:val="00202B35"/>
    <w:rsid w:val="002071C8"/>
    <w:rsid w:val="00212537"/>
    <w:rsid w:val="0021295B"/>
    <w:rsid w:val="00223499"/>
    <w:rsid w:val="00227874"/>
    <w:rsid w:val="00234B76"/>
    <w:rsid w:val="0023650D"/>
    <w:rsid w:val="002467F2"/>
    <w:rsid w:val="00247D64"/>
    <w:rsid w:val="00261035"/>
    <w:rsid w:val="00266E0D"/>
    <w:rsid w:val="002676CB"/>
    <w:rsid w:val="00280DB9"/>
    <w:rsid w:val="002844EB"/>
    <w:rsid w:val="00291E3F"/>
    <w:rsid w:val="00292E5B"/>
    <w:rsid w:val="002A1A99"/>
    <w:rsid w:val="002A5505"/>
    <w:rsid w:val="002C1772"/>
    <w:rsid w:val="002C45DC"/>
    <w:rsid w:val="002D4314"/>
    <w:rsid w:val="002D44F9"/>
    <w:rsid w:val="002F5543"/>
    <w:rsid w:val="003073C8"/>
    <w:rsid w:val="00322688"/>
    <w:rsid w:val="0032678F"/>
    <w:rsid w:val="00341E59"/>
    <w:rsid w:val="003431F8"/>
    <w:rsid w:val="0034676D"/>
    <w:rsid w:val="003500F5"/>
    <w:rsid w:val="00352B9B"/>
    <w:rsid w:val="0035714C"/>
    <w:rsid w:val="0036789F"/>
    <w:rsid w:val="00375691"/>
    <w:rsid w:val="003768D7"/>
    <w:rsid w:val="00381882"/>
    <w:rsid w:val="0039446C"/>
    <w:rsid w:val="003A0A79"/>
    <w:rsid w:val="003A116E"/>
    <w:rsid w:val="003A2975"/>
    <w:rsid w:val="003B11BE"/>
    <w:rsid w:val="003C0CD9"/>
    <w:rsid w:val="003D2D87"/>
    <w:rsid w:val="003D5B86"/>
    <w:rsid w:val="003D7AC6"/>
    <w:rsid w:val="003E21CB"/>
    <w:rsid w:val="003E342A"/>
    <w:rsid w:val="003E5FE7"/>
    <w:rsid w:val="003F0DD4"/>
    <w:rsid w:val="003F7805"/>
    <w:rsid w:val="00402E0B"/>
    <w:rsid w:val="00403A9C"/>
    <w:rsid w:val="0041186F"/>
    <w:rsid w:val="00411B49"/>
    <w:rsid w:val="004148EE"/>
    <w:rsid w:val="00420FB1"/>
    <w:rsid w:val="0042266C"/>
    <w:rsid w:val="004248E9"/>
    <w:rsid w:val="004264A7"/>
    <w:rsid w:val="0043027A"/>
    <w:rsid w:val="00436049"/>
    <w:rsid w:val="00445316"/>
    <w:rsid w:val="0045280D"/>
    <w:rsid w:val="00464F29"/>
    <w:rsid w:val="00465D3F"/>
    <w:rsid w:val="004854EC"/>
    <w:rsid w:val="00485730"/>
    <w:rsid w:val="00491F53"/>
    <w:rsid w:val="00496B54"/>
    <w:rsid w:val="004A10F7"/>
    <w:rsid w:val="004A5CAF"/>
    <w:rsid w:val="004B141A"/>
    <w:rsid w:val="004B24BC"/>
    <w:rsid w:val="004B6912"/>
    <w:rsid w:val="004C2EF2"/>
    <w:rsid w:val="004C583B"/>
    <w:rsid w:val="004C5A69"/>
    <w:rsid w:val="004D506E"/>
    <w:rsid w:val="004D65E0"/>
    <w:rsid w:val="004E3364"/>
    <w:rsid w:val="004F13B3"/>
    <w:rsid w:val="005238F4"/>
    <w:rsid w:val="00523997"/>
    <w:rsid w:val="00533FAC"/>
    <w:rsid w:val="00541C50"/>
    <w:rsid w:val="0054691F"/>
    <w:rsid w:val="00552CF9"/>
    <w:rsid w:val="005536EB"/>
    <w:rsid w:val="005576E1"/>
    <w:rsid w:val="00560ACA"/>
    <w:rsid w:val="005661EA"/>
    <w:rsid w:val="00570469"/>
    <w:rsid w:val="00581F02"/>
    <w:rsid w:val="005A1F20"/>
    <w:rsid w:val="005A3E22"/>
    <w:rsid w:val="005A67D6"/>
    <w:rsid w:val="005A6E51"/>
    <w:rsid w:val="005B0F5F"/>
    <w:rsid w:val="005B365A"/>
    <w:rsid w:val="005C2E20"/>
    <w:rsid w:val="005C353F"/>
    <w:rsid w:val="005D0DBF"/>
    <w:rsid w:val="005D70CA"/>
    <w:rsid w:val="005D7D87"/>
    <w:rsid w:val="005E25CC"/>
    <w:rsid w:val="005E5091"/>
    <w:rsid w:val="005E6848"/>
    <w:rsid w:val="005E715D"/>
    <w:rsid w:val="00605AE5"/>
    <w:rsid w:val="00614D3D"/>
    <w:rsid w:val="00622BCE"/>
    <w:rsid w:val="00623E5D"/>
    <w:rsid w:val="0063096E"/>
    <w:rsid w:val="00631810"/>
    <w:rsid w:val="0063568E"/>
    <w:rsid w:val="006432B9"/>
    <w:rsid w:val="00645AB0"/>
    <w:rsid w:val="0065350F"/>
    <w:rsid w:val="00654A2E"/>
    <w:rsid w:val="006579D3"/>
    <w:rsid w:val="00661709"/>
    <w:rsid w:val="00665823"/>
    <w:rsid w:val="00671294"/>
    <w:rsid w:val="00671389"/>
    <w:rsid w:val="006816EF"/>
    <w:rsid w:val="00682554"/>
    <w:rsid w:val="00694378"/>
    <w:rsid w:val="006B2B82"/>
    <w:rsid w:val="006B71B5"/>
    <w:rsid w:val="006C0E23"/>
    <w:rsid w:val="006C3367"/>
    <w:rsid w:val="006D13FA"/>
    <w:rsid w:val="006D3E8B"/>
    <w:rsid w:val="006D6394"/>
    <w:rsid w:val="006E5768"/>
    <w:rsid w:val="006E5CF9"/>
    <w:rsid w:val="006E7085"/>
    <w:rsid w:val="006F4945"/>
    <w:rsid w:val="007076D8"/>
    <w:rsid w:val="0071127A"/>
    <w:rsid w:val="00712613"/>
    <w:rsid w:val="0072186E"/>
    <w:rsid w:val="007229A7"/>
    <w:rsid w:val="00727DAF"/>
    <w:rsid w:val="007344A7"/>
    <w:rsid w:val="007345A8"/>
    <w:rsid w:val="007510B9"/>
    <w:rsid w:val="00752056"/>
    <w:rsid w:val="00755DB1"/>
    <w:rsid w:val="007630B2"/>
    <w:rsid w:val="00763E20"/>
    <w:rsid w:val="007752C3"/>
    <w:rsid w:val="0077787E"/>
    <w:rsid w:val="007819EE"/>
    <w:rsid w:val="0078201D"/>
    <w:rsid w:val="007840BF"/>
    <w:rsid w:val="007A594A"/>
    <w:rsid w:val="007A5B45"/>
    <w:rsid w:val="007A76D6"/>
    <w:rsid w:val="007B2DB6"/>
    <w:rsid w:val="007B383B"/>
    <w:rsid w:val="007B42FA"/>
    <w:rsid w:val="007B53FB"/>
    <w:rsid w:val="007C12AE"/>
    <w:rsid w:val="007C6C98"/>
    <w:rsid w:val="007D276E"/>
    <w:rsid w:val="007D2C16"/>
    <w:rsid w:val="007D4242"/>
    <w:rsid w:val="007E34F1"/>
    <w:rsid w:val="007E682D"/>
    <w:rsid w:val="007E77D8"/>
    <w:rsid w:val="007F361D"/>
    <w:rsid w:val="007F6C0D"/>
    <w:rsid w:val="007F7097"/>
    <w:rsid w:val="00804024"/>
    <w:rsid w:val="008176F2"/>
    <w:rsid w:val="008351B3"/>
    <w:rsid w:val="00840CB4"/>
    <w:rsid w:val="00845364"/>
    <w:rsid w:val="00855919"/>
    <w:rsid w:val="0085595A"/>
    <w:rsid w:val="00856B4A"/>
    <w:rsid w:val="0086572C"/>
    <w:rsid w:val="00865F8B"/>
    <w:rsid w:val="00883FC7"/>
    <w:rsid w:val="00884566"/>
    <w:rsid w:val="00886AD3"/>
    <w:rsid w:val="008945F8"/>
    <w:rsid w:val="00895872"/>
    <w:rsid w:val="00896238"/>
    <w:rsid w:val="008972FC"/>
    <w:rsid w:val="008A41D1"/>
    <w:rsid w:val="008A6261"/>
    <w:rsid w:val="008A7321"/>
    <w:rsid w:val="008B673C"/>
    <w:rsid w:val="008C20FA"/>
    <w:rsid w:val="008C416E"/>
    <w:rsid w:val="008C6846"/>
    <w:rsid w:val="008C73F7"/>
    <w:rsid w:val="008C7863"/>
    <w:rsid w:val="008D6ABB"/>
    <w:rsid w:val="008F03E6"/>
    <w:rsid w:val="008F23C6"/>
    <w:rsid w:val="008F7B57"/>
    <w:rsid w:val="009075D9"/>
    <w:rsid w:val="00907DBD"/>
    <w:rsid w:val="0092066D"/>
    <w:rsid w:val="009235C1"/>
    <w:rsid w:val="00923EA2"/>
    <w:rsid w:val="00924214"/>
    <w:rsid w:val="00924F3C"/>
    <w:rsid w:val="00927B94"/>
    <w:rsid w:val="00930778"/>
    <w:rsid w:val="0093214C"/>
    <w:rsid w:val="009336C1"/>
    <w:rsid w:val="0093461D"/>
    <w:rsid w:val="00940625"/>
    <w:rsid w:val="00946A1B"/>
    <w:rsid w:val="00951FCE"/>
    <w:rsid w:val="00974E03"/>
    <w:rsid w:val="00976C96"/>
    <w:rsid w:val="00980CB3"/>
    <w:rsid w:val="00995143"/>
    <w:rsid w:val="0099772E"/>
    <w:rsid w:val="00997999"/>
    <w:rsid w:val="009A0425"/>
    <w:rsid w:val="009A246D"/>
    <w:rsid w:val="009A5EA3"/>
    <w:rsid w:val="009A7977"/>
    <w:rsid w:val="009B2EFE"/>
    <w:rsid w:val="009B6EEA"/>
    <w:rsid w:val="009C1109"/>
    <w:rsid w:val="009C2860"/>
    <w:rsid w:val="009C79C1"/>
    <w:rsid w:val="009D35CB"/>
    <w:rsid w:val="009D447C"/>
    <w:rsid w:val="009E00CD"/>
    <w:rsid w:val="009E183A"/>
    <w:rsid w:val="009E6499"/>
    <w:rsid w:val="009E71CA"/>
    <w:rsid w:val="009F0EC9"/>
    <w:rsid w:val="009F2287"/>
    <w:rsid w:val="009F4DCA"/>
    <w:rsid w:val="00A028E3"/>
    <w:rsid w:val="00A162C8"/>
    <w:rsid w:val="00A17D7A"/>
    <w:rsid w:val="00A2387D"/>
    <w:rsid w:val="00A357A8"/>
    <w:rsid w:val="00A36A8A"/>
    <w:rsid w:val="00A41166"/>
    <w:rsid w:val="00A44647"/>
    <w:rsid w:val="00A500F6"/>
    <w:rsid w:val="00A510D3"/>
    <w:rsid w:val="00A524A9"/>
    <w:rsid w:val="00A54809"/>
    <w:rsid w:val="00A635DF"/>
    <w:rsid w:val="00A8373E"/>
    <w:rsid w:val="00A86AB9"/>
    <w:rsid w:val="00A8748B"/>
    <w:rsid w:val="00A91B21"/>
    <w:rsid w:val="00A9227C"/>
    <w:rsid w:val="00AB1A50"/>
    <w:rsid w:val="00AB250A"/>
    <w:rsid w:val="00AC685F"/>
    <w:rsid w:val="00AC711F"/>
    <w:rsid w:val="00AD525C"/>
    <w:rsid w:val="00AD53E2"/>
    <w:rsid w:val="00AE50A4"/>
    <w:rsid w:val="00AE775E"/>
    <w:rsid w:val="00AF64A0"/>
    <w:rsid w:val="00AF68D4"/>
    <w:rsid w:val="00B059F8"/>
    <w:rsid w:val="00B072EE"/>
    <w:rsid w:val="00B07CEF"/>
    <w:rsid w:val="00B169AF"/>
    <w:rsid w:val="00B2117D"/>
    <w:rsid w:val="00B40D05"/>
    <w:rsid w:val="00B43E8C"/>
    <w:rsid w:val="00B47721"/>
    <w:rsid w:val="00B47ED5"/>
    <w:rsid w:val="00B56522"/>
    <w:rsid w:val="00B669E6"/>
    <w:rsid w:val="00B671BA"/>
    <w:rsid w:val="00B70F63"/>
    <w:rsid w:val="00B70FE1"/>
    <w:rsid w:val="00B76409"/>
    <w:rsid w:val="00B90876"/>
    <w:rsid w:val="00B972E0"/>
    <w:rsid w:val="00BA2384"/>
    <w:rsid w:val="00BB009D"/>
    <w:rsid w:val="00BB1C18"/>
    <w:rsid w:val="00BB2C7D"/>
    <w:rsid w:val="00BB5B4D"/>
    <w:rsid w:val="00BB7E1A"/>
    <w:rsid w:val="00BC1A32"/>
    <w:rsid w:val="00BC4F5C"/>
    <w:rsid w:val="00BC6C0B"/>
    <w:rsid w:val="00BD45D1"/>
    <w:rsid w:val="00BE25D2"/>
    <w:rsid w:val="00BE31A8"/>
    <w:rsid w:val="00BE4DF5"/>
    <w:rsid w:val="00BF30D0"/>
    <w:rsid w:val="00BF5789"/>
    <w:rsid w:val="00BF5EA6"/>
    <w:rsid w:val="00C003A2"/>
    <w:rsid w:val="00C06F61"/>
    <w:rsid w:val="00C10950"/>
    <w:rsid w:val="00C140BA"/>
    <w:rsid w:val="00C20372"/>
    <w:rsid w:val="00C228F7"/>
    <w:rsid w:val="00C311DC"/>
    <w:rsid w:val="00C43E5C"/>
    <w:rsid w:val="00C55973"/>
    <w:rsid w:val="00C71325"/>
    <w:rsid w:val="00C86E37"/>
    <w:rsid w:val="00CA7F0A"/>
    <w:rsid w:val="00CB3F17"/>
    <w:rsid w:val="00CB4AF3"/>
    <w:rsid w:val="00CD2DC5"/>
    <w:rsid w:val="00CE000E"/>
    <w:rsid w:val="00CE30A9"/>
    <w:rsid w:val="00CE524C"/>
    <w:rsid w:val="00CF6E88"/>
    <w:rsid w:val="00D057D6"/>
    <w:rsid w:val="00D05D78"/>
    <w:rsid w:val="00D076DF"/>
    <w:rsid w:val="00D12C38"/>
    <w:rsid w:val="00D133A7"/>
    <w:rsid w:val="00D13B11"/>
    <w:rsid w:val="00D208B5"/>
    <w:rsid w:val="00D217A2"/>
    <w:rsid w:val="00D245A3"/>
    <w:rsid w:val="00D26633"/>
    <w:rsid w:val="00D33847"/>
    <w:rsid w:val="00D33D1F"/>
    <w:rsid w:val="00D363C2"/>
    <w:rsid w:val="00D37032"/>
    <w:rsid w:val="00D43621"/>
    <w:rsid w:val="00D465A1"/>
    <w:rsid w:val="00D47E11"/>
    <w:rsid w:val="00D50500"/>
    <w:rsid w:val="00D5125D"/>
    <w:rsid w:val="00D5429F"/>
    <w:rsid w:val="00D54F74"/>
    <w:rsid w:val="00D5594F"/>
    <w:rsid w:val="00D62D20"/>
    <w:rsid w:val="00D6340E"/>
    <w:rsid w:val="00D7685B"/>
    <w:rsid w:val="00D76CE2"/>
    <w:rsid w:val="00D776FF"/>
    <w:rsid w:val="00D77970"/>
    <w:rsid w:val="00D84073"/>
    <w:rsid w:val="00D87364"/>
    <w:rsid w:val="00D90907"/>
    <w:rsid w:val="00D92C70"/>
    <w:rsid w:val="00D96D1F"/>
    <w:rsid w:val="00DA30CA"/>
    <w:rsid w:val="00DA4B86"/>
    <w:rsid w:val="00DA7A65"/>
    <w:rsid w:val="00DB0358"/>
    <w:rsid w:val="00DC2E1F"/>
    <w:rsid w:val="00DC4EF5"/>
    <w:rsid w:val="00DD054C"/>
    <w:rsid w:val="00DD24D9"/>
    <w:rsid w:val="00DE412E"/>
    <w:rsid w:val="00E0060C"/>
    <w:rsid w:val="00E10D99"/>
    <w:rsid w:val="00E141A5"/>
    <w:rsid w:val="00E175C6"/>
    <w:rsid w:val="00E22163"/>
    <w:rsid w:val="00E225A6"/>
    <w:rsid w:val="00E244D7"/>
    <w:rsid w:val="00E30288"/>
    <w:rsid w:val="00E3571C"/>
    <w:rsid w:val="00E425BB"/>
    <w:rsid w:val="00E65A0F"/>
    <w:rsid w:val="00E82A3A"/>
    <w:rsid w:val="00E87829"/>
    <w:rsid w:val="00E91484"/>
    <w:rsid w:val="00EA302E"/>
    <w:rsid w:val="00EB40F8"/>
    <w:rsid w:val="00EB6132"/>
    <w:rsid w:val="00EC0852"/>
    <w:rsid w:val="00EC2DA4"/>
    <w:rsid w:val="00EC7EAB"/>
    <w:rsid w:val="00ED6E97"/>
    <w:rsid w:val="00ED7887"/>
    <w:rsid w:val="00EE08AC"/>
    <w:rsid w:val="00EE27B4"/>
    <w:rsid w:val="00EE2B26"/>
    <w:rsid w:val="00EE2C79"/>
    <w:rsid w:val="00EE4EFB"/>
    <w:rsid w:val="00EE6D09"/>
    <w:rsid w:val="00EF1280"/>
    <w:rsid w:val="00EF1CCA"/>
    <w:rsid w:val="00EF1D7E"/>
    <w:rsid w:val="00EF406B"/>
    <w:rsid w:val="00F07819"/>
    <w:rsid w:val="00F13435"/>
    <w:rsid w:val="00F36A3C"/>
    <w:rsid w:val="00F42D41"/>
    <w:rsid w:val="00F466F4"/>
    <w:rsid w:val="00F46B8D"/>
    <w:rsid w:val="00F47561"/>
    <w:rsid w:val="00F54060"/>
    <w:rsid w:val="00F61DD1"/>
    <w:rsid w:val="00F639F2"/>
    <w:rsid w:val="00F73D2A"/>
    <w:rsid w:val="00F76DC2"/>
    <w:rsid w:val="00F77AC3"/>
    <w:rsid w:val="00F8148A"/>
    <w:rsid w:val="00F82DAA"/>
    <w:rsid w:val="00F85A01"/>
    <w:rsid w:val="00F85CBB"/>
    <w:rsid w:val="00F878BF"/>
    <w:rsid w:val="00F941F4"/>
    <w:rsid w:val="00FA15E8"/>
    <w:rsid w:val="00FA19EA"/>
    <w:rsid w:val="00FC6D18"/>
    <w:rsid w:val="00FD0164"/>
    <w:rsid w:val="00FD11B0"/>
    <w:rsid w:val="00FE3A4D"/>
    <w:rsid w:val="00FF6CDC"/>
    <w:rsid w:val="019E15FA"/>
    <w:rsid w:val="01C04E49"/>
    <w:rsid w:val="01C56903"/>
    <w:rsid w:val="01E5130F"/>
    <w:rsid w:val="022E6ED6"/>
    <w:rsid w:val="024418C5"/>
    <w:rsid w:val="029F53A6"/>
    <w:rsid w:val="02D011EF"/>
    <w:rsid w:val="03333D73"/>
    <w:rsid w:val="034A70C0"/>
    <w:rsid w:val="03567E64"/>
    <w:rsid w:val="039558ED"/>
    <w:rsid w:val="03D8291E"/>
    <w:rsid w:val="03F82FC0"/>
    <w:rsid w:val="03F84D6E"/>
    <w:rsid w:val="040A2CF3"/>
    <w:rsid w:val="042B7EE6"/>
    <w:rsid w:val="04605389"/>
    <w:rsid w:val="04763EE5"/>
    <w:rsid w:val="04B055CA"/>
    <w:rsid w:val="04E84D70"/>
    <w:rsid w:val="04FE1B34"/>
    <w:rsid w:val="0530678A"/>
    <w:rsid w:val="056800F4"/>
    <w:rsid w:val="057559BC"/>
    <w:rsid w:val="0599432F"/>
    <w:rsid w:val="05FE23E4"/>
    <w:rsid w:val="061061E5"/>
    <w:rsid w:val="064847BE"/>
    <w:rsid w:val="065937C6"/>
    <w:rsid w:val="068F04F2"/>
    <w:rsid w:val="07024983"/>
    <w:rsid w:val="07605B88"/>
    <w:rsid w:val="076D1F31"/>
    <w:rsid w:val="079F3753"/>
    <w:rsid w:val="082A74C0"/>
    <w:rsid w:val="083C60EB"/>
    <w:rsid w:val="085602B5"/>
    <w:rsid w:val="08707E74"/>
    <w:rsid w:val="089E65AF"/>
    <w:rsid w:val="09276FF5"/>
    <w:rsid w:val="099E1F14"/>
    <w:rsid w:val="0AAE262A"/>
    <w:rsid w:val="0B190491"/>
    <w:rsid w:val="0B612FC8"/>
    <w:rsid w:val="0BA0659B"/>
    <w:rsid w:val="0BE935F9"/>
    <w:rsid w:val="0C24351A"/>
    <w:rsid w:val="0C2A3A44"/>
    <w:rsid w:val="0C5F1A85"/>
    <w:rsid w:val="0C6076EF"/>
    <w:rsid w:val="0C665AC7"/>
    <w:rsid w:val="0C727ABA"/>
    <w:rsid w:val="0C88710A"/>
    <w:rsid w:val="0CBE28CD"/>
    <w:rsid w:val="0CD10361"/>
    <w:rsid w:val="0CD30126"/>
    <w:rsid w:val="0CD63DCD"/>
    <w:rsid w:val="0D29380C"/>
    <w:rsid w:val="0D52243E"/>
    <w:rsid w:val="0D5501D9"/>
    <w:rsid w:val="0DCC686B"/>
    <w:rsid w:val="0DDA0A0F"/>
    <w:rsid w:val="0DDE3227"/>
    <w:rsid w:val="0E172295"/>
    <w:rsid w:val="0E530B10"/>
    <w:rsid w:val="0E5E49B3"/>
    <w:rsid w:val="0E635A20"/>
    <w:rsid w:val="0EE10C23"/>
    <w:rsid w:val="0F256C33"/>
    <w:rsid w:val="0F647518"/>
    <w:rsid w:val="0F856841"/>
    <w:rsid w:val="0FE5157E"/>
    <w:rsid w:val="10054FA8"/>
    <w:rsid w:val="102E38C6"/>
    <w:rsid w:val="10865ABA"/>
    <w:rsid w:val="10AC68EA"/>
    <w:rsid w:val="10C304B2"/>
    <w:rsid w:val="10E802AE"/>
    <w:rsid w:val="11204641"/>
    <w:rsid w:val="112A6783"/>
    <w:rsid w:val="11A357F2"/>
    <w:rsid w:val="11AC7198"/>
    <w:rsid w:val="124F64A1"/>
    <w:rsid w:val="12580C2B"/>
    <w:rsid w:val="126D6927"/>
    <w:rsid w:val="127961AB"/>
    <w:rsid w:val="12A367ED"/>
    <w:rsid w:val="12D22707"/>
    <w:rsid w:val="12F40DC0"/>
    <w:rsid w:val="1301085A"/>
    <w:rsid w:val="13036299"/>
    <w:rsid w:val="134F18E7"/>
    <w:rsid w:val="136046DE"/>
    <w:rsid w:val="136D7BB8"/>
    <w:rsid w:val="13A84EB1"/>
    <w:rsid w:val="13B04414"/>
    <w:rsid w:val="13BA0A3C"/>
    <w:rsid w:val="143B5416"/>
    <w:rsid w:val="14493297"/>
    <w:rsid w:val="14562094"/>
    <w:rsid w:val="14825BBF"/>
    <w:rsid w:val="14BD6CF8"/>
    <w:rsid w:val="14CA068E"/>
    <w:rsid w:val="14D346B7"/>
    <w:rsid w:val="14E10453"/>
    <w:rsid w:val="1509626B"/>
    <w:rsid w:val="150F3CC6"/>
    <w:rsid w:val="151D729A"/>
    <w:rsid w:val="152D05F0"/>
    <w:rsid w:val="152D61E3"/>
    <w:rsid w:val="158D3597"/>
    <w:rsid w:val="159B7C4F"/>
    <w:rsid w:val="15D96741"/>
    <w:rsid w:val="15F31839"/>
    <w:rsid w:val="160937DE"/>
    <w:rsid w:val="1666200B"/>
    <w:rsid w:val="16D25540"/>
    <w:rsid w:val="16F2389F"/>
    <w:rsid w:val="17525EE6"/>
    <w:rsid w:val="17A50911"/>
    <w:rsid w:val="17A728DB"/>
    <w:rsid w:val="17AC1CA0"/>
    <w:rsid w:val="17AF79E2"/>
    <w:rsid w:val="17BF5E77"/>
    <w:rsid w:val="180050FE"/>
    <w:rsid w:val="189919B7"/>
    <w:rsid w:val="18F0565A"/>
    <w:rsid w:val="18F16CB3"/>
    <w:rsid w:val="18FB47B8"/>
    <w:rsid w:val="191504FB"/>
    <w:rsid w:val="195919B3"/>
    <w:rsid w:val="19765977"/>
    <w:rsid w:val="1A07652D"/>
    <w:rsid w:val="1A0B293A"/>
    <w:rsid w:val="1A1A3BD7"/>
    <w:rsid w:val="1A200269"/>
    <w:rsid w:val="1A5F2610"/>
    <w:rsid w:val="1A813044"/>
    <w:rsid w:val="1AB07CF9"/>
    <w:rsid w:val="1AD17A45"/>
    <w:rsid w:val="1B332CB8"/>
    <w:rsid w:val="1B4B27A6"/>
    <w:rsid w:val="1B5340FA"/>
    <w:rsid w:val="1B593EEC"/>
    <w:rsid w:val="1B8236BA"/>
    <w:rsid w:val="1BBE01F3"/>
    <w:rsid w:val="1BC2301B"/>
    <w:rsid w:val="1C2E5379"/>
    <w:rsid w:val="1C750501"/>
    <w:rsid w:val="1C924681"/>
    <w:rsid w:val="1CB84297"/>
    <w:rsid w:val="1CCE593E"/>
    <w:rsid w:val="1D183933"/>
    <w:rsid w:val="1D271DC8"/>
    <w:rsid w:val="1DE2466D"/>
    <w:rsid w:val="1E040786"/>
    <w:rsid w:val="1E430E84"/>
    <w:rsid w:val="1E737A66"/>
    <w:rsid w:val="1EEC5078"/>
    <w:rsid w:val="1F1076B4"/>
    <w:rsid w:val="1F3D35AB"/>
    <w:rsid w:val="1F3E3BDF"/>
    <w:rsid w:val="1F48203A"/>
    <w:rsid w:val="1F883474"/>
    <w:rsid w:val="1FA21CAE"/>
    <w:rsid w:val="1FAD782F"/>
    <w:rsid w:val="1FE62B6D"/>
    <w:rsid w:val="202109D2"/>
    <w:rsid w:val="20247B33"/>
    <w:rsid w:val="204C132C"/>
    <w:rsid w:val="2068152D"/>
    <w:rsid w:val="20820AF5"/>
    <w:rsid w:val="209239FD"/>
    <w:rsid w:val="209C689A"/>
    <w:rsid w:val="21093654"/>
    <w:rsid w:val="215A257E"/>
    <w:rsid w:val="21B376AD"/>
    <w:rsid w:val="229879F0"/>
    <w:rsid w:val="22C03E97"/>
    <w:rsid w:val="22CF718A"/>
    <w:rsid w:val="231D4366"/>
    <w:rsid w:val="231E09D8"/>
    <w:rsid w:val="232264E9"/>
    <w:rsid w:val="232748D0"/>
    <w:rsid w:val="23553414"/>
    <w:rsid w:val="239D608F"/>
    <w:rsid w:val="23A67EEB"/>
    <w:rsid w:val="23BE3486"/>
    <w:rsid w:val="24BC2045"/>
    <w:rsid w:val="24C474C9"/>
    <w:rsid w:val="24CE38C9"/>
    <w:rsid w:val="24E33BFF"/>
    <w:rsid w:val="25355402"/>
    <w:rsid w:val="256C2A6E"/>
    <w:rsid w:val="25A22934"/>
    <w:rsid w:val="25D9247A"/>
    <w:rsid w:val="26451DBB"/>
    <w:rsid w:val="26C568DA"/>
    <w:rsid w:val="26D24163"/>
    <w:rsid w:val="26D5059B"/>
    <w:rsid w:val="26D818A9"/>
    <w:rsid w:val="27103633"/>
    <w:rsid w:val="273D0B66"/>
    <w:rsid w:val="27461ED6"/>
    <w:rsid w:val="27791B20"/>
    <w:rsid w:val="27916521"/>
    <w:rsid w:val="279B2A28"/>
    <w:rsid w:val="27C6027A"/>
    <w:rsid w:val="28441A80"/>
    <w:rsid w:val="28E8466A"/>
    <w:rsid w:val="290C5E08"/>
    <w:rsid w:val="29945D79"/>
    <w:rsid w:val="29997CC5"/>
    <w:rsid w:val="29AC7A30"/>
    <w:rsid w:val="29C130D3"/>
    <w:rsid w:val="2A080115"/>
    <w:rsid w:val="2A5306A1"/>
    <w:rsid w:val="2A6C1915"/>
    <w:rsid w:val="2A762340"/>
    <w:rsid w:val="2A810E15"/>
    <w:rsid w:val="2A986A3E"/>
    <w:rsid w:val="2AC86999"/>
    <w:rsid w:val="2B4F2E3B"/>
    <w:rsid w:val="2B7B0043"/>
    <w:rsid w:val="2BDF043E"/>
    <w:rsid w:val="2BEE242F"/>
    <w:rsid w:val="2C040291"/>
    <w:rsid w:val="2C191F5E"/>
    <w:rsid w:val="2C26606D"/>
    <w:rsid w:val="2C372039"/>
    <w:rsid w:val="2C3B686F"/>
    <w:rsid w:val="2C673F8F"/>
    <w:rsid w:val="2C6B7F24"/>
    <w:rsid w:val="2C8B1087"/>
    <w:rsid w:val="2CD47877"/>
    <w:rsid w:val="2CDE24A4"/>
    <w:rsid w:val="2CF73565"/>
    <w:rsid w:val="2D26209C"/>
    <w:rsid w:val="2DCA5DCE"/>
    <w:rsid w:val="2DE7182C"/>
    <w:rsid w:val="2E032D5E"/>
    <w:rsid w:val="2E104B78"/>
    <w:rsid w:val="2E177139"/>
    <w:rsid w:val="2E461810"/>
    <w:rsid w:val="2EA56E79"/>
    <w:rsid w:val="2EC102CF"/>
    <w:rsid w:val="2EFA4B83"/>
    <w:rsid w:val="2F44231D"/>
    <w:rsid w:val="2F921775"/>
    <w:rsid w:val="2FA33530"/>
    <w:rsid w:val="300B1B55"/>
    <w:rsid w:val="300C27FE"/>
    <w:rsid w:val="30455EAC"/>
    <w:rsid w:val="31244B45"/>
    <w:rsid w:val="31344570"/>
    <w:rsid w:val="313A6116"/>
    <w:rsid w:val="31BC6B2B"/>
    <w:rsid w:val="321112EA"/>
    <w:rsid w:val="322D7EF6"/>
    <w:rsid w:val="32747D62"/>
    <w:rsid w:val="32AC3044"/>
    <w:rsid w:val="32B06230"/>
    <w:rsid w:val="32F04CDF"/>
    <w:rsid w:val="32FB3683"/>
    <w:rsid w:val="331B50EC"/>
    <w:rsid w:val="3344327C"/>
    <w:rsid w:val="33E721A0"/>
    <w:rsid w:val="34220587"/>
    <w:rsid w:val="344A2B14"/>
    <w:rsid w:val="34B234AB"/>
    <w:rsid w:val="34BA1A48"/>
    <w:rsid w:val="34EB7E53"/>
    <w:rsid w:val="34F4322C"/>
    <w:rsid w:val="3500250B"/>
    <w:rsid w:val="350606FD"/>
    <w:rsid w:val="3511416E"/>
    <w:rsid w:val="35C93186"/>
    <w:rsid w:val="3606477F"/>
    <w:rsid w:val="3663145F"/>
    <w:rsid w:val="370E7E29"/>
    <w:rsid w:val="375B3D1D"/>
    <w:rsid w:val="37DB37D6"/>
    <w:rsid w:val="382A2DCE"/>
    <w:rsid w:val="384D672F"/>
    <w:rsid w:val="38537B36"/>
    <w:rsid w:val="385E093C"/>
    <w:rsid w:val="38650971"/>
    <w:rsid w:val="38B45E95"/>
    <w:rsid w:val="39310544"/>
    <w:rsid w:val="39496958"/>
    <w:rsid w:val="397F500E"/>
    <w:rsid w:val="398919E9"/>
    <w:rsid w:val="39BE5599"/>
    <w:rsid w:val="3A146373"/>
    <w:rsid w:val="3A6C0780"/>
    <w:rsid w:val="3A92742B"/>
    <w:rsid w:val="3A953785"/>
    <w:rsid w:val="3AE12C2D"/>
    <w:rsid w:val="3AF37A62"/>
    <w:rsid w:val="3B0357CB"/>
    <w:rsid w:val="3B061570"/>
    <w:rsid w:val="3B295232"/>
    <w:rsid w:val="3B410038"/>
    <w:rsid w:val="3B4B5394"/>
    <w:rsid w:val="3B7F4DD8"/>
    <w:rsid w:val="3B914B86"/>
    <w:rsid w:val="3BA27ACD"/>
    <w:rsid w:val="3BA27F3E"/>
    <w:rsid w:val="3C324A97"/>
    <w:rsid w:val="3C4271A8"/>
    <w:rsid w:val="3C5D383C"/>
    <w:rsid w:val="3C5D3E50"/>
    <w:rsid w:val="3C9D5BCB"/>
    <w:rsid w:val="3CDD2778"/>
    <w:rsid w:val="3D015D3A"/>
    <w:rsid w:val="3D052D66"/>
    <w:rsid w:val="3D207DC0"/>
    <w:rsid w:val="3D8C5F4C"/>
    <w:rsid w:val="3DA83EFA"/>
    <w:rsid w:val="3E616E13"/>
    <w:rsid w:val="3EB5661C"/>
    <w:rsid w:val="3EC87EDC"/>
    <w:rsid w:val="3EEC6A1B"/>
    <w:rsid w:val="3F040E29"/>
    <w:rsid w:val="3F131E68"/>
    <w:rsid w:val="3F1433ED"/>
    <w:rsid w:val="3F2A5A1C"/>
    <w:rsid w:val="3F702F92"/>
    <w:rsid w:val="3F9C49E9"/>
    <w:rsid w:val="3FB94B3D"/>
    <w:rsid w:val="3FD54206"/>
    <w:rsid w:val="3FD72405"/>
    <w:rsid w:val="40B70141"/>
    <w:rsid w:val="41656898"/>
    <w:rsid w:val="418103E9"/>
    <w:rsid w:val="41AF5482"/>
    <w:rsid w:val="41FB6721"/>
    <w:rsid w:val="42DE4A51"/>
    <w:rsid w:val="4332119D"/>
    <w:rsid w:val="434864E2"/>
    <w:rsid w:val="438B2456"/>
    <w:rsid w:val="439873F8"/>
    <w:rsid w:val="43D56439"/>
    <w:rsid w:val="43F26D23"/>
    <w:rsid w:val="4436276D"/>
    <w:rsid w:val="443D75E3"/>
    <w:rsid w:val="443D7EE2"/>
    <w:rsid w:val="44676DCB"/>
    <w:rsid w:val="446E7B78"/>
    <w:rsid w:val="4471488C"/>
    <w:rsid w:val="449D27EC"/>
    <w:rsid w:val="44D22496"/>
    <w:rsid w:val="44DF4BB3"/>
    <w:rsid w:val="451B7A9E"/>
    <w:rsid w:val="45410E18"/>
    <w:rsid w:val="45BC6EF2"/>
    <w:rsid w:val="45DF7DD0"/>
    <w:rsid w:val="4626062E"/>
    <w:rsid w:val="46CA5828"/>
    <w:rsid w:val="472509C6"/>
    <w:rsid w:val="474A4216"/>
    <w:rsid w:val="478B1E23"/>
    <w:rsid w:val="47B53958"/>
    <w:rsid w:val="480F1C53"/>
    <w:rsid w:val="481855B1"/>
    <w:rsid w:val="481A3696"/>
    <w:rsid w:val="4922622C"/>
    <w:rsid w:val="496C529A"/>
    <w:rsid w:val="497003A2"/>
    <w:rsid w:val="49BC6688"/>
    <w:rsid w:val="4A2D5CBA"/>
    <w:rsid w:val="4A727F0E"/>
    <w:rsid w:val="4A851654"/>
    <w:rsid w:val="4AAB79E7"/>
    <w:rsid w:val="4AD20BCB"/>
    <w:rsid w:val="4AF51685"/>
    <w:rsid w:val="4AF616DD"/>
    <w:rsid w:val="4B470965"/>
    <w:rsid w:val="4B550211"/>
    <w:rsid w:val="4B637C0F"/>
    <w:rsid w:val="4B70165E"/>
    <w:rsid w:val="4B75001F"/>
    <w:rsid w:val="4B860BDD"/>
    <w:rsid w:val="4C34144D"/>
    <w:rsid w:val="4C38005B"/>
    <w:rsid w:val="4C676045"/>
    <w:rsid w:val="4CD2389B"/>
    <w:rsid w:val="4CD52B3A"/>
    <w:rsid w:val="4CEE3060"/>
    <w:rsid w:val="4CFE492A"/>
    <w:rsid w:val="4D425ABB"/>
    <w:rsid w:val="4D7A191D"/>
    <w:rsid w:val="4D926C66"/>
    <w:rsid w:val="4DC60A73"/>
    <w:rsid w:val="4DD77BBE"/>
    <w:rsid w:val="4DE11B7D"/>
    <w:rsid w:val="4E201ADC"/>
    <w:rsid w:val="4E3F065B"/>
    <w:rsid w:val="4ECA7876"/>
    <w:rsid w:val="4EDE26B2"/>
    <w:rsid w:val="4F846A83"/>
    <w:rsid w:val="4FAE3B00"/>
    <w:rsid w:val="4FBC5295"/>
    <w:rsid w:val="4FFA40C6"/>
    <w:rsid w:val="500C47D7"/>
    <w:rsid w:val="504137C0"/>
    <w:rsid w:val="50417D54"/>
    <w:rsid w:val="508E75C7"/>
    <w:rsid w:val="50EB7742"/>
    <w:rsid w:val="50EF2622"/>
    <w:rsid w:val="512C73D2"/>
    <w:rsid w:val="51792F7D"/>
    <w:rsid w:val="518615D6"/>
    <w:rsid w:val="51C97887"/>
    <w:rsid w:val="51D51447"/>
    <w:rsid w:val="51F0603B"/>
    <w:rsid w:val="5272350A"/>
    <w:rsid w:val="528A2602"/>
    <w:rsid w:val="529E1C09"/>
    <w:rsid w:val="52DE64AA"/>
    <w:rsid w:val="52EC3766"/>
    <w:rsid w:val="53171F82"/>
    <w:rsid w:val="533D17B3"/>
    <w:rsid w:val="53422DC2"/>
    <w:rsid w:val="53755060"/>
    <w:rsid w:val="53BE0110"/>
    <w:rsid w:val="53EC2E48"/>
    <w:rsid w:val="54266B0F"/>
    <w:rsid w:val="545743A8"/>
    <w:rsid w:val="5482715A"/>
    <w:rsid w:val="54A37EEE"/>
    <w:rsid w:val="54C96B2C"/>
    <w:rsid w:val="5501034D"/>
    <w:rsid w:val="55442D10"/>
    <w:rsid w:val="554F0CA1"/>
    <w:rsid w:val="55861F85"/>
    <w:rsid w:val="559B2D78"/>
    <w:rsid w:val="559F6E56"/>
    <w:rsid w:val="5604091D"/>
    <w:rsid w:val="560C32E1"/>
    <w:rsid w:val="56325F75"/>
    <w:rsid w:val="56496330"/>
    <w:rsid w:val="56C109C9"/>
    <w:rsid w:val="56C1236A"/>
    <w:rsid w:val="56D44B7D"/>
    <w:rsid w:val="56F25234"/>
    <w:rsid w:val="5715473E"/>
    <w:rsid w:val="572528F9"/>
    <w:rsid w:val="57914155"/>
    <w:rsid w:val="57C65BAE"/>
    <w:rsid w:val="57DA6114"/>
    <w:rsid w:val="58070251"/>
    <w:rsid w:val="583A0626"/>
    <w:rsid w:val="58736890"/>
    <w:rsid w:val="587F3C2A"/>
    <w:rsid w:val="58A91308"/>
    <w:rsid w:val="58B336C6"/>
    <w:rsid w:val="58D72319"/>
    <w:rsid w:val="59181005"/>
    <w:rsid w:val="591F6673"/>
    <w:rsid w:val="597E384D"/>
    <w:rsid w:val="5993342B"/>
    <w:rsid w:val="5994085A"/>
    <w:rsid w:val="59C04B5B"/>
    <w:rsid w:val="59C61F2F"/>
    <w:rsid w:val="59DE4FE1"/>
    <w:rsid w:val="5A2450EA"/>
    <w:rsid w:val="5A811902"/>
    <w:rsid w:val="5A903350"/>
    <w:rsid w:val="5A92474A"/>
    <w:rsid w:val="5B5872DB"/>
    <w:rsid w:val="5B8017FE"/>
    <w:rsid w:val="5B9D08B5"/>
    <w:rsid w:val="5BA25330"/>
    <w:rsid w:val="5BD1511E"/>
    <w:rsid w:val="5BE036DF"/>
    <w:rsid w:val="5C0B3B2B"/>
    <w:rsid w:val="5C4E05A1"/>
    <w:rsid w:val="5C5F1839"/>
    <w:rsid w:val="5C96470C"/>
    <w:rsid w:val="5CD71A0A"/>
    <w:rsid w:val="5CF22818"/>
    <w:rsid w:val="5CFD6159"/>
    <w:rsid w:val="5D250B83"/>
    <w:rsid w:val="5D4C4DAB"/>
    <w:rsid w:val="5D8E0D0F"/>
    <w:rsid w:val="5E0A2761"/>
    <w:rsid w:val="5E8B0E48"/>
    <w:rsid w:val="5EE60DC2"/>
    <w:rsid w:val="5EFE61EB"/>
    <w:rsid w:val="5F092B01"/>
    <w:rsid w:val="5F5C4A79"/>
    <w:rsid w:val="5F7A2117"/>
    <w:rsid w:val="60161979"/>
    <w:rsid w:val="60A74A70"/>
    <w:rsid w:val="60B86951"/>
    <w:rsid w:val="60C413D5"/>
    <w:rsid w:val="60D333C6"/>
    <w:rsid w:val="60EA02FE"/>
    <w:rsid w:val="60F15F42"/>
    <w:rsid w:val="61252E31"/>
    <w:rsid w:val="613A4786"/>
    <w:rsid w:val="61463CD9"/>
    <w:rsid w:val="614F5761"/>
    <w:rsid w:val="61772657"/>
    <w:rsid w:val="61942442"/>
    <w:rsid w:val="61F7246A"/>
    <w:rsid w:val="6200079A"/>
    <w:rsid w:val="62BC57C9"/>
    <w:rsid w:val="62E0001C"/>
    <w:rsid w:val="632170F5"/>
    <w:rsid w:val="63314A1B"/>
    <w:rsid w:val="638A36D6"/>
    <w:rsid w:val="63A67F77"/>
    <w:rsid w:val="63C60C97"/>
    <w:rsid w:val="64663B6A"/>
    <w:rsid w:val="64666967"/>
    <w:rsid w:val="64925346"/>
    <w:rsid w:val="655B1BDC"/>
    <w:rsid w:val="65685219"/>
    <w:rsid w:val="65951AAE"/>
    <w:rsid w:val="65982E30"/>
    <w:rsid w:val="65C0487F"/>
    <w:rsid w:val="66120B98"/>
    <w:rsid w:val="667F1AEE"/>
    <w:rsid w:val="66A55805"/>
    <w:rsid w:val="66DB3793"/>
    <w:rsid w:val="66E07D38"/>
    <w:rsid w:val="66ED36D5"/>
    <w:rsid w:val="670723FC"/>
    <w:rsid w:val="672227C4"/>
    <w:rsid w:val="676254A4"/>
    <w:rsid w:val="67954F6E"/>
    <w:rsid w:val="67A93283"/>
    <w:rsid w:val="67F307F2"/>
    <w:rsid w:val="67F330AB"/>
    <w:rsid w:val="682F0B41"/>
    <w:rsid w:val="683055A2"/>
    <w:rsid w:val="68847F10"/>
    <w:rsid w:val="68BB130F"/>
    <w:rsid w:val="68CA3301"/>
    <w:rsid w:val="68FB2328"/>
    <w:rsid w:val="69121A8E"/>
    <w:rsid w:val="691C1F18"/>
    <w:rsid w:val="69213601"/>
    <w:rsid w:val="692C3EF9"/>
    <w:rsid w:val="6A205AF9"/>
    <w:rsid w:val="6A30723E"/>
    <w:rsid w:val="6A9667FA"/>
    <w:rsid w:val="6ABE4125"/>
    <w:rsid w:val="6B054AC4"/>
    <w:rsid w:val="6B0D1EB5"/>
    <w:rsid w:val="6B422D37"/>
    <w:rsid w:val="6C1B3E73"/>
    <w:rsid w:val="6C3D3BF8"/>
    <w:rsid w:val="6C551158"/>
    <w:rsid w:val="6C7F5930"/>
    <w:rsid w:val="6C8A14E3"/>
    <w:rsid w:val="6C8E0AE9"/>
    <w:rsid w:val="6D746183"/>
    <w:rsid w:val="6DF42BCE"/>
    <w:rsid w:val="6E090B60"/>
    <w:rsid w:val="6E331D73"/>
    <w:rsid w:val="6E361220"/>
    <w:rsid w:val="6E3A0F94"/>
    <w:rsid w:val="6E656967"/>
    <w:rsid w:val="6E701D92"/>
    <w:rsid w:val="6E9B274D"/>
    <w:rsid w:val="6E9F0223"/>
    <w:rsid w:val="6EA01116"/>
    <w:rsid w:val="6EAF0AA9"/>
    <w:rsid w:val="6EB968C8"/>
    <w:rsid w:val="6ECD3B4B"/>
    <w:rsid w:val="6F5F0599"/>
    <w:rsid w:val="6F601137"/>
    <w:rsid w:val="6F7E6554"/>
    <w:rsid w:val="6F9117CD"/>
    <w:rsid w:val="6F9D0A75"/>
    <w:rsid w:val="6FE90965"/>
    <w:rsid w:val="700F79D5"/>
    <w:rsid w:val="70B60CB2"/>
    <w:rsid w:val="71436346"/>
    <w:rsid w:val="71D56BD0"/>
    <w:rsid w:val="71E07AB4"/>
    <w:rsid w:val="721E4A97"/>
    <w:rsid w:val="72395053"/>
    <w:rsid w:val="72452668"/>
    <w:rsid w:val="726B5B54"/>
    <w:rsid w:val="7305535E"/>
    <w:rsid w:val="730862A0"/>
    <w:rsid w:val="731107FB"/>
    <w:rsid w:val="73316377"/>
    <w:rsid w:val="735132C1"/>
    <w:rsid w:val="73593BFF"/>
    <w:rsid w:val="73AB0A9F"/>
    <w:rsid w:val="74021DFF"/>
    <w:rsid w:val="740B53A5"/>
    <w:rsid w:val="741E120C"/>
    <w:rsid w:val="747458D7"/>
    <w:rsid w:val="747A1CEA"/>
    <w:rsid w:val="74A120DE"/>
    <w:rsid w:val="74AF2F5D"/>
    <w:rsid w:val="74B135C7"/>
    <w:rsid w:val="74D81899"/>
    <w:rsid w:val="75360521"/>
    <w:rsid w:val="759172D9"/>
    <w:rsid w:val="75F97E8B"/>
    <w:rsid w:val="76016CFA"/>
    <w:rsid w:val="765A667E"/>
    <w:rsid w:val="765B2D19"/>
    <w:rsid w:val="76F77834"/>
    <w:rsid w:val="775C0B69"/>
    <w:rsid w:val="786C6182"/>
    <w:rsid w:val="786E3E8C"/>
    <w:rsid w:val="7894368C"/>
    <w:rsid w:val="789A1CB7"/>
    <w:rsid w:val="789C44F8"/>
    <w:rsid w:val="78F30652"/>
    <w:rsid w:val="792C6F50"/>
    <w:rsid w:val="79861A7E"/>
    <w:rsid w:val="799D05BD"/>
    <w:rsid w:val="79BF0534"/>
    <w:rsid w:val="79E507F1"/>
    <w:rsid w:val="79F4601C"/>
    <w:rsid w:val="79FA5CDF"/>
    <w:rsid w:val="7A0922E4"/>
    <w:rsid w:val="7A31700D"/>
    <w:rsid w:val="7A590988"/>
    <w:rsid w:val="7A95503E"/>
    <w:rsid w:val="7AB6477F"/>
    <w:rsid w:val="7AB67B89"/>
    <w:rsid w:val="7AC51B7A"/>
    <w:rsid w:val="7B166879"/>
    <w:rsid w:val="7B211412"/>
    <w:rsid w:val="7B352E44"/>
    <w:rsid w:val="7B7850B5"/>
    <w:rsid w:val="7BC657CB"/>
    <w:rsid w:val="7C3A6597"/>
    <w:rsid w:val="7C5337BC"/>
    <w:rsid w:val="7C773348"/>
    <w:rsid w:val="7CB41EA6"/>
    <w:rsid w:val="7CBC5715"/>
    <w:rsid w:val="7D222FEF"/>
    <w:rsid w:val="7D2304AB"/>
    <w:rsid w:val="7D287FEE"/>
    <w:rsid w:val="7D7653AD"/>
    <w:rsid w:val="7E8B642C"/>
    <w:rsid w:val="7EA57F21"/>
    <w:rsid w:val="7EB268B9"/>
    <w:rsid w:val="7ECC5996"/>
    <w:rsid w:val="7ECD54A1"/>
    <w:rsid w:val="7F0974E4"/>
    <w:rsid w:val="7F6D5063"/>
    <w:rsid w:val="7F9E21F8"/>
    <w:rsid w:val="7FA44126"/>
    <w:rsid w:val="7FAA5067"/>
    <w:rsid w:val="7FB040E1"/>
    <w:rsid w:val="7FCE14D1"/>
    <w:rsid w:val="7FE33E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name="toc 3"/>
    <w:lsdException w:qFormat="1" w:unhideWhenUsed="0" w:uiPriority="0" w:name="toc 4"/>
    <w:lsdException w:qFormat="1" w:unhideWhenUsed="0" w:uiPriority="0" w:name="toc 5"/>
    <w:lsdException w:qFormat="1" w:unhideWhenUsed="0" w:uiPriority="39" w:semiHidden="0" w:name="toc 6"/>
    <w:lsdException w:qFormat="1" w:unhideWhenUsed="0" w:uiPriority="0" w:name="toc 7"/>
    <w:lsdException w:qFormat="1" w:unhideWhenUsed="0" w:uiPriority="0" w:name="toc 8"/>
    <w:lsdException w:qFormat="1" w:unhideWhenUsed="0" w:uiPriority="0"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qFormat="1" w:unhideWhenUsed="0" w:uiPriority="0" w:semiHidden="0"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nhideWhenUsed="0" w:uiPriority="99" w:semiHidden="0" w:name="Message Header"/>
    <w:lsdException w:qFormat="1" w:unhideWhenUsed="0" w:uiPriority="11" w:semiHidden="0" w:name="Subtitle"/>
    <w:lsdException w:uiPriority="99" w:name="Salutation"/>
    <w:lsdException w:qFormat="1" w:unhideWhenUsed="0" w:uiPriority="0" w:semiHidden="0" w:name="Date"/>
    <w:lsdException w:qFormat="1"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iPriority="99" w:name="Body Text Indent 3"/>
    <w:lsdException w:uiPriority="99"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iPriority="99"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7"/>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55"/>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56"/>
    <w:qFormat/>
    <w:uiPriority w:val="0"/>
    <w:pPr>
      <w:keepNext/>
      <w:keepLines/>
      <w:spacing w:line="360" w:lineRule="auto"/>
      <w:outlineLvl w:val="2"/>
    </w:pPr>
    <w:rPr>
      <w:b/>
      <w:bCs/>
      <w:sz w:val="24"/>
      <w:szCs w:val="32"/>
    </w:rPr>
  </w:style>
  <w:style w:type="paragraph" w:styleId="5">
    <w:name w:val="heading 4"/>
    <w:basedOn w:val="1"/>
    <w:next w:val="1"/>
    <w:link w:val="58"/>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59"/>
    <w:qFormat/>
    <w:uiPriority w:val="0"/>
    <w:pPr>
      <w:keepNext/>
      <w:keepLines/>
      <w:spacing w:before="280" w:after="290" w:line="372" w:lineRule="auto"/>
      <w:outlineLvl w:val="4"/>
    </w:pPr>
    <w:rPr>
      <w:b/>
      <w:sz w:val="28"/>
      <w:szCs w:val="20"/>
    </w:rPr>
  </w:style>
  <w:style w:type="character" w:default="1" w:styleId="41">
    <w:name w:val="Default Paragraph Font"/>
    <w:semiHidden/>
    <w:unhideWhenUsed/>
    <w:qFormat/>
    <w:uiPriority w:val="1"/>
  </w:style>
  <w:style w:type="table" w:default="1" w:styleId="39">
    <w:name w:val="Normal Table"/>
    <w:semiHidden/>
    <w:unhideWhenUsed/>
    <w:qFormat/>
    <w:uiPriority w:val="99"/>
    <w:tblPr>
      <w:tblCellMar>
        <w:top w:w="0" w:type="dxa"/>
        <w:left w:w="108" w:type="dxa"/>
        <w:bottom w:w="0" w:type="dxa"/>
        <w:right w:w="108" w:type="dxa"/>
      </w:tblCellMar>
    </w:tblPr>
  </w:style>
  <w:style w:type="paragraph" w:styleId="7">
    <w:name w:val="toc 7"/>
    <w:basedOn w:val="1"/>
    <w:next w:val="1"/>
    <w:semiHidden/>
    <w:qFormat/>
    <w:uiPriority w:val="0"/>
    <w:pPr>
      <w:ind w:left="1260"/>
      <w:jc w:val="left"/>
    </w:pPr>
    <w:rPr>
      <w:sz w:val="18"/>
      <w:szCs w:val="18"/>
    </w:rPr>
  </w:style>
  <w:style w:type="paragraph" w:styleId="8">
    <w:name w:val="Normal Indent"/>
    <w:basedOn w:val="1"/>
    <w:qFormat/>
    <w:uiPriority w:val="0"/>
    <w:pPr>
      <w:adjustRightInd w:val="0"/>
      <w:spacing w:line="360" w:lineRule="atLeast"/>
      <w:ind w:firstLine="420"/>
      <w:textAlignment w:val="baseline"/>
    </w:pPr>
    <w:rPr>
      <w:szCs w:val="20"/>
    </w:rPr>
  </w:style>
  <w:style w:type="paragraph" w:styleId="9">
    <w:name w:val="Document Map"/>
    <w:basedOn w:val="1"/>
    <w:link w:val="87"/>
    <w:qFormat/>
    <w:uiPriority w:val="0"/>
    <w:pPr>
      <w:shd w:val="clear" w:color="auto" w:fill="000080"/>
    </w:pPr>
  </w:style>
  <w:style w:type="paragraph" w:styleId="10">
    <w:name w:val="toa heading"/>
    <w:basedOn w:val="1"/>
    <w:next w:val="1"/>
    <w:qFormat/>
    <w:uiPriority w:val="0"/>
    <w:pPr>
      <w:spacing w:before="120"/>
    </w:pPr>
    <w:rPr>
      <w:rFonts w:ascii="Arial" w:hAnsi="Arial"/>
      <w:sz w:val="24"/>
      <w:szCs w:val="20"/>
    </w:rPr>
  </w:style>
  <w:style w:type="paragraph" w:styleId="11">
    <w:name w:val="annotation text"/>
    <w:basedOn w:val="1"/>
    <w:link w:val="65"/>
    <w:qFormat/>
    <w:uiPriority w:val="0"/>
    <w:pPr>
      <w:jc w:val="left"/>
    </w:pPr>
    <w:rPr>
      <w:rFonts w:asciiTheme="minorHAnsi" w:hAnsiTheme="minorHAnsi" w:cstheme="minorBidi"/>
    </w:rPr>
  </w:style>
  <w:style w:type="paragraph" w:styleId="12">
    <w:name w:val="Body Text 3"/>
    <w:basedOn w:val="1"/>
    <w:link w:val="67"/>
    <w:qFormat/>
    <w:uiPriority w:val="0"/>
    <w:pPr>
      <w:spacing w:after="120"/>
    </w:pPr>
    <w:rPr>
      <w:rFonts w:asciiTheme="minorHAnsi" w:hAnsiTheme="minorHAnsi" w:cstheme="minorBidi"/>
      <w:sz w:val="16"/>
      <w:szCs w:val="22"/>
    </w:rPr>
  </w:style>
  <w:style w:type="paragraph" w:styleId="13">
    <w:name w:val="Closing"/>
    <w:basedOn w:val="1"/>
    <w:link w:val="63"/>
    <w:qFormat/>
    <w:uiPriority w:val="0"/>
    <w:pPr>
      <w:ind w:left="100" w:leftChars="2100"/>
    </w:pPr>
    <w:rPr>
      <w:rFonts w:asciiTheme="minorHAnsi" w:hAnsiTheme="minorHAnsi" w:eastAsiaTheme="minorEastAsia" w:cstheme="minorBidi"/>
      <w:sz w:val="28"/>
      <w:szCs w:val="28"/>
    </w:rPr>
  </w:style>
  <w:style w:type="paragraph" w:styleId="14">
    <w:name w:val="Body Text"/>
    <w:basedOn w:val="1"/>
    <w:next w:val="1"/>
    <w:link w:val="61"/>
    <w:qFormat/>
    <w:uiPriority w:val="0"/>
    <w:rPr>
      <w:rFonts w:ascii="宋体" w:hAnsiTheme="minorHAnsi" w:cstheme="minorBidi"/>
      <w:sz w:val="32"/>
      <w:szCs w:val="22"/>
    </w:rPr>
  </w:style>
  <w:style w:type="paragraph" w:styleId="15">
    <w:name w:val="Body Text Indent"/>
    <w:basedOn w:val="1"/>
    <w:link w:val="68"/>
    <w:qFormat/>
    <w:uiPriority w:val="0"/>
    <w:pPr>
      <w:spacing w:after="120"/>
      <w:ind w:left="420" w:leftChars="200"/>
    </w:pPr>
    <w:rPr>
      <w:rFonts w:asciiTheme="minorHAnsi" w:hAnsiTheme="minorHAnsi" w:cstheme="minorBidi"/>
      <w:szCs w:val="22"/>
    </w:rPr>
  </w:style>
  <w:style w:type="paragraph" w:styleId="16">
    <w:name w:val="toc 5"/>
    <w:basedOn w:val="1"/>
    <w:next w:val="1"/>
    <w:semiHidden/>
    <w:qFormat/>
    <w:uiPriority w:val="0"/>
    <w:pPr>
      <w:ind w:left="840"/>
      <w:jc w:val="left"/>
    </w:pPr>
    <w:rPr>
      <w:sz w:val="18"/>
      <w:szCs w:val="18"/>
    </w:rPr>
  </w:style>
  <w:style w:type="paragraph" w:styleId="17">
    <w:name w:val="toc 3"/>
    <w:basedOn w:val="1"/>
    <w:next w:val="1"/>
    <w:semiHidden/>
    <w:qFormat/>
    <w:uiPriority w:val="0"/>
    <w:pPr>
      <w:ind w:left="420"/>
      <w:jc w:val="left"/>
    </w:pPr>
    <w:rPr>
      <w:i/>
      <w:iCs/>
      <w:sz w:val="20"/>
      <w:szCs w:val="20"/>
    </w:rPr>
  </w:style>
  <w:style w:type="paragraph" w:styleId="18">
    <w:name w:val="Plain Text"/>
    <w:basedOn w:val="1"/>
    <w:link w:val="64"/>
    <w:qFormat/>
    <w:uiPriority w:val="0"/>
    <w:pPr>
      <w:adjustRightInd w:val="0"/>
      <w:jc w:val="left"/>
      <w:textAlignment w:val="baseline"/>
    </w:pPr>
    <w:rPr>
      <w:rFonts w:ascii="宋体" w:hAnsi="Courier New" w:cstheme="minorBidi"/>
      <w:sz w:val="24"/>
      <w:szCs w:val="22"/>
    </w:rPr>
  </w:style>
  <w:style w:type="paragraph" w:styleId="19">
    <w:name w:val="toc 8"/>
    <w:basedOn w:val="1"/>
    <w:next w:val="1"/>
    <w:semiHidden/>
    <w:qFormat/>
    <w:uiPriority w:val="0"/>
    <w:pPr>
      <w:ind w:left="1470"/>
      <w:jc w:val="left"/>
    </w:pPr>
    <w:rPr>
      <w:sz w:val="18"/>
      <w:szCs w:val="18"/>
    </w:rPr>
  </w:style>
  <w:style w:type="paragraph" w:styleId="20">
    <w:name w:val="Date"/>
    <w:basedOn w:val="1"/>
    <w:next w:val="1"/>
    <w:link w:val="66"/>
    <w:qFormat/>
    <w:uiPriority w:val="0"/>
    <w:rPr>
      <w:rFonts w:asciiTheme="minorHAnsi" w:hAnsiTheme="minorHAnsi" w:cstheme="minorBidi"/>
      <w:szCs w:val="22"/>
    </w:rPr>
  </w:style>
  <w:style w:type="paragraph" w:styleId="21">
    <w:name w:val="Body Text Indent 2"/>
    <w:basedOn w:val="1"/>
    <w:next w:val="22"/>
    <w:link w:val="74"/>
    <w:qFormat/>
    <w:uiPriority w:val="0"/>
    <w:pPr>
      <w:ind w:left="-178" w:leftChars="-85" w:firstLine="739" w:firstLineChars="264"/>
      <w:jc w:val="left"/>
    </w:pPr>
    <w:rPr>
      <w:rFonts w:ascii="宋体"/>
      <w:sz w:val="28"/>
    </w:rPr>
  </w:style>
  <w:style w:type="paragraph" w:customStyle="1" w:styleId="22">
    <w:name w:val="reader-word-layer reader-word-s46-2"/>
    <w:basedOn w:val="1"/>
    <w:next w:val="23"/>
    <w:qFormat/>
    <w:uiPriority w:val="0"/>
    <w:pPr>
      <w:widowControl/>
      <w:spacing w:before="280" w:after="280"/>
      <w:jc w:val="both"/>
    </w:pPr>
    <w:rPr>
      <w:rFonts w:ascii="宋体"/>
      <w:sz w:val="24"/>
    </w:rPr>
  </w:style>
  <w:style w:type="paragraph" w:customStyle="1" w:styleId="23">
    <w:name w:val="xl35"/>
    <w:basedOn w:val="1"/>
    <w:next w:val="1"/>
    <w:qFormat/>
    <w:uiPriority w:val="0"/>
    <w:pPr>
      <w:widowControl/>
      <w:spacing w:before="100" w:beforeAutospacing="1" w:after="100" w:afterAutospacing="1"/>
      <w:jc w:val="center"/>
    </w:pPr>
    <w:rPr>
      <w:rFonts w:ascii="宋体" w:hAnsi="宋体" w:cs="宋体"/>
      <w:sz w:val="20"/>
      <w:szCs w:val="20"/>
    </w:rPr>
  </w:style>
  <w:style w:type="paragraph" w:styleId="24">
    <w:name w:val="Balloon Text"/>
    <w:basedOn w:val="1"/>
    <w:link w:val="70"/>
    <w:qFormat/>
    <w:uiPriority w:val="0"/>
    <w:rPr>
      <w:rFonts w:asciiTheme="minorHAnsi" w:hAnsiTheme="minorHAnsi" w:cstheme="minorBidi"/>
      <w:sz w:val="18"/>
      <w:szCs w:val="18"/>
    </w:rPr>
  </w:style>
  <w:style w:type="paragraph" w:styleId="25">
    <w:name w:val="footer"/>
    <w:basedOn w:val="1"/>
    <w:link w:val="62"/>
    <w:qFormat/>
    <w:uiPriority w:val="99"/>
    <w:pPr>
      <w:tabs>
        <w:tab w:val="center" w:pos="4153"/>
        <w:tab w:val="right" w:pos="8306"/>
      </w:tabs>
      <w:snapToGrid w:val="0"/>
      <w:jc w:val="left"/>
    </w:pPr>
    <w:rPr>
      <w:rFonts w:asciiTheme="minorHAnsi" w:hAnsiTheme="minorHAnsi" w:cstheme="minorBidi"/>
      <w:sz w:val="18"/>
      <w:szCs w:val="18"/>
    </w:rPr>
  </w:style>
  <w:style w:type="paragraph" w:styleId="26">
    <w:name w:val="header"/>
    <w:basedOn w:val="1"/>
    <w:link w:val="82"/>
    <w:qFormat/>
    <w:uiPriority w:val="0"/>
    <w:pPr>
      <w:pBdr>
        <w:bottom w:val="single" w:color="auto" w:sz="6" w:space="1"/>
      </w:pBdr>
      <w:tabs>
        <w:tab w:val="center" w:pos="4153"/>
        <w:tab w:val="right" w:pos="8306"/>
      </w:tabs>
      <w:snapToGrid w:val="0"/>
      <w:jc w:val="center"/>
    </w:pPr>
    <w:rPr>
      <w:sz w:val="18"/>
      <w:szCs w:val="18"/>
    </w:rPr>
  </w:style>
  <w:style w:type="paragraph" w:styleId="27">
    <w:name w:val="toc 1"/>
    <w:basedOn w:val="10"/>
    <w:next w:val="1"/>
    <w:qFormat/>
    <w:uiPriority w:val="0"/>
    <w:pPr>
      <w:spacing w:after="120"/>
      <w:jc w:val="left"/>
    </w:pPr>
    <w:rPr>
      <w:rFonts w:ascii="Times New Roman" w:hAnsi="Times New Roman"/>
      <w:b/>
      <w:bCs/>
      <w:caps/>
      <w:sz w:val="20"/>
    </w:rPr>
  </w:style>
  <w:style w:type="paragraph" w:styleId="28">
    <w:name w:val="toc 4"/>
    <w:basedOn w:val="1"/>
    <w:next w:val="1"/>
    <w:semiHidden/>
    <w:qFormat/>
    <w:uiPriority w:val="0"/>
    <w:pPr>
      <w:ind w:left="630"/>
      <w:jc w:val="left"/>
    </w:pPr>
    <w:rPr>
      <w:sz w:val="18"/>
      <w:szCs w:val="18"/>
    </w:rPr>
  </w:style>
  <w:style w:type="paragraph" w:styleId="29">
    <w:name w:val="List"/>
    <w:basedOn w:val="1"/>
    <w:qFormat/>
    <w:uiPriority w:val="0"/>
    <w:pPr>
      <w:ind w:left="420" w:hanging="420"/>
    </w:pPr>
    <w:rPr>
      <w:szCs w:val="20"/>
      <w:lang w:bidi="he-IL"/>
    </w:rPr>
  </w:style>
  <w:style w:type="paragraph" w:styleId="30">
    <w:name w:val="toc 6"/>
    <w:basedOn w:val="1"/>
    <w:next w:val="1"/>
    <w:qFormat/>
    <w:uiPriority w:val="39"/>
    <w:pPr>
      <w:ind w:left="1050"/>
      <w:jc w:val="left"/>
    </w:pPr>
    <w:rPr>
      <w:sz w:val="18"/>
      <w:szCs w:val="18"/>
    </w:rPr>
  </w:style>
  <w:style w:type="paragraph" w:styleId="31">
    <w:name w:val="toc 2"/>
    <w:basedOn w:val="1"/>
    <w:next w:val="1"/>
    <w:qFormat/>
    <w:uiPriority w:val="0"/>
    <w:pPr>
      <w:ind w:left="210"/>
      <w:jc w:val="left"/>
    </w:pPr>
    <w:rPr>
      <w:smallCaps/>
      <w:sz w:val="20"/>
      <w:szCs w:val="20"/>
    </w:rPr>
  </w:style>
  <w:style w:type="paragraph" w:styleId="32">
    <w:name w:val="toc 9"/>
    <w:basedOn w:val="1"/>
    <w:next w:val="1"/>
    <w:semiHidden/>
    <w:qFormat/>
    <w:uiPriority w:val="0"/>
    <w:pPr>
      <w:ind w:left="1680"/>
      <w:jc w:val="left"/>
    </w:pPr>
    <w:rPr>
      <w:sz w:val="18"/>
      <w:szCs w:val="18"/>
    </w:rPr>
  </w:style>
  <w:style w:type="paragraph" w:styleId="33">
    <w:name w:val="Body Text 2"/>
    <w:basedOn w:val="1"/>
    <w:next w:val="1"/>
    <w:link w:val="103"/>
    <w:qFormat/>
    <w:uiPriority w:val="0"/>
    <w:rPr>
      <w:rFonts w:ascii="宋体" w:hAnsi="宋体"/>
      <w:b/>
      <w:bCs/>
      <w:sz w:val="24"/>
    </w:rPr>
  </w:style>
  <w:style w:type="paragraph" w:styleId="34">
    <w:name w:val="Message Header"/>
    <w:basedOn w:val="1"/>
    <w:next w:val="1"/>
    <w:link w:val="104"/>
    <w:qFormat/>
    <w:uiPriority w:val="99"/>
    <w:pPr>
      <w:pBdr>
        <w:top w:val="none" w:color="auto" w:sz="0" w:space="1"/>
        <w:left w:val="none" w:color="auto" w:sz="0" w:space="1"/>
        <w:bottom w:val="none" w:color="auto" w:sz="0" w:space="1"/>
        <w:right w:val="none" w:color="auto" w:sz="0" w:space="1"/>
      </w:pBdr>
      <w:ind w:left="1080" w:leftChars="500" w:hanging="1080" w:hangingChars="500"/>
    </w:pPr>
    <w:rPr>
      <w:rFonts w:ascii="Arial" w:hAnsi="Arial"/>
      <w:sz w:val="24"/>
    </w:rPr>
  </w:style>
  <w:style w:type="paragraph" w:styleId="35">
    <w:name w:val="HTML Preformatted"/>
    <w:basedOn w:val="1"/>
    <w:link w:val="6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theme="minorBidi"/>
      <w:sz w:val="24"/>
      <w:szCs w:val="22"/>
    </w:rPr>
  </w:style>
  <w:style w:type="paragraph" w:styleId="36">
    <w:name w:val="Normal (Web)"/>
    <w:basedOn w:val="1"/>
    <w:unhideWhenUsed/>
    <w:qFormat/>
    <w:uiPriority w:val="0"/>
    <w:rPr>
      <w:sz w:val="24"/>
    </w:rPr>
  </w:style>
  <w:style w:type="paragraph" w:styleId="37">
    <w:name w:val="annotation subject"/>
    <w:basedOn w:val="11"/>
    <w:next w:val="11"/>
    <w:link w:val="69"/>
    <w:qFormat/>
    <w:uiPriority w:val="0"/>
    <w:rPr>
      <w:rFonts w:ascii="Times New Roman" w:hAnsi="Times New Roman" w:cs="Times New Roman"/>
      <w:b/>
      <w:bCs/>
    </w:rPr>
  </w:style>
  <w:style w:type="paragraph" w:styleId="38">
    <w:name w:val="Body Text First Indent"/>
    <w:basedOn w:val="14"/>
    <w:next w:val="30"/>
    <w:link w:val="118"/>
    <w:unhideWhenUsed/>
    <w:qFormat/>
    <w:uiPriority w:val="0"/>
    <w:pPr>
      <w:spacing w:after="120" w:line="312" w:lineRule="auto"/>
      <w:ind w:firstLine="420"/>
    </w:pPr>
    <w:rPr>
      <w:rFonts w:ascii="Calibri"/>
      <w:kern w:val="0"/>
      <w:sz w:val="20"/>
      <w:szCs w:val="24"/>
    </w:rPr>
  </w:style>
  <w:style w:type="table" w:styleId="40">
    <w:name w:val="Table Grid"/>
    <w:basedOn w:val="39"/>
    <w:qFormat/>
    <w:uiPriority w:val="5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2">
    <w:name w:val="Strong"/>
    <w:qFormat/>
    <w:uiPriority w:val="22"/>
    <w:rPr>
      <w:b/>
    </w:rPr>
  </w:style>
  <w:style w:type="character" w:styleId="43">
    <w:name w:val="page number"/>
    <w:basedOn w:val="41"/>
    <w:qFormat/>
    <w:uiPriority w:val="0"/>
    <w:rPr>
      <w:szCs w:val="21"/>
    </w:rPr>
  </w:style>
  <w:style w:type="character" w:styleId="44">
    <w:name w:val="FollowedHyperlink"/>
    <w:basedOn w:val="41"/>
    <w:qFormat/>
    <w:uiPriority w:val="0"/>
    <w:rPr>
      <w:rFonts w:hint="default" w:ascii="Times New Roman" w:hAnsi="Times New Roman" w:cs="Times New Roman"/>
      <w:color w:val="000000"/>
      <w:u w:val="none"/>
    </w:rPr>
  </w:style>
  <w:style w:type="character" w:styleId="45">
    <w:name w:val="Emphasis"/>
    <w:basedOn w:val="41"/>
    <w:qFormat/>
    <w:uiPriority w:val="0"/>
    <w:rPr>
      <w:i/>
      <w:iCs/>
      <w:szCs w:val="21"/>
    </w:rPr>
  </w:style>
  <w:style w:type="character" w:styleId="46">
    <w:name w:val="HTML Definition"/>
    <w:basedOn w:val="41"/>
    <w:qFormat/>
    <w:uiPriority w:val="0"/>
  </w:style>
  <w:style w:type="character" w:styleId="47">
    <w:name w:val="HTML Variable"/>
    <w:basedOn w:val="41"/>
    <w:qFormat/>
    <w:uiPriority w:val="0"/>
  </w:style>
  <w:style w:type="character" w:styleId="48">
    <w:name w:val="Hyperlink"/>
    <w:basedOn w:val="41"/>
    <w:qFormat/>
    <w:uiPriority w:val="0"/>
    <w:rPr>
      <w:color w:val="0000FF"/>
      <w:szCs w:val="21"/>
      <w:u w:val="single"/>
    </w:rPr>
  </w:style>
  <w:style w:type="character" w:styleId="49">
    <w:name w:val="HTML Code"/>
    <w:basedOn w:val="41"/>
    <w:qFormat/>
    <w:uiPriority w:val="0"/>
    <w:rPr>
      <w:rFonts w:ascii="Consolas" w:hAnsi="Consolas" w:eastAsia="Consolas" w:cs="Consolas"/>
      <w:color w:val="C7254E"/>
      <w:sz w:val="21"/>
      <w:szCs w:val="21"/>
      <w:shd w:val="clear" w:color="auto" w:fill="F9F2F4"/>
    </w:rPr>
  </w:style>
  <w:style w:type="character" w:styleId="50">
    <w:name w:val="annotation reference"/>
    <w:basedOn w:val="41"/>
    <w:qFormat/>
    <w:uiPriority w:val="0"/>
    <w:rPr>
      <w:sz w:val="21"/>
      <w:szCs w:val="21"/>
    </w:rPr>
  </w:style>
  <w:style w:type="character" w:styleId="51">
    <w:name w:val="HTML Cite"/>
    <w:basedOn w:val="41"/>
    <w:qFormat/>
    <w:uiPriority w:val="0"/>
  </w:style>
  <w:style w:type="character" w:styleId="52">
    <w:name w:val="HTML Keyboard"/>
    <w:basedOn w:val="41"/>
    <w:qFormat/>
    <w:uiPriority w:val="0"/>
    <w:rPr>
      <w:rFonts w:hint="default" w:ascii="Consolas" w:hAnsi="Consolas" w:eastAsia="Consolas" w:cs="Consolas"/>
      <w:color w:val="FFFFFF"/>
      <w:sz w:val="21"/>
      <w:szCs w:val="21"/>
      <w:shd w:val="clear" w:color="auto" w:fill="333333"/>
    </w:rPr>
  </w:style>
  <w:style w:type="character" w:styleId="53">
    <w:name w:val="HTML Sample"/>
    <w:basedOn w:val="41"/>
    <w:qFormat/>
    <w:uiPriority w:val="0"/>
    <w:rPr>
      <w:rFonts w:hint="default" w:ascii="Consolas" w:hAnsi="Consolas" w:eastAsia="Consolas" w:cs="Consolas"/>
      <w:sz w:val="21"/>
      <w:szCs w:val="21"/>
    </w:rPr>
  </w:style>
  <w:style w:type="paragraph" w:customStyle="1" w:styleId="54">
    <w:name w:val="正文格式"/>
    <w:basedOn w:val="1"/>
    <w:qFormat/>
    <w:uiPriority w:val="0"/>
    <w:pPr>
      <w:widowControl/>
      <w:adjustRightInd w:val="0"/>
      <w:snapToGrid w:val="0"/>
      <w:spacing w:line="400" w:lineRule="atLeast"/>
      <w:ind w:firstLine="482"/>
      <w:textAlignment w:val="baseline"/>
    </w:pPr>
    <w:rPr>
      <w:kern w:val="0"/>
      <w:sz w:val="24"/>
    </w:rPr>
  </w:style>
  <w:style w:type="character" w:customStyle="1" w:styleId="55">
    <w:name w:val="标题 2 字符1"/>
    <w:basedOn w:val="41"/>
    <w:link w:val="3"/>
    <w:qFormat/>
    <w:uiPriority w:val="0"/>
    <w:rPr>
      <w:rFonts w:ascii="Arial" w:hAnsi="Arial" w:eastAsia="黑体" w:cs="Times New Roman"/>
      <w:b/>
      <w:bCs/>
      <w:sz w:val="32"/>
      <w:szCs w:val="32"/>
    </w:rPr>
  </w:style>
  <w:style w:type="character" w:customStyle="1" w:styleId="56">
    <w:name w:val="标题 3 字符"/>
    <w:basedOn w:val="41"/>
    <w:link w:val="4"/>
    <w:qFormat/>
    <w:uiPriority w:val="0"/>
    <w:rPr>
      <w:rFonts w:ascii="Times New Roman" w:hAnsi="Times New Roman" w:eastAsia="宋体" w:cs="Times New Roman"/>
      <w:b/>
      <w:bCs/>
      <w:sz w:val="24"/>
      <w:szCs w:val="32"/>
    </w:rPr>
  </w:style>
  <w:style w:type="character" w:customStyle="1" w:styleId="57">
    <w:name w:val="标题 1 字符"/>
    <w:basedOn w:val="41"/>
    <w:link w:val="2"/>
    <w:qFormat/>
    <w:uiPriority w:val="0"/>
    <w:rPr>
      <w:rFonts w:ascii="Times New Roman" w:hAnsi="Times New Roman" w:eastAsia="宋体" w:cs="Times New Roman"/>
      <w:b/>
      <w:bCs/>
      <w:kern w:val="44"/>
      <w:sz w:val="44"/>
      <w:szCs w:val="44"/>
    </w:rPr>
  </w:style>
  <w:style w:type="character" w:customStyle="1" w:styleId="58">
    <w:name w:val="标题 4 字符"/>
    <w:basedOn w:val="41"/>
    <w:link w:val="5"/>
    <w:qFormat/>
    <w:uiPriority w:val="0"/>
    <w:rPr>
      <w:rFonts w:ascii="Arial" w:hAnsi="Arial" w:eastAsia="黑体" w:cs="Times New Roman"/>
      <w:b/>
      <w:bCs/>
      <w:sz w:val="28"/>
      <w:szCs w:val="28"/>
    </w:rPr>
  </w:style>
  <w:style w:type="character" w:customStyle="1" w:styleId="59">
    <w:name w:val="标题 5 字符"/>
    <w:basedOn w:val="41"/>
    <w:link w:val="6"/>
    <w:qFormat/>
    <w:uiPriority w:val="0"/>
    <w:rPr>
      <w:rFonts w:ascii="Times New Roman" w:hAnsi="Times New Roman" w:eastAsia="宋体" w:cs="Times New Roman"/>
      <w:b/>
      <w:sz w:val="28"/>
      <w:szCs w:val="20"/>
    </w:rPr>
  </w:style>
  <w:style w:type="character" w:customStyle="1" w:styleId="60">
    <w:name w:val="HTML 预设格式 字符"/>
    <w:link w:val="35"/>
    <w:qFormat/>
    <w:uiPriority w:val="0"/>
    <w:rPr>
      <w:rFonts w:ascii="宋体" w:hAnsi="宋体" w:eastAsia="宋体"/>
      <w:sz w:val="24"/>
    </w:rPr>
  </w:style>
  <w:style w:type="character" w:customStyle="1" w:styleId="61">
    <w:name w:val="正文文本 字符"/>
    <w:link w:val="14"/>
    <w:qFormat/>
    <w:uiPriority w:val="0"/>
    <w:rPr>
      <w:rFonts w:ascii="宋体" w:eastAsia="宋体"/>
      <w:sz w:val="32"/>
    </w:rPr>
  </w:style>
  <w:style w:type="character" w:customStyle="1" w:styleId="62">
    <w:name w:val="页脚 字符"/>
    <w:link w:val="25"/>
    <w:qFormat/>
    <w:uiPriority w:val="99"/>
    <w:rPr>
      <w:rFonts w:eastAsia="宋体"/>
      <w:sz w:val="18"/>
      <w:szCs w:val="18"/>
    </w:rPr>
  </w:style>
  <w:style w:type="character" w:customStyle="1" w:styleId="63">
    <w:name w:val="结束语 字符"/>
    <w:link w:val="13"/>
    <w:qFormat/>
    <w:uiPriority w:val="0"/>
    <w:rPr>
      <w:sz w:val="28"/>
      <w:szCs w:val="28"/>
    </w:rPr>
  </w:style>
  <w:style w:type="character" w:customStyle="1" w:styleId="64">
    <w:name w:val="纯文本 字符"/>
    <w:link w:val="18"/>
    <w:qFormat/>
    <w:uiPriority w:val="0"/>
    <w:rPr>
      <w:rFonts w:ascii="宋体" w:hAnsi="Courier New" w:eastAsia="宋体"/>
      <w:sz w:val="24"/>
    </w:rPr>
  </w:style>
  <w:style w:type="character" w:customStyle="1" w:styleId="65">
    <w:name w:val="批注文字 字符1"/>
    <w:link w:val="11"/>
    <w:qFormat/>
    <w:uiPriority w:val="0"/>
    <w:rPr>
      <w:rFonts w:eastAsia="宋体"/>
      <w:szCs w:val="24"/>
    </w:rPr>
  </w:style>
  <w:style w:type="character" w:customStyle="1" w:styleId="66">
    <w:name w:val="日期 字符"/>
    <w:link w:val="20"/>
    <w:qFormat/>
    <w:uiPriority w:val="0"/>
    <w:rPr>
      <w:rFonts w:eastAsia="宋体"/>
    </w:rPr>
  </w:style>
  <w:style w:type="character" w:customStyle="1" w:styleId="67">
    <w:name w:val="正文文本 3 字符"/>
    <w:link w:val="12"/>
    <w:qFormat/>
    <w:uiPriority w:val="0"/>
    <w:rPr>
      <w:rFonts w:eastAsia="宋体"/>
      <w:sz w:val="16"/>
    </w:rPr>
  </w:style>
  <w:style w:type="character" w:customStyle="1" w:styleId="68">
    <w:name w:val="正文文本缩进 字符"/>
    <w:link w:val="15"/>
    <w:qFormat/>
    <w:uiPriority w:val="0"/>
    <w:rPr>
      <w:rFonts w:eastAsia="宋体"/>
    </w:rPr>
  </w:style>
  <w:style w:type="character" w:customStyle="1" w:styleId="69">
    <w:name w:val="批注主题 字符"/>
    <w:link w:val="37"/>
    <w:qFormat/>
    <w:uiPriority w:val="0"/>
    <w:rPr>
      <w:rFonts w:ascii="Times New Roman" w:hAnsi="Times New Roman" w:eastAsia="宋体" w:cs="Times New Roman"/>
      <w:b/>
      <w:bCs/>
      <w:szCs w:val="24"/>
    </w:rPr>
  </w:style>
  <w:style w:type="character" w:customStyle="1" w:styleId="70">
    <w:name w:val="批注框文本 字符"/>
    <w:link w:val="24"/>
    <w:qFormat/>
    <w:uiPriority w:val="0"/>
    <w:rPr>
      <w:rFonts w:eastAsia="宋体"/>
      <w:sz w:val="18"/>
      <w:szCs w:val="18"/>
    </w:rPr>
  </w:style>
  <w:style w:type="character" w:customStyle="1" w:styleId="71">
    <w:name w:val="批注文字 Char2"/>
    <w:basedOn w:val="41"/>
    <w:qFormat/>
    <w:uiPriority w:val="99"/>
    <w:rPr>
      <w:rFonts w:ascii="Times New Roman" w:hAnsi="Times New Roman" w:eastAsia="宋体" w:cs="Times New Roman"/>
      <w:szCs w:val="24"/>
    </w:rPr>
  </w:style>
  <w:style w:type="character" w:customStyle="1" w:styleId="72">
    <w:name w:val="批注主题 Char1"/>
    <w:basedOn w:val="71"/>
    <w:semiHidden/>
    <w:qFormat/>
    <w:uiPriority w:val="99"/>
    <w:rPr>
      <w:rFonts w:ascii="Times New Roman" w:hAnsi="Times New Roman" w:eastAsia="宋体" w:cs="Times New Roman"/>
      <w:b/>
      <w:bCs/>
      <w:szCs w:val="24"/>
    </w:rPr>
  </w:style>
  <w:style w:type="character" w:customStyle="1" w:styleId="73">
    <w:name w:val="批注框文本 Char1"/>
    <w:basedOn w:val="41"/>
    <w:semiHidden/>
    <w:qFormat/>
    <w:uiPriority w:val="99"/>
    <w:rPr>
      <w:rFonts w:ascii="Times New Roman" w:hAnsi="Times New Roman" w:eastAsia="宋体" w:cs="Times New Roman"/>
      <w:sz w:val="18"/>
      <w:szCs w:val="18"/>
    </w:rPr>
  </w:style>
  <w:style w:type="character" w:customStyle="1" w:styleId="74">
    <w:name w:val="正文文本缩进 2 字符"/>
    <w:basedOn w:val="41"/>
    <w:link w:val="21"/>
    <w:qFormat/>
    <w:uiPriority w:val="0"/>
    <w:rPr>
      <w:rFonts w:ascii="宋体" w:hAnsi="Times New Roman" w:eastAsia="宋体" w:cs="Times New Roman"/>
      <w:sz w:val="28"/>
      <w:szCs w:val="24"/>
    </w:rPr>
  </w:style>
  <w:style w:type="character" w:customStyle="1" w:styleId="75">
    <w:name w:val="纯文本 Char2"/>
    <w:basedOn w:val="41"/>
    <w:semiHidden/>
    <w:qFormat/>
    <w:uiPriority w:val="99"/>
    <w:rPr>
      <w:rFonts w:ascii="宋体" w:hAnsi="Courier New" w:eastAsia="宋体" w:cs="Courier New"/>
      <w:szCs w:val="21"/>
    </w:rPr>
  </w:style>
  <w:style w:type="character" w:customStyle="1" w:styleId="76">
    <w:name w:val="正文文本 Char1"/>
    <w:basedOn w:val="41"/>
    <w:semiHidden/>
    <w:qFormat/>
    <w:uiPriority w:val="99"/>
    <w:rPr>
      <w:rFonts w:ascii="Times New Roman" w:hAnsi="Times New Roman" w:eastAsia="宋体" w:cs="Times New Roman"/>
      <w:szCs w:val="24"/>
    </w:rPr>
  </w:style>
  <w:style w:type="character" w:customStyle="1" w:styleId="77">
    <w:name w:val="正文文本缩进 Char1"/>
    <w:basedOn w:val="41"/>
    <w:semiHidden/>
    <w:qFormat/>
    <w:uiPriority w:val="99"/>
    <w:rPr>
      <w:rFonts w:ascii="Times New Roman" w:hAnsi="Times New Roman" w:eastAsia="宋体" w:cs="Times New Roman"/>
      <w:szCs w:val="24"/>
    </w:rPr>
  </w:style>
  <w:style w:type="character" w:customStyle="1" w:styleId="78">
    <w:name w:val="正文文本 3 Char1"/>
    <w:basedOn w:val="41"/>
    <w:semiHidden/>
    <w:qFormat/>
    <w:uiPriority w:val="99"/>
    <w:rPr>
      <w:rFonts w:ascii="Times New Roman" w:hAnsi="Times New Roman" w:eastAsia="宋体" w:cs="Times New Roman"/>
      <w:sz w:val="16"/>
      <w:szCs w:val="16"/>
    </w:rPr>
  </w:style>
  <w:style w:type="character" w:customStyle="1" w:styleId="79">
    <w:name w:val="日期 Char1"/>
    <w:basedOn w:val="41"/>
    <w:semiHidden/>
    <w:qFormat/>
    <w:uiPriority w:val="99"/>
    <w:rPr>
      <w:rFonts w:ascii="Times New Roman" w:hAnsi="Times New Roman" w:eastAsia="宋体" w:cs="Times New Roman"/>
      <w:szCs w:val="24"/>
    </w:rPr>
  </w:style>
  <w:style w:type="character" w:customStyle="1" w:styleId="80">
    <w:name w:val="结束语 Char1"/>
    <w:basedOn w:val="41"/>
    <w:semiHidden/>
    <w:qFormat/>
    <w:uiPriority w:val="99"/>
    <w:rPr>
      <w:rFonts w:ascii="Times New Roman" w:hAnsi="Times New Roman" w:eastAsia="宋体" w:cs="Times New Roman"/>
      <w:szCs w:val="24"/>
    </w:rPr>
  </w:style>
  <w:style w:type="character" w:customStyle="1" w:styleId="81">
    <w:name w:val="HTML 预设格式 Char1"/>
    <w:basedOn w:val="41"/>
    <w:semiHidden/>
    <w:qFormat/>
    <w:uiPriority w:val="99"/>
    <w:rPr>
      <w:rFonts w:ascii="Courier New" w:hAnsi="Courier New" w:eastAsia="宋体" w:cs="Courier New"/>
      <w:sz w:val="20"/>
      <w:szCs w:val="20"/>
    </w:rPr>
  </w:style>
  <w:style w:type="character" w:customStyle="1" w:styleId="82">
    <w:name w:val="页眉 字符"/>
    <w:basedOn w:val="41"/>
    <w:link w:val="26"/>
    <w:qFormat/>
    <w:uiPriority w:val="0"/>
    <w:rPr>
      <w:rFonts w:ascii="Times New Roman" w:hAnsi="Times New Roman" w:eastAsia="宋体" w:cs="Times New Roman"/>
      <w:sz w:val="18"/>
      <w:szCs w:val="18"/>
    </w:rPr>
  </w:style>
  <w:style w:type="character" w:customStyle="1" w:styleId="83">
    <w:name w:val="页脚 Char1"/>
    <w:basedOn w:val="41"/>
    <w:semiHidden/>
    <w:qFormat/>
    <w:uiPriority w:val="99"/>
    <w:rPr>
      <w:rFonts w:ascii="Times New Roman" w:hAnsi="Times New Roman" w:eastAsia="宋体" w:cs="Times New Roman"/>
      <w:sz w:val="18"/>
      <w:szCs w:val="18"/>
    </w:rPr>
  </w:style>
  <w:style w:type="paragraph" w:customStyle="1" w:styleId="84">
    <w:name w:val="xl27"/>
    <w:basedOn w:val="1"/>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85">
    <w:name w:val="Char Char Char Char"/>
    <w:basedOn w:val="1"/>
    <w:qFormat/>
    <w:uiPriority w:val="0"/>
    <w:rPr>
      <w:kern w:val="0"/>
      <w:sz w:val="24"/>
      <w:szCs w:val="20"/>
    </w:rPr>
  </w:style>
  <w:style w:type="paragraph" w:customStyle="1" w:styleId="86">
    <w:name w:val="p0"/>
    <w:basedOn w:val="1"/>
    <w:qFormat/>
    <w:uiPriority w:val="0"/>
    <w:pPr>
      <w:widowControl/>
    </w:pPr>
    <w:rPr>
      <w:kern w:val="0"/>
      <w:szCs w:val="21"/>
    </w:rPr>
  </w:style>
  <w:style w:type="character" w:customStyle="1" w:styleId="87">
    <w:name w:val="文档结构图 字符"/>
    <w:basedOn w:val="41"/>
    <w:link w:val="9"/>
    <w:qFormat/>
    <w:uiPriority w:val="0"/>
    <w:rPr>
      <w:rFonts w:ascii="Times New Roman" w:hAnsi="Times New Roman" w:eastAsia="宋体" w:cs="Times New Roman"/>
      <w:szCs w:val="24"/>
      <w:shd w:val="clear" w:color="auto" w:fill="000080"/>
    </w:rPr>
  </w:style>
  <w:style w:type="paragraph" w:styleId="88">
    <w:name w:val="List Paragraph"/>
    <w:basedOn w:val="1"/>
    <w:qFormat/>
    <w:uiPriority w:val="99"/>
    <w:pPr>
      <w:ind w:firstLine="420" w:firstLineChars="200"/>
    </w:pPr>
  </w:style>
  <w:style w:type="character" w:customStyle="1" w:styleId="89">
    <w:name w:val="批注文字 Char1"/>
    <w:basedOn w:val="41"/>
    <w:semiHidden/>
    <w:qFormat/>
    <w:uiPriority w:val="0"/>
    <w:rPr>
      <w:rFonts w:ascii="Times New Roman" w:hAnsi="Times New Roman" w:eastAsia="宋体" w:cs="Times New Roman"/>
      <w:szCs w:val="20"/>
    </w:rPr>
  </w:style>
  <w:style w:type="character" w:customStyle="1" w:styleId="90">
    <w:name w:val="文档结构图 Char1"/>
    <w:basedOn w:val="41"/>
    <w:semiHidden/>
    <w:qFormat/>
    <w:uiPriority w:val="99"/>
    <w:rPr>
      <w:rFonts w:ascii="宋体"/>
      <w:kern w:val="2"/>
      <w:sz w:val="18"/>
      <w:szCs w:val="18"/>
    </w:rPr>
  </w:style>
  <w:style w:type="character" w:customStyle="1" w:styleId="91">
    <w:name w:val="标题 2 Char1"/>
    <w:basedOn w:val="41"/>
    <w:qFormat/>
    <w:uiPriority w:val="0"/>
    <w:rPr>
      <w:rFonts w:ascii="Arial" w:hAnsi="Arial" w:eastAsia="黑体"/>
      <w:b/>
      <w:bCs/>
      <w:kern w:val="2"/>
      <w:sz w:val="32"/>
      <w:szCs w:val="32"/>
      <w:lang w:val="en-US" w:eastAsia="zh-CN" w:bidi="ar-SA"/>
    </w:rPr>
  </w:style>
  <w:style w:type="character" w:customStyle="1" w:styleId="92">
    <w:name w:val="font11"/>
    <w:basedOn w:val="41"/>
    <w:qFormat/>
    <w:uiPriority w:val="0"/>
    <w:rPr>
      <w:rFonts w:hint="eastAsia" w:ascii="宋体" w:hAnsi="宋体" w:eastAsia="宋体" w:cs="宋体"/>
      <w:color w:val="FF0000"/>
      <w:sz w:val="24"/>
      <w:szCs w:val="24"/>
      <w:u w:val="none"/>
    </w:rPr>
  </w:style>
  <w:style w:type="character" w:customStyle="1" w:styleId="93">
    <w:name w:val="Char Char1"/>
    <w:basedOn w:val="41"/>
    <w:qFormat/>
    <w:uiPriority w:val="0"/>
    <w:rPr>
      <w:rFonts w:eastAsia="宋体"/>
      <w:b/>
      <w:bCs/>
      <w:kern w:val="44"/>
      <w:sz w:val="44"/>
      <w:szCs w:val="44"/>
      <w:lang w:val="en-US" w:eastAsia="zh-CN" w:bidi="ar-SA"/>
    </w:rPr>
  </w:style>
  <w:style w:type="character" w:customStyle="1" w:styleId="94">
    <w:name w:val="disabled6"/>
    <w:basedOn w:val="41"/>
    <w:qFormat/>
    <w:uiPriority w:val="0"/>
    <w:rPr>
      <w:color w:val="929292"/>
      <w:szCs w:val="21"/>
      <w:bdr w:val="single" w:color="929292" w:sz="6" w:space="0"/>
    </w:rPr>
  </w:style>
  <w:style w:type="character" w:customStyle="1" w:styleId="95">
    <w:name w:val="正文1"/>
    <w:qFormat/>
    <w:uiPriority w:val="0"/>
    <w:rPr>
      <w:rFonts w:hint="eastAsia" w:ascii="宋体" w:hAnsi="宋体" w:eastAsia="宋体"/>
      <w:color w:val="000000"/>
    </w:rPr>
  </w:style>
  <w:style w:type="character" w:customStyle="1" w:styleId="96">
    <w:name w:val="标题 2 Char2"/>
    <w:basedOn w:val="41"/>
    <w:qFormat/>
    <w:uiPriority w:val="0"/>
    <w:rPr>
      <w:rFonts w:ascii="Arial" w:hAnsi="Arial" w:eastAsia="黑体" w:cs="Times New Roman"/>
      <w:b/>
      <w:bCs/>
      <w:sz w:val="32"/>
      <w:szCs w:val="32"/>
    </w:rPr>
  </w:style>
  <w:style w:type="character" w:customStyle="1" w:styleId="97">
    <w:name w:val="Char Char Char"/>
    <w:basedOn w:val="41"/>
    <w:qFormat/>
    <w:uiPriority w:val="0"/>
    <w:rPr>
      <w:rFonts w:ascii="Arial" w:hAnsi="Arial" w:eastAsia="黑体"/>
      <w:b/>
      <w:bCs/>
      <w:kern w:val="2"/>
      <w:sz w:val="32"/>
      <w:szCs w:val="32"/>
      <w:lang w:val="en-US" w:eastAsia="zh-CN" w:bidi="ar-SA"/>
    </w:rPr>
  </w:style>
  <w:style w:type="character" w:customStyle="1" w:styleId="98">
    <w:name w:val="font21"/>
    <w:basedOn w:val="41"/>
    <w:qFormat/>
    <w:uiPriority w:val="0"/>
    <w:rPr>
      <w:rFonts w:hint="default" w:ascii="Times New Roman" w:hAnsi="Times New Roman" w:cs="Times New Roman"/>
      <w:color w:val="000000"/>
      <w:sz w:val="24"/>
      <w:szCs w:val="24"/>
      <w:u w:val="none"/>
    </w:rPr>
  </w:style>
  <w:style w:type="character" w:customStyle="1" w:styleId="99">
    <w:name w:val="font31"/>
    <w:basedOn w:val="41"/>
    <w:qFormat/>
    <w:uiPriority w:val="0"/>
    <w:rPr>
      <w:rFonts w:hint="eastAsia" w:ascii="宋体" w:hAnsi="宋体" w:eastAsia="宋体" w:cs="宋体"/>
      <w:color w:val="000000"/>
      <w:sz w:val="24"/>
      <w:szCs w:val="24"/>
      <w:u w:val="none"/>
    </w:rPr>
  </w:style>
  <w:style w:type="character" w:customStyle="1" w:styleId="100">
    <w:name w:val="纯文本 Char1"/>
    <w:qFormat/>
    <w:uiPriority w:val="0"/>
    <w:rPr>
      <w:rFonts w:ascii="宋体" w:hAnsi="Courier New" w:eastAsia="宋体"/>
      <w:sz w:val="24"/>
    </w:rPr>
  </w:style>
  <w:style w:type="character" w:customStyle="1" w:styleId="101">
    <w:name w:val="文档结构图 Char2"/>
    <w:basedOn w:val="41"/>
    <w:semiHidden/>
    <w:qFormat/>
    <w:uiPriority w:val="99"/>
    <w:rPr>
      <w:rFonts w:ascii="宋体" w:hAnsi="Times New Roman" w:eastAsia="宋体" w:cs="Times New Roman"/>
      <w:sz w:val="18"/>
      <w:szCs w:val="18"/>
    </w:rPr>
  </w:style>
  <w:style w:type="character" w:customStyle="1" w:styleId="102">
    <w:name w:val="页眉 Char1"/>
    <w:basedOn w:val="41"/>
    <w:semiHidden/>
    <w:qFormat/>
    <w:uiPriority w:val="99"/>
    <w:rPr>
      <w:rFonts w:ascii="Times New Roman" w:hAnsi="Times New Roman" w:eastAsia="宋体" w:cs="Times New Roman"/>
      <w:sz w:val="18"/>
      <w:szCs w:val="18"/>
    </w:rPr>
  </w:style>
  <w:style w:type="character" w:customStyle="1" w:styleId="103">
    <w:name w:val="正文文本 2 字符"/>
    <w:basedOn w:val="41"/>
    <w:link w:val="33"/>
    <w:qFormat/>
    <w:uiPriority w:val="0"/>
    <w:rPr>
      <w:rFonts w:ascii="宋体" w:hAnsi="宋体" w:eastAsia="宋体" w:cs="Times New Roman"/>
      <w:b/>
      <w:bCs/>
      <w:sz w:val="24"/>
      <w:szCs w:val="24"/>
    </w:rPr>
  </w:style>
  <w:style w:type="character" w:customStyle="1" w:styleId="104">
    <w:name w:val="信息标题 字符"/>
    <w:basedOn w:val="41"/>
    <w:link w:val="34"/>
    <w:qFormat/>
    <w:uiPriority w:val="0"/>
    <w:rPr>
      <w:rFonts w:ascii="Arial" w:hAnsi="Arial" w:eastAsia="宋体" w:cs="Times New Roman"/>
      <w:sz w:val="24"/>
      <w:szCs w:val="24"/>
    </w:rPr>
  </w:style>
  <w:style w:type="character" w:customStyle="1" w:styleId="105">
    <w:name w:val="正文文本缩进 2 Char1"/>
    <w:basedOn w:val="41"/>
    <w:semiHidden/>
    <w:qFormat/>
    <w:uiPriority w:val="99"/>
    <w:rPr>
      <w:rFonts w:ascii="Times New Roman" w:hAnsi="Times New Roman" w:eastAsia="宋体" w:cs="Times New Roman"/>
      <w:szCs w:val="24"/>
    </w:rPr>
  </w:style>
  <w:style w:type="paragraph" w:customStyle="1" w:styleId="106">
    <w:name w:val="Char2"/>
    <w:basedOn w:val="1"/>
    <w:qFormat/>
    <w:uiPriority w:val="0"/>
    <w:pPr>
      <w:widowControl/>
      <w:spacing w:after="160" w:line="240" w:lineRule="exact"/>
      <w:jc w:val="left"/>
    </w:pPr>
  </w:style>
  <w:style w:type="paragraph" w:customStyle="1" w:styleId="107">
    <w:name w:val="样式 标题 3 + (中文) 黑体 小四 非加粗 段前: 7.8 磅 段后: 0 磅 行距: 固定值 20 磅"/>
    <w:basedOn w:val="4"/>
    <w:qFormat/>
    <w:uiPriority w:val="0"/>
    <w:pPr>
      <w:spacing w:line="400" w:lineRule="exact"/>
    </w:pPr>
    <w:rPr>
      <w:rFonts w:eastAsia="黑体" w:cs="宋体"/>
      <w:b w:val="0"/>
      <w:bCs w:val="0"/>
      <w:szCs w:val="20"/>
    </w:rPr>
  </w:style>
  <w:style w:type="paragraph" w:customStyle="1" w:styleId="108">
    <w:name w:val="Char"/>
    <w:basedOn w:val="1"/>
    <w:qFormat/>
    <w:uiPriority w:val="0"/>
  </w:style>
  <w:style w:type="paragraph" w:customStyle="1" w:styleId="109">
    <w:name w:val="无间隔1"/>
    <w:qFormat/>
    <w:uiPriority w:val="1"/>
    <w:pPr>
      <w:widowControl w:val="0"/>
      <w:jc w:val="both"/>
    </w:pPr>
    <w:rPr>
      <w:rFonts w:ascii="Calibri" w:hAnsi="Calibri" w:eastAsia="宋体" w:cs="黑体"/>
      <w:kern w:val="2"/>
      <w:sz w:val="21"/>
      <w:szCs w:val="22"/>
      <w:lang w:val="en-US" w:eastAsia="zh-CN" w:bidi="ar-SA"/>
    </w:rPr>
  </w:style>
  <w:style w:type="paragraph" w:customStyle="1" w:styleId="110">
    <w:name w:val="Char Char Char Char1"/>
    <w:basedOn w:val="1"/>
    <w:qFormat/>
    <w:uiPriority w:val="0"/>
    <w:rPr>
      <w:kern w:val="0"/>
      <w:sz w:val="24"/>
      <w:szCs w:val="20"/>
    </w:rPr>
  </w:style>
  <w:style w:type="paragraph" w:customStyle="1" w:styleId="111">
    <w:name w:val="列出段落1"/>
    <w:basedOn w:val="1"/>
    <w:qFormat/>
    <w:uiPriority w:val="34"/>
    <w:pPr>
      <w:ind w:firstLine="420" w:firstLineChars="200"/>
    </w:pPr>
  </w:style>
  <w:style w:type="paragraph" w:customStyle="1" w:styleId="112">
    <w:name w:val="样式 标题 2 + Times New Roman 四号 非加粗 段前: 5 磅 段后: 0 磅 行距: 固定值 20..."/>
    <w:basedOn w:val="3"/>
    <w:qFormat/>
    <w:uiPriority w:val="0"/>
    <w:pPr>
      <w:spacing w:before="100" w:after="0" w:line="400" w:lineRule="exact"/>
    </w:pPr>
    <w:rPr>
      <w:rFonts w:ascii="Times New Roman" w:hAnsi="Times New Roman"/>
      <w:bCs w:val="0"/>
      <w:sz w:val="28"/>
      <w:szCs w:val="20"/>
    </w:rPr>
  </w:style>
  <w:style w:type="paragraph" w:customStyle="1" w:styleId="113">
    <w:name w:val="Char1"/>
    <w:basedOn w:val="1"/>
    <w:qFormat/>
    <w:uiPriority w:val="0"/>
  </w:style>
  <w:style w:type="paragraph" w:customStyle="1" w:styleId="114">
    <w:name w:val="Char Char11"/>
    <w:basedOn w:val="1"/>
    <w:qFormat/>
    <w:uiPriority w:val="0"/>
    <w:rPr>
      <w:szCs w:val="21"/>
    </w:rPr>
  </w:style>
  <w:style w:type="paragraph" w:customStyle="1" w:styleId="115">
    <w:name w:val="Char Char7"/>
    <w:basedOn w:val="1"/>
    <w:qFormat/>
    <w:uiPriority w:val="0"/>
    <w:rPr>
      <w:szCs w:val="21"/>
    </w:rPr>
  </w:style>
  <w:style w:type="paragraph" w:customStyle="1" w:styleId="116">
    <w:name w:val="Char Char 字元 字元 字元 Char Char Char Char"/>
    <w:basedOn w:val="1"/>
    <w:qFormat/>
    <w:uiPriority w:val="0"/>
    <w:pPr>
      <w:adjustRightInd w:val="0"/>
      <w:spacing w:line="360" w:lineRule="auto"/>
    </w:pPr>
    <w:rPr>
      <w:kern w:val="0"/>
      <w:sz w:val="24"/>
      <w:szCs w:val="20"/>
    </w:rPr>
  </w:style>
  <w:style w:type="paragraph" w:customStyle="1" w:styleId="117">
    <w:name w:val="Default"/>
    <w:qFormat/>
    <w:uiPriority w:val="0"/>
    <w:pPr>
      <w:widowControl w:val="0"/>
      <w:autoSpaceDE w:val="0"/>
      <w:autoSpaceDN w:val="0"/>
      <w:adjustRightInd w:val="0"/>
    </w:pPr>
    <w:rPr>
      <w:rFonts w:ascii="宋体" w:hAnsi="Times New Roman" w:eastAsia="宋体" w:cs="宋体"/>
      <w:color w:val="000000"/>
      <w:kern w:val="0"/>
      <w:sz w:val="24"/>
      <w:szCs w:val="24"/>
      <w:lang w:val="en-US" w:eastAsia="zh-CN" w:bidi="ar-SA"/>
    </w:rPr>
  </w:style>
  <w:style w:type="character" w:customStyle="1" w:styleId="118">
    <w:name w:val="正文文本首行缩进 字符"/>
    <w:basedOn w:val="61"/>
    <w:link w:val="38"/>
    <w:qFormat/>
    <w:uiPriority w:val="0"/>
    <w:rPr>
      <w:rFonts w:ascii="Calibri" w:eastAsia="宋体"/>
      <w:kern w:val="0"/>
      <w:sz w:val="20"/>
      <w:szCs w:val="24"/>
    </w:rPr>
  </w:style>
  <w:style w:type="character" w:customStyle="1" w:styleId="119">
    <w:name w:val="current1"/>
    <w:basedOn w:val="41"/>
    <w:qFormat/>
    <w:uiPriority w:val="0"/>
    <w:rPr>
      <w:b/>
      <w:color w:val="FFFFFF"/>
      <w:shd w:val="clear" w:color="auto" w:fill="000000"/>
    </w:rPr>
  </w:style>
  <w:style w:type="character" w:customStyle="1" w:styleId="120">
    <w:name w:val="disabled9"/>
    <w:basedOn w:val="41"/>
    <w:qFormat/>
    <w:uiPriority w:val="0"/>
    <w:rPr>
      <w:color w:val="DDDDDD"/>
      <w:bdr w:val="single" w:color="EEEEEE" w:sz="6" w:space="0"/>
    </w:rPr>
  </w:style>
  <w:style w:type="character" w:customStyle="1" w:styleId="121">
    <w:name w:val="grp"/>
    <w:basedOn w:val="41"/>
    <w:qFormat/>
    <w:uiPriority w:val="0"/>
    <w:rPr>
      <w:b/>
    </w:rPr>
  </w:style>
  <w:style w:type="character" w:customStyle="1" w:styleId="122">
    <w:name w:val="current7"/>
    <w:basedOn w:val="41"/>
    <w:qFormat/>
    <w:uiPriority w:val="0"/>
    <w:rPr>
      <w:b/>
      <w:color w:val="FF0084"/>
    </w:rPr>
  </w:style>
  <w:style w:type="character" w:customStyle="1" w:styleId="123">
    <w:name w:val="current20"/>
    <w:basedOn w:val="41"/>
    <w:qFormat/>
    <w:uiPriority w:val="0"/>
    <w:rPr>
      <w:b/>
      <w:color w:val="FFFFFF"/>
      <w:bdr w:val="single" w:color="FF5A00" w:sz="12" w:space="0"/>
      <w:shd w:val="clear" w:color="auto" w:fill="FF6C16"/>
    </w:rPr>
  </w:style>
  <w:style w:type="character" w:customStyle="1" w:styleId="124">
    <w:name w:val="disabled2"/>
    <w:basedOn w:val="41"/>
    <w:qFormat/>
    <w:uiPriority w:val="0"/>
    <w:rPr>
      <w:vanish/>
    </w:rPr>
  </w:style>
  <w:style w:type="character" w:customStyle="1" w:styleId="125">
    <w:name w:val="current22"/>
    <w:basedOn w:val="41"/>
    <w:qFormat/>
    <w:uiPriority w:val="0"/>
    <w:rPr>
      <w:b/>
      <w:color w:val="000000"/>
      <w:bdr w:val="single" w:color="E89954" w:sz="6" w:space="0"/>
      <w:shd w:val="clear" w:color="auto" w:fill="FFCA7D"/>
    </w:rPr>
  </w:style>
  <w:style w:type="character" w:customStyle="1" w:styleId="126">
    <w:name w:val="current14"/>
    <w:basedOn w:val="41"/>
    <w:qFormat/>
    <w:uiPriority w:val="0"/>
    <w:rPr>
      <w:b/>
      <w:color w:val="FFFFFF"/>
      <w:shd w:val="clear" w:color="auto" w:fill="313131"/>
    </w:rPr>
  </w:style>
  <w:style w:type="character" w:customStyle="1" w:styleId="127">
    <w:name w:val="disabled10"/>
    <w:basedOn w:val="41"/>
    <w:qFormat/>
    <w:uiPriority w:val="0"/>
    <w:rPr>
      <w:color w:val="808080"/>
      <w:bdr w:val="single" w:color="606060" w:sz="6" w:space="0"/>
    </w:rPr>
  </w:style>
  <w:style w:type="paragraph" w:customStyle="1" w:styleId="128">
    <w:name w:val="首行缩进两字"/>
    <w:basedOn w:val="1"/>
    <w:qFormat/>
    <w:uiPriority w:val="0"/>
    <w:pPr>
      <w:ind w:firstLine="200" w:firstLineChars="200"/>
      <w:jc w:val="left"/>
    </w:pPr>
    <w:rPr>
      <w:rFonts w:hint="eastAsia" w:ascii="宋体" w:hAnsi="宋体"/>
      <w:color w:val="000000"/>
      <w:kern w:val="0"/>
      <w:sz w:val="28"/>
      <w:szCs w:val="20"/>
    </w:rPr>
  </w:style>
  <w:style w:type="character" w:customStyle="1" w:styleId="129">
    <w:name w:val="current5"/>
    <w:basedOn w:val="41"/>
    <w:qFormat/>
    <w:uiPriority w:val="0"/>
    <w:rPr>
      <w:b/>
      <w:color w:val="FFFFFF"/>
      <w:bdr w:val="single" w:color="000080" w:sz="6" w:space="0"/>
      <w:shd w:val="clear" w:color="auto" w:fill="2E6AB1"/>
    </w:rPr>
  </w:style>
  <w:style w:type="character" w:customStyle="1" w:styleId="130">
    <w:name w:val="disabled21"/>
    <w:basedOn w:val="41"/>
    <w:qFormat/>
    <w:uiPriority w:val="0"/>
    <w:rPr>
      <w:vanish/>
    </w:rPr>
  </w:style>
  <w:style w:type="character" w:customStyle="1" w:styleId="131">
    <w:name w:val="current6"/>
    <w:basedOn w:val="41"/>
    <w:qFormat/>
    <w:uiPriority w:val="0"/>
    <w:rPr>
      <w:b/>
      <w:color w:val="000000"/>
    </w:rPr>
  </w:style>
  <w:style w:type="character" w:customStyle="1" w:styleId="132">
    <w:name w:val="标题 2 字符"/>
    <w:basedOn w:val="41"/>
    <w:qFormat/>
    <w:uiPriority w:val="0"/>
    <w:rPr>
      <w:rFonts w:hint="default" w:ascii="Arial" w:hAnsi="Arial" w:eastAsia="黑体" w:cs="Arial"/>
      <w:b/>
      <w:sz w:val="32"/>
      <w:szCs w:val="32"/>
    </w:rPr>
  </w:style>
  <w:style w:type="character" w:customStyle="1" w:styleId="133">
    <w:name w:val="bid"/>
    <w:basedOn w:val="41"/>
    <w:qFormat/>
    <w:uiPriority w:val="0"/>
    <w:rPr>
      <w:b/>
      <w:sz w:val="18"/>
      <w:szCs w:val="18"/>
      <w:bdr w:val="single" w:color="FF9900" w:sz="6" w:space="0"/>
      <w:shd w:val="clear" w:color="auto" w:fill="FFE7C1"/>
    </w:rPr>
  </w:style>
  <w:style w:type="character" w:customStyle="1" w:styleId="134">
    <w:name w:val="disabled4"/>
    <w:basedOn w:val="41"/>
    <w:qFormat/>
    <w:uiPriority w:val="0"/>
    <w:rPr>
      <w:color w:val="DDDDDD"/>
      <w:bdr w:val="single" w:color="EEEEEE" w:sz="6" w:space="0"/>
    </w:rPr>
  </w:style>
  <w:style w:type="character" w:customStyle="1" w:styleId="135">
    <w:name w:val="current4"/>
    <w:basedOn w:val="41"/>
    <w:qFormat/>
    <w:uiPriority w:val="0"/>
    <w:rPr>
      <w:b/>
      <w:color w:val="000000"/>
      <w:bdr w:val="single" w:color="FFFFFF" w:sz="12" w:space="0"/>
    </w:rPr>
  </w:style>
  <w:style w:type="character" w:customStyle="1" w:styleId="136">
    <w:name w:val="current"/>
    <w:basedOn w:val="41"/>
    <w:qFormat/>
    <w:uiPriority w:val="0"/>
    <w:rPr>
      <w:b/>
      <w:color w:val="AAAAAA"/>
      <w:bdr w:val="single" w:color="E0E0E0" w:sz="6" w:space="0"/>
      <w:shd w:val="clear" w:color="auto" w:fill="F0F0F0"/>
    </w:rPr>
  </w:style>
  <w:style w:type="character" w:customStyle="1" w:styleId="137">
    <w:name w:val="current13"/>
    <w:basedOn w:val="41"/>
    <w:qFormat/>
    <w:uiPriority w:val="0"/>
    <w:rPr>
      <w:b/>
      <w:color w:val="FFFFFF"/>
      <w:bdr w:val="single" w:color="000000" w:sz="6" w:space="0"/>
      <w:shd w:val="clear" w:color="auto" w:fill="000000"/>
    </w:rPr>
  </w:style>
  <w:style w:type="character" w:customStyle="1" w:styleId="138">
    <w:name w:val="current16"/>
    <w:basedOn w:val="41"/>
    <w:qFormat/>
    <w:uiPriority w:val="0"/>
    <w:rPr>
      <w:b/>
      <w:color w:val="FFFFFF"/>
      <w:bdr w:val="single" w:color="D9D300" w:sz="6" w:space="0"/>
      <w:shd w:val="clear" w:color="auto" w:fill="D9D300"/>
    </w:rPr>
  </w:style>
  <w:style w:type="character" w:customStyle="1" w:styleId="139">
    <w:name w:val="disabled7"/>
    <w:basedOn w:val="41"/>
    <w:qFormat/>
    <w:uiPriority w:val="0"/>
    <w:rPr>
      <w:vanish/>
    </w:rPr>
  </w:style>
  <w:style w:type="character" w:customStyle="1" w:styleId="140">
    <w:name w:val="disabled"/>
    <w:basedOn w:val="41"/>
    <w:qFormat/>
    <w:uiPriority w:val="0"/>
    <w:rPr>
      <w:color w:val="CCCCCC"/>
      <w:bdr w:val="single" w:color="F3F3F3" w:sz="6" w:space="0"/>
    </w:rPr>
  </w:style>
  <w:style w:type="character" w:customStyle="1" w:styleId="141">
    <w:name w:val="页脚 字符1"/>
    <w:basedOn w:val="41"/>
    <w:qFormat/>
    <w:uiPriority w:val="0"/>
    <w:rPr>
      <w:kern w:val="2"/>
      <w:sz w:val="18"/>
      <w:szCs w:val="18"/>
    </w:rPr>
  </w:style>
  <w:style w:type="character" w:customStyle="1" w:styleId="142">
    <w:name w:val="disabled5"/>
    <w:basedOn w:val="41"/>
    <w:qFormat/>
    <w:uiPriority w:val="0"/>
    <w:rPr>
      <w:vanish/>
    </w:rPr>
  </w:style>
  <w:style w:type="character" w:customStyle="1" w:styleId="143">
    <w:name w:val="current8"/>
    <w:basedOn w:val="41"/>
    <w:qFormat/>
    <w:uiPriority w:val="0"/>
    <w:rPr>
      <w:b/>
      <w:color w:val="000000"/>
      <w:bdr w:val="single" w:color="FFFFFF" w:sz="6" w:space="0"/>
      <w:shd w:val="clear" w:color="auto" w:fill="FFFFFF"/>
    </w:rPr>
  </w:style>
  <w:style w:type="character" w:customStyle="1" w:styleId="144">
    <w:name w:val="current21"/>
    <w:basedOn w:val="41"/>
    <w:qFormat/>
    <w:uiPriority w:val="0"/>
    <w:rPr>
      <w:b/>
      <w:color w:val="FFFFFF"/>
      <w:bdr w:val="single" w:color="AAD83E" w:sz="6" w:space="0"/>
      <w:shd w:val="clear" w:color="auto" w:fill="AAD83E"/>
    </w:rPr>
  </w:style>
  <w:style w:type="character" w:customStyle="1" w:styleId="145">
    <w:name w:val="current19"/>
    <w:basedOn w:val="41"/>
    <w:qFormat/>
    <w:uiPriority w:val="0"/>
    <w:rPr>
      <w:b/>
      <w:color w:val="444444"/>
      <w:bdr w:val="single" w:color="B7D8EE" w:sz="6" w:space="0"/>
      <w:shd w:val="clear" w:color="auto" w:fill="D2EAF6"/>
    </w:rPr>
  </w:style>
  <w:style w:type="character" w:customStyle="1" w:styleId="146">
    <w:name w:val="current12"/>
    <w:basedOn w:val="41"/>
    <w:qFormat/>
    <w:uiPriority w:val="0"/>
    <w:rPr>
      <w:b/>
      <w:color w:val="FFFFFF"/>
      <w:bdr w:val="single" w:color="B2E05D" w:sz="6" w:space="0"/>
      <w:shd w:val="clear" w:color="auto" w:fill="B2E05D"/>
    </w:rPr>
  </w:style>
  <w:style w:type="character" w:customStyle="1" w:styleId="147">
    <w:name w:val="disabled23"/>
    <w:basedOn w:val="41"/>
    <w:qFormat/>
    <w:uiPriority w:val="0"/>
    <w:rPr>
      <w:color w:val="CCCCCC"/>
      <w:bdr w:val="single" w:color="CCCCCC" w:sz="6" w:space="0"/>
    </w:rPr>
  </w:style>
  <w:style w:type="character" w:customStyle="1" w:styleId="148">
    <w:name w:val="cremain"/>
    <w:basedOn w:val="41"/>
    <w:qFormat/>
    <w:uiPriority w:val="0"/>
    <w:rPr>
      <w:color w:val="FF0000"/>
    </w:rPr>
  </w:style>
  <w:style w:type="character" w:customStyle="1" w:styleId="149">
    <w:name w:val="disabled8"/>
    <w:basedOn w:val="41"/>
    <w:qFormat/>
    <w:uiPriority w:val="0"/>
    <w:rPr>
      <w:color w:val="ADAAAD"/>
    </w:rPr>
  </w:style>
  <w:style w:type="character" w:customStyle="1" w:styleId="150">
    <w:name w:val="bidbd"/>
    <w:basedOn w:val="41"/>
    <w:qFormat/>
    <w:uiPriority w:val="0"/>
    <w:rPr>
      <w:b/>
      <w:sz w:val="18"/>
      <w:szCs w:val="18"/>
      <w:bdr w:val="single" w:color="009933" w:sz="6" w:space="0"/>
      <w:shd w:val="clear" w:color="auto" w:fill="DDFFE8"/>
    </w:rPr>
  </w:style>
  <w:style w:type="character" w:customStyle="1" w:styleId="151">
    <w:name w:val="current9"/>
    <w:basedOn w:val="41"/>
    <w:qFormat/>
    <w:uiPriority w:val="0"/>
    <w:rPr>
      <w:b/>
      <w:color w:val="FFFFFF"/>
      <w:bdr w:val="single" w:color="FFFFFF" w:sz="6" w:space="0"/>
      <w:shd w:val="clear" w:color="auto" w:fill="606060"/>
    </w:rPr>
  </w:style>
  <w:style w:type="character" w:customStyle="1" w:styleId="152">
    <w:name w:val="file"/>
    <w:basedOn w:val="41"/>
    <w:qFormat/>
    <w:uiPriority w:val="0"/>
  </w:style>
  <w:style w:type="character" w:customStyle="1" w:styleId="153">
    <w:name w:val="disabled14"/>
    <w:basedOn w:val="41"/>
    <w:qFormat/>
    <w:uiPriority w:val="0"/>
    <w:rPr>
      <w:color w:val="DDDDDD"/>
      <w:bdr w:val="single" w:color="EEEEEE" w:sz="6" w:space="0"/>
    </w:rPr>
  </w:style>
  <w:style w:type="character" w:customStyle="1" w:styleId="154">
    <w:name w:val="disabled19"/>
    <w:basedOn w:val="41"/>
    <w:qFormat/>
    <w:uiPriority w:val="0"/>
    <w:rPr>
      <w:vanish/>
    </w:rPr>
  </w:style>
  <w:style w:type="character" w:customStyle="1" w:styleId="155">
    <w:name w:val="disabled16"/>
    <w:basedOn w:val="41"/>
    <w:qFormat/>
    <w:uiPriority w:val="0"/>
    <w:rPr>
      <w:color w:val="797979"/>
      <w:shd w:val="clear" w:color="auto" w:fill="C1C1C1"/>
    </w:rPr>
  </w:style>
  <w:style w:type="character" w:customStyle="1" w:styleId="156">
    <w:name w:val="current15"/>
    <w:basedOn w:val="41"/>
    <w:qFormat/>
    <w:uiPriority w:val="0"/>
    <w:rPr>
      <w:b/>
      <w:color w:val="303030"/>
      <w:shd w:val="clear" w:color="auto" w:fill="FFFFFF"/>
    </w:rPr>
  </w:style>
  <w:style w:type="character" w:customStyle="1" w:styleId="157">
    <w:name w:val="current11"/>
    <w:basedOn w:val="41"/>
    <w:qFormat/>
    <w:uiPriority w:val="0"/>
    <w:rPr>
      <w:b/>
      <w:color w:val="FF6500"/>
      <w:bdr w:val="single" w:color="FF6500" w:sz="6" w:space="0"/>
      <w:shd w:val="clear" w:color="auto" w:fill="FFBE94"/>
    </w:rPr>
  </w:style>
  <w:style w:type="character" w:customStyle="1" w:styleId="158">
    <w:name w:val="folder"/>
    <w:basedOn w:val="41"/>
    <w:qFormat/>
    <w:uiPriority w:val="0"/>
  </w:style>
  <w:style w:type="character" w:customStyle="1" w:styleId="159">
    <w:name w:val="Char Char Char1"/>
    <w:basedOn w:val="41"/>
    <w:qFormat/>
    <w:uiPriority w:val="0"/>
    <w:rPr>
      <w:rFonts w:hint="default" w:ascii="Arial" w:hAnsi="Arial" w:eastAsia="黑体" w:cs="Arial"/>
      <w:b/>
      <w:kern w:val="2"/>
      <w:sz w:val="32"/>
      <w:szCs w:val="32"/>
      <w:lang w:val="en-US" w:eastAsia="zh-CN"/>
    </w:rPr>
  </w:style>
  <w:style w:type="character" w:customStyle="1" w:styleId="160">
    <w:name w:val="disabled22"/>
    <w:basedOn w:val="41"/>
    <w:qFormat/>
    <w:uiPriority w:val="0"/>
    <w:rPr>
      <w:color w:val="CCCCCC"/>
      <w:bdr w:val="single" w:color="F3F3F3" w:sz="6" w:space="0"/>
    </w:rPr>
  </w:style>
  <w:style w:type="character" w:customStyle="1" w:styleId="161">
    <w:name w:val="z-窗体底端 字符"/>
    <w:basedOn w:val="41"/>
    <w:qFormat/>
    <w:uiPriority w:val="0"/>
    <w:rPr>
      <w:rFonts w:hint="default" w:ascii="Arial" w:hAnsi="Arial" w:cs="Arial"/>
      <w:vanish/>
      <w:sz w:val="16"/>
      <w:szCs w:val="16"/>
    </w:rPr>
  </w:style>
  <w:style w:type="character" w:customStyle="1" w:styleId="162">
    <w:name w:val="current3"/>
    <w:basedOn w:val="41"/>
    <w:qFormat/>
    <w:uiPriority w:val="0"/>
    <w:rPr>
      <w:b/>
      <w:color w:val="FFFFFF"/>
      <w:bdr w:val="single" w:color="000099" w:sz="6" w:space="0"/>
      <w:shd w:val="clear" w:color="auto" w:fill="000099"/>
    </w:rPr>
  </w:style>
  <w:style w:type="character" w:customStyle="1" w:styleId="163">
    <w:name w:val="disabled13"/>
    <w:basedOn w:val="41"/>
    <w:qFormat/>
    <w:uiPriority w:val="0"/>
    <w:rPr>
      <w:color w:val="CCCCCC"/>
      <w:bdr w:val="single" w:color="F3F3F3" w:sz="6" w:space="0"/>
    </w:rPr>
  </w:style>
  <w:style w:type="character" w:customStyle="1" w:styleId="164">
    <w:name w:val="sp12"/>
    <w:basedOn w:val="41"/>
    <w:qFormat/>
    <w:uiPriority w:val="0"/>
    <w:rPr>
      <w:u w:val="single"/>
    </w:rPr>
  </w:style>
  <w:style w:type="character" w:customStyle="1" w:styleId="165">
    <w:name w:val="disabled18"/>
    <w:basedOn w:val="41"/>
    <w:qFormat/>
    <w:uiPriority w:val="0"/>
    <w:rPr>
      <w:vanish/>
    </w:rPr>
  </w:style>
  <w:style w:type="character" w:customStyle="1" w:styleId="166">
    <w:name w:val="current17"/>
    <w:basedOn w:val="41"/>
    <w:qFormat/>
    <w:uiPriority w:val="0"/>
    <w:rPr>
      <w:color w:val="6D643C"/>
      <w:shd w:val="clear" w:color="auto" w:fill="F6EFCC"/>
    </w:rPr>
  </w:style>
  <w:style w:type="character" w:customStyle="1" w:styleId="167">
    <w:name w:val="disabled20"/>
    <w:basedOn w:val="41"/>
    <w:qFormat/>
    <w:uiPriority w:val="0"/>
    <w:rPr>
      <w:vanish/>
    </w:rPr>
  </w:style>
  <w:style w:type="character" w:customStyle="1" w:styleId="168">
    <w:name w:val="current10"/>
    <w:basedOn w:val="41"/>
    <w:qFormat/>
    <w:uiPriority w:val="0"/>
    <w:rPr>
      <w:b/>
      <w:color w:val="99210B"/>
    </w:rPr>
  </w:style>
  <w:style w:type="character" w:customStyle="1" w:styleId="169">
    <w:name w:val="current18"/>
    <w:basedOn w:val="41"/>
    <w:qFormat/>
    <w:uiPriority w:val="0"/>
    <w:rPr>
      <w:b/>
      <w:color w:val="000000"/>
    </w:rPr>
  </w:style>
  <w:style w:type="character" w:customStyle="1" w:styleId="170">
    <w:name w:val="z-窗体顶端 字符"/>
    <w:basedOn w:val="41"/>
    <w:qFormat/>
    <w:uiPriority w:val="0"/>
    <w:rPr>
      <w:rFonts w:hint="default" w:ascii="Arial" w:hAnsi="Arial" w:cs="Arial"/>
      <w:vanish/>
      <w:sz w:val="16"/>
      <w:szCs w:val="16"/>
    </w:rPr>
  </w:style>
  <w:style w:type="character" w:customStyle="1" w:styleId="171">
    <w:name w:val="disabled1"/>
    <w:basedOn w:val="41"/>
    <w:qFormat/>
    <w:uiPriority w:val="0"/>
    <w:rPr>
      <w:color w:val="444444"/>
      <w:shd w:val="clear" w:color="auto" w:fill="000000"/>
    </w:rPr>
  </w:style>
  <w:style w:type="character" w:customStyle="1" w:styleId="172">
    <w:name w:val="disabled3"/>
    <w:basedOn w:val="41"/>
    <w:qFormat/>
    <w:uiPriority w:val="0"/>
    <w:rPr>
      <w:vanish/>
    </w:rPr>
  </w:style>
  <w:style w:type="character" w:customStyle="1" w:styleId="173">
    <w:name w:val="批注文字 字符"/>
    <w:basedOn w:val="41"/>
    <w:qFormat/>
    <w:uiPriority w:val="0"/>
    <w:rPr>
      <w:kern w:val="2"/>
      <w:sz w:val="21"/>
      <w:szCs w:val="21"/>
    </w:rPr>
  </w:style>
  <w:style w:type="character" w:customStyle="1" w:styleId="174">
    <w:name w:val="disabled12"/>
    <w:basedOn w:val="41"/>
    <w:qFormat/>
    <w:uiPriority w:val="0"/>
    <w:rPr>
      <w:color w:val="FFE3C6"/>
      <w:bdr w:val="single" w:color="FFE3C6" w:sz="6" w:space="0"/>
    </w:rPr>
  </w:style>
  <w:style w:type="character" w:customStyle="1" w:styleId="175">
    <w:name w:val="disabled11"/>
    <w:basedOn w:val="41"/>
    <w:qFormat/>
    <w:uiPriority w:val="0"/>
    <w:rPr>
      <w:color w:val="ADAAAD"/>
    </w:rPr>
  </w:style>
  <w:style w:type="character" w:customStyle="1" w:styleId="176">
    <w:name w:val="font01"/>
    <w:basedOn w:val="41"/>
    <w:qFormat/>
    <w:uiPriority w:val="0"/>
    <w:rPr>
      <w:rFonts w:hint="eastAsia" w:ascii="宋体" w:hAnsi="宋体" w:eastAsia="宋体" w:cs="宋体"/>
      <w:color w:val="000000"/>
      <w:sz w:val="22"/>
      <w:szCs w:val="22"/>
      <w:u w:val="none"/>
    </w:rPr>
  </w:style>
  <w:style w:type="character" w:customStyle="1" w:styleId="177">
    <w:name w:val="disabled17"/>
    <w:basedOn w:val="41"/>
    <w:qFormat/>
    <w:uiPriority w:val="0"/>
    <w:rPr>
      <w:color w:val="DDDDDD"/>
      <w:bdr w:val="single" w:color="EEEEEE" w:sz="6" w:space="0"/>
    </w:rPr>
  </w:style>
  <w:style w:type="character" w:customStyle="1" w:styleId="178">
    <w:name w:val="disabled15"/>
    <w:basedOn w:val="41"/>
    <w:qFormat/>
    <w:uiPriority w:val="0"/>
    <w:rPr>
      <w:color w:val="868686"/>
      <w:shd w:val="clear" w:color="auto" w:fill="3E3E3E"/>
    </w:rPr>
  </w:style>
  <w:style w:type="character" w:customStyle="1" w:styleId="179">
    <w:name w:val="current2"/>
    <w:basedOn w:val="41"/>
    <w:qFormat/>
    <w:uiPriority w:val="0"/>
    <w:rPr>
      <w:color w:val="000000"/>
      <w:shd w:val="clear" w:color="auto" w:fill="FFFFFF"/>
    </w:rPr>
  </w:style>
  <w:style w:type="character" w:customStyle="1" w:styleId="180">
    <w:name w:val="正文文本缩进 字符1"/>
    <w:basedOn w:val="41"/>
    <w:qFormat/>
    <w:uiPriority w:val="0"/>
    <w:rPr>
      <w:kern w:val="2"/>
      <w:sz w:val="21"/>
      <w:szCs w:val="21"/>
    </w:rPr>
  </w:style>
  <w:style w:type="character" w:customStyle="1" w:styleId="181">
    <w:name w:val="批注主题 字符1"/>
    <w:basedOn w:val="65"/>
    <w:qFormat/>
    <w:uiPriority w:val="0"/>
    <w:rPr>
      <w:rFonts w:eastAsia="宋体"/>
      <w:b/>
      <w:kern w:val="2"/>
      <w:sz w:val="21"/>
      <w:szCs w:val="21"/>
    </w:rPr>
  </w:style>
  <w:style w:type="character" w:customStyle="1" w:styleId="182">
    <w:name w:val="文档结构图 字符1"/>
    <w:basedOn w:val="41"/>
    <w:qFormat/>
    <w:uiPriority w:val="0"/>
    <w:rPr>
      <w:rFonts w:hint="eastAsia" w:ascii="Microsoft YaHei UI" w:hAnsi="Microsoft YaHei UI" w:eastAsia="Microsoft YaHei UI" w:cs="Microsoft YaHei UI"/>
      <w:kern w:val="2"/>
      <w:sz w:val="18"/>
      <w:szCs w:val="18"/>
    </w:rPr>
  </w:style>
  <w:style w:type="character" w:customStyle="1" w:styleId="183">
    <w:name w:val="日期 字符1"/>
    <w:basedOn w:val="41"/>
    <w:qFormat/>
    <w:uiPriority w:val="0"/>
    <w:rPr>
      <w:kern w:val="2"/>
      <w:sz w:val="21"/>
      <w:szCs w:val="21"/>
    </w:rPr>
  </w:style>
  <w:style w:type="character" w:customStyle="1" w:styleId="184">
    <w:name w:val="正文文本缩进 2 字符1"/>
    <w:basedOn w:val="41"/>
    <w:qFormat/>
    <w:uiPriority w:val="0"/>
    <w:rPr>
      <w:kern w:val="2"/>
      <w:sz w:val="21"/>
      <w:szCs w:val="21"/>
    </w:rPr>
  </w:style>
  <w:style w:type="character" w:customStyle="1" w:styleId="185">
    <w:name w:val="批注框文本 字符1"/>
    <w:basedOn w:val="41"/>
    <w:qFormat/>
    <w:uiPriority w:val="0"/>
    <w:rPr>
      <w:kern w:val="2"/>
      <w:sz w:val="18"/>
      <w:szCs w:val="18"/>
    </w:rPr>
  </w:style>
  <w:style w:type="character" w:customStyle="1" w:styleId="186">
    <w:name w:val="页眉 字符1"/>
    <w:basedOn w:val="41"/>
    <w:qFormat/>
    <w:uiPriority w:val="0"/>
    <w:rPr>
      <w:kern w:val="2"/>
      <w:sz w:val="18"/>
      <w:szCs w:val="18"/>
    </w:rPr>
  </w:style>
  <w:style w:type="character" w:customStyle="1" w:styleId="187">
    <w:name w:val="z-窗体顶端 字符1"/>
    <w:basedOn w:val="41"/>
    <w:qFormat/>
    <w:uiPriority w:val="0"/>
    <w:rPr>
      <w:rFonts w:hint="default" w:ascii="Arial" w:hAnsi="Arial" w:cs="Arial"/>
      <w:vanish/>
      <w:kern w:val="2"/>
      <w:sz w:val="16"/>
      <w:szCs w:val="16"/>
    </w:rPr>
  </w:style>
  <w:style w:type="character" w:customStyle="1" w:styleId="188">
    <w:name w:val="z-窗体底端 字符1"/>
    <w:basedOn w:val="41"/>
    <w:qFormat/>
    <w:uiPriority w:val="0"/>
    <w:rPr>
      <w:rFonts w:hint="default" w:ascii="Arial" w:hAnsi="Arial" w:cs="Arial"/>
      <w:vanish/>
      <w:kern w:val="2"/>
      <w:sz w:val="16"/>
      <w:szCs w:val="16"/>
    </w:rPr>
  </w:style>
  <w:style w:type="paragraph" w:customStyle="1" w:styleId="189">
    <w:name w:val="Table Paragraph"/>
    <w:basedOn w:val="1"/>
    <w:qFormat/>
    <w:uiPriority w:val="99"/>
    <w:rPr>
      <w:rFonts w:ascii="宋体" w:hAnsi="宋体" w:cs="宋体"/>
      <w:lang w:val="zh-CN"/>
    </w:rPr>
  </w:style>
  <w:style w:type="paragraph" w:customStyle="1" w:styleId="190">
    <w:name w:val="修订1"/>
    <w:hidden/>
    <w:semiHidden/>
    <w:qFormat/>
    <w:uiPriority w:val="99"/>
    <w:rPr>
      <w:rFonts w:asciiTheme="minorHAnsi" w:hAnsiTheme="minorHAnsi" w:eastAsiaTheme="minorEastAsia" w:cstheme="minorBidi"/>
      <w:kern w:val="2"/>
      <w:sz w:val="21"/>
      <w:szCs w:val="24"/>
      <w:lang w:val="en-US" w:eastAsia="zh-CN" w:bidi="ar-SA"/>
    </w:rPr>
  </w:style>
  <w:style w:type="paragraph" w:customStyle="1" w:styleId="191">
    <w:name w:val="WPSOffice手动目录 1"/>
    <w:qFormat/>
    <w:uiPriority w:val="0"/>
    <w:pPr>
      <w:ind w:leftChars="0"/>
    </w:pPr>
    <w:rPr>
      <w:rFonts w:ascii="Times New Roman" w:hAnsi="Times New Roman" w:eastAsia="宋体" w:cs="Times New Roman"/>
      <w:sz w:val="20"/>
      <w:szCs w:val="20"/>
    </w:rPr>
  </w:style>
  <w:style w:type="paragraph" w:customStyle="1" w:styleId="192">
    <w:name w:val=" Char Char Char Char"/>
    <w:basedOn w:val="9"/>
    <w:qFormat/>
    <w:uiPriority w:val="0"/>
    <w:pPr>
      <w:shd w:val="clear" w:color="auto" w:fill="000080"/>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customXml" Target="../customXml/item2.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header" Target="header7.xml"/><Relationship Id="rId17" Type="http://schemas.openxmlformats.org/officeDocument/2006/relationships/header" Target="header6.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08F29D0-6DBE-4816-9DEA-7177AF451145}">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145</Pages>
  <Words>13996</Words>
  <Characters>14564</Characters>
  <Lines>235</Lines>
  <Paragraphs>66</Paragraphs>
  <TotalTime>2</TotalTime>
  <ScaleCrop>false</ScaleCrop>
  <LinksUpToDate>false</LinksUpToDate>
  <CharactersWithSpaces>14825</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2020-08-07T01:14:00Z</dcterms:created>
  <dc:creator>PC</dc:creator>
  <cp:lastModifiedBy>AAAA</cp:lastModifiedBy>
  <cp:lastPrinted>2021-08-06T03:21:00Z</cp:lastPrinted>
  <dcterms:modified xsi:type="dcterms:W3CDTF">2025-06-09T01:42:31Z</dcterms:modified>
  <cp:revision>82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AD1648F0CBD24630BBD3D76023BAECC2_13</vt:lpwstr>
  </property>
  <property fmtid="{D5CDD505-2E9C-101B-9397-08002B2CF9AE}" pid="4" name="KSOTemplateDocerSaveRecord">
    <vt:lpwstr>eyJoZGlkIjoiMjU3MjhlNjhlY2MxNmVjMWJmZDk1MmNmZGJkMThkYmMiLCJ1c2VySWQiOiIzNTYyMzk0MzMifQ==</vt:lpwstr>
  </property>
</Properties>
</file>