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156E26">
      <w:pPr>
        <w:pStyle w:val="17"/>
        <w:pageBreakBefore w:val="0"/>
        <w:wordWrap/>
        <w:bidi w:val="0"/>
        <w:spacing w:after="0" w:line="360" w:lineRule="auto"/>
        <w:ind w:left="0" w:leftChars="0" w:right="0" w:rightChars="0"/>
        <w:textAlignment w:val="auto"/>
        <w:rPr>
          <w:rFonts w:hint="eastAsia" w:ascii="宋体" w:hAnsi="宋体" w:eastAsia="宋体" w:cs="宋体"/>
          <w:sz w:val="24"/>
          <w:highlight w:val="none"/>
        </w:rPr>
      </w:pPr>
    </w:p>
    <w:p w14:paraId="65251D3C">
      <w:pPr>
        <w:pageBreakBefore w:val="0"/>
        <w:tabs>
          <w:tab w:val="left" w:pos="900"/>
        </w:tabs>
        <w:wordWrap/>
        <w:bidi w:val="0"/>
        <w:spacing w:line="360" w:lineRule="auto"/>
        <w:ind w:left="0" w:leftChars="0" w:right="0" w:rightChars="0"/>
        <w:jc w:val="center"/>
        <w:textAlignment w:val="auto"/>
        <w:outlineLvl w:val="0"/>
        <w:rPr>
          <w:rFonts w:hint="eastAsia" w:ascii="宋体" w:hAnsi="宋体" w:eastAsia="宋体" w:cs="宋体"/>
          <w:b/>
          <w:bCs w:val="0"/>
          <w:sz w:val="48"/>
          <w:szCs w:val="180"/>
          <w:highlight w:val="none"/>
          <w:lang w:val="en-US" w:eastAsia="zh-CN"/>
        </w:rPr>
      </w:pPr>
      <w:r>
        <w:rPr>
          <w:rFonts w:hint="eastAsia" w:ascii="宋体" w:hAnsi="宋体" w:eastAsia="宋体" w:cs="宋体"/>
          <w:b/>
          <w:bCs w:val="0"/>
          <w:sz w:val="48"/>
          <w:szCs w:val="180"/>
          <w:highlight w:val="none"/>
          <w:lang w:val="en-US" w:eastAsia="zh-CN"/>
        </w:rPr>
        <w:t>邹城市太平镇202</w:t>
      </w:r>
      <w:r>
        <w:rPr>
          <w:rFonts w:hint="eastAsia" w:ascii="宋体" w:hAnsi="宋体" w:cs="宋体"/>
          <w:b/>
          <w:bCs w:val="0"/>
          <w:sz w:val="48"/>
          <w:szCs w:val="180"/>
          <w:highlight w:val="none"/>
          <w:lang w:val="en-US" w:eastAsia="zh-CN"/>
        </w:rPr>
        <w:t>5</w:t>
      </w:r>
      <w:r>
        <w:rPr>
          <w:rFonts w:hint="eastAsia" w:ascii="宋体" w:hAnsi="宋体" w:eastAsia="宋体" w:cs="宋体"/>
          <w:b/>
          <w:bCs w:val="0"/>
          <w:sz w:val="48"/>
          <w:szCs w:val="180"/>
          <w:highlight w:val="none"/>
          <w:lang w:val="en-US" w:eastAsia="zh-CN"/>
        </w:rPr>
        <w:t>年度林业有害生物防治</w:t>
      </w:r>
    </w:p>
    <w:p w14:paraId="6A278C38">
      <w:pPr>
        <w:pageBreakBefore w:val="0"/>
        <w:tabs>
          <w:tab w:val="left" w:pos="900"/>
        </w:tabs>
        <w:wordWrap/>
        <w:bidi w:val="0"/>
        <w:spacing w:line="360" w:lineRule="auto"/>
        <w:ind w:left="0" w:leftChars="0" w:right="0" w:rightChars="0"/>
        <w:jc w:val="center"/>
        <w:textAlignment w:val="auto"/>
        <w:outlineLvl w:val="0"/>
        <w:rPr>
          <w:rFonts w:hint="eastAsia" w:ascii="宋体" w:hAnsi="宋体" w:eastAsia="宋体" w:cs="宋体"/>
          <w:b/>
          <w:bCs w:val="0"/>
          <w:sz w:val="48"/>
          <w:szCs w:val="180"/>
          <w:highlight w:val="none"/>
          <w:lang w:val="en-US" w:eastAsia="zh-CN"/>
        </w:rPr>
      </w:pPr>
      <w:r>
        <w:rPr>
          <w:rFonts w:hint="eastAsia" w:ascii="宋体" w:hAnsi="宋体" w:eastAsia="宋体" w:cs="宋体"/>
          <w:b/>
          <w:bCs w:val="0"/>
          <w:sz w:val="48"/>
          <w:szCs w:val="180"/>
          <w:highlight w:val="none"/>
          <w:lang w:val="en-US" w:eastAsia="zh-CN"/>
        </w:rPr>
        <w:t>服务采购项目</w:t>
      </w:r>
    </w:p>
    <w:p w14:paraId="3FA56F7E">
      <w:pPr>
        <w:pageBreakBefore w:val="0"/>
        <w:tabs>
          <w:tab w:val="left" w:pos="900"/>
        </w:tabs>
        <w:wordWrap/>
        <w:bidi w:val="0"/>
        <w:spacing w:line="360" w:lineRule="auto"/>
        <w:ind w:left="0" w:leftChars="0" w:right="0" w:rightChars="0"/>
        <w:jc w:val="center"/>
        <w:textAlignment w:val="auto"/>
        <w:rPr>
          <w:rFonts w:hint="eastAsia" w:ascii="宋体" w:hAnsi="宋体" w:eastAsia="宋体" w:cs="宋体"/>
          <w:b/>
          <w:sz w:val="24"/>
          <w:szCs w:val="52"/>
          <w:highlight w:val="none"/>
          <w:lang w:val="en-US" w:eastAsia="zh-CN"/>
        </w:rPr>
      </w:pPr>
    </w:p>
    <w:p w14:paraId="7E6D6636">
      <w:pPr>
        <w:pageBreakBefore w:val="0"/>
        <w:tabs>
          <w:tab w:val="left" w:pos="1134"/>
          <w:tab w:val="left" w:pos="5481"/>
          <w:tab w:val="left" w:pos="5859"/>
        </w:tabs>
        <w:wordWrap/>
        <w:bidi w:val="0"/>
        <w:spacing w:line="360" w:lineRule="auto"/>
        <w:ind w:left="0" w:leftChars="0" w:right="0" w:rightChars="0"/>
        <w:jc w:val="center"/>
        <w:textAlignment w:val="auto"/>
        <w:rPr>
          <w:rFonts w:hint="eastAsia" w:ascii="宋体" w:hAnsi="宋体" w:eastAsia="宋体" w:cs="宋体"/>
          <w:b/>
          <w:sz w:val="24"/>
          <w:szCs w:val="32"/>
          <w:highlight w:val="none"/>
        </w:rPr>
      </w:pPr>
    </w:p>
    <w:p w14:paraId="310ADF01">
      <w:pPr>
        <w:pageBreakBefore w:val="0"/>
        <w:tabs>
          <w:tab w:val="left" w:pos="1134"/>
          <w:tab w:val="left" w:pos="5481"/>
          <w:tab w:val="left" w:pos="5859"/>
        </w:tabs>
        <w:wordWrap/>
        <w:bidi w:val="0"/>
        <w:spacing w:line="360" w:lineRule="auto"/>
        <w:ind w:left="0" w:leftChars="0" w:right="0" w:rightChars="0"/>
        <w:jc w:val="center"/>
        <w:textAlignment w:val="auto"/>
        <w:rPr>
          <w:rFonts w:hint="eastAsia" w:ascii="宋体" w:hAnsi="宋体" w:eastAsia="宋体" w:cs="宋体"/>
          <w:b/>
          <w:sz w:val="24"/>
          <w:szCs w:val="32"/>
          <w:highlight w:val="none"/>
        </w:rPr>
      </w:pPr>
    </w:p>
    <w:p w14:paraId="6376ADCC">
      <w:pPr>
        <w:pageBreakBefore w:val="0"/>
        <w:tabs>
          <w:tab w:val="left" w:pos="1134"/>
          <w:tab w:val="left" w:pos="5481"/>
          <w:tab w:val="left" w:pos="5859"/>
        </w:tabs>
        <w:wordWrap/>
        <w:bidi w:val="0"/>
        <w:spacing w:line="360" w:lineRule="auto"/>
        <w:ind w:left="0" w:leftChars="0" w:right="0" w:rightChars="0"/>
        <w:textAlignment w:val="auto"/>
        <w:rPr>
          <w:rFonts w:hint="eastAsia" w:ascii="宋体" w:hAnsi="宋体" w:eastAsia="宋体" w:cs="宋体"/>
          <w:b/>
          <w:sz w:val="24"/>
          <w:highlight w:val="none"/>
        </w:rPr>
      </w:pPr>
    </w:p>
    <w:p w14:paraId="2D8E8262">
      <w:pPr>
        <w:pageBreakBefore w:val="0"/>
        <w:tabs>
          <w:tab w:val="left" w:pos="900"/>
        </w:tabs>
        <w:wordWrap/>
        <w:bidi w:val="0"/>
        <w:spacing w:line="360" w:lineRule="auto"/>
        <w:ind w:left="0" w:leftChars="0" w:right="0" w:rightChars="0"/>
        <w:jc w:val="center"/>
        <w:textAlignment w:val="auto"/>
        <w:outlineLvl w:val="0"/>
        <w:rPr>
          <w:rFonts w:hint="eastAsia" w:ascii="宋体" w:hAnsi="宋体" w:eastAsia="宋体" w:cs="宋体"/>
          <w:b/>
          <w:sz w:val="24"/>
          <w:szCs w:val="84"/>
          <w:highlight w:val="none"/>
        </w:rPr>
      </w:pPr>
      <w:bookmarkStart w:id="0" w:name="_Toc17143"/>
      <w:r>
        <w:rPr>
          <w:rFonts w:hint="eastAsia" w:hAnsi="宋体" w:eastAsia="宋体"/>
          <w:b/>
          <w:color w:val="auto"/>
          <w:sz w:val="72"/>
          <w:szCs w:val="280"/>
          <w:highlight w:val="none"/>
        </w:rPr>
        <w:t>竞争性磋商文件</w:t>
      </w:r>
      <w:bookmarkEnd w:id="0"/>
    </w:p>
    <w:p w14:paraId="0C99F7A2">
      <w:pPr>
        <w:pageBreakBefore w:val="0"/>
        <w:wordWrap/>
        <w:bidi w:val="0"/>
        <w:spacing w:line="360" w:lineRule="auto"/>
        <w:ind w:left="0" w:leftChars="0" w:right="0" w:rightChars="0"/>
        <w:jc w:val="center"/>
        <w:textAlignment w:val="auto"/>
        <w:rPr>
          <w:rFonts w:hint="eastAsia" w:ascii="宋体" w:hAnsi="宋体" w:eastAsia="宋体" w:cs="宋体"/>
          <w:b/>
          <w:sz w:val="24"/>
          <w:szCs w:val="32"/>
          <w:highlight w:val="none"/>
        </w:rPr>
      </w:pPr>
    </w:p>
    <w:p w14:paraId="6D0FEBFF">
      <w:pPr>
        <w:pageBreakBefore w:val="0"/>
        <w:wordWrap/>
        <w:bidi w:val="0"/>
        <w:spacing w:line="360" w:lineRule="auto"/>
        <w:ind w:left="0" w:leftChars="0" w:right="0" w:rightChars="0"/>
        <w:jc w:val="center"/>
        <w:textAlignment w:val="auto"/>
        <w:rPr>
          <w:rFonts w:hint="eastAsia" w:ascii="宋体" w:hAnsi="宋体" w:eastAsia="宋体" w:cs="宋体"/>
          <w:b/>
          <w:sz w:val="24"/>
          <w:szCs w:val="32"/>
          <w:highlight w:val="none"/>
        </w:rPr>
      </w:pPr>
    </w:p>
    <w:p w14:paraId="4E5DC1F0">
      <w:pPr>
        <w:pageBreakBefore w:val="0"/>
        <w:wordWrap/>
        <w:bidi w:val="0"/>
        <w:spacing w:line="360" w:lineRule="auto"/>
        <w:ind w:left="0" w:leftChars="0" w:right="0" w:rightChars="0"/>
        <w:jc w:val="center"/>
        <w:textAlignment w:val="auto"/>
        <w:outlineLvl w:val="0"/>
        <w:rPr>
          <w:rFonts w:hint="default" w:ascii="宋体" w:hAnsi="宋体" w:eastAsia="宋体" w:cs="宋体"/>
          <w:b/>
          <w:sz w:val="24"/>
          <w:szCs w:val="32"/>
          <w:highlight w:val="none"/>
          <w:lang w:val="en-US" w:eastAsia="zh-CN"/>
        </w:rPr>
      </w:pPr>
      <w:bookmarkStart w:id="1" w:name="_Toc11624"/>
      <w:r>
        <w:rPr>
          <w:rFonts w:hint="eastAsia" w:ascii="宋体" w:hAnsi="宋体" w:eastAsia="宋体" w:cs="宋体"/>
          <w:b/>
          <w:sz w:val="32"/>
          <w:szCs w:val="32"/>
          <w:highlight w:val="none"/>
        </w:rPr>
        <w:t>项目编号：</w:t>
      </w:r>
      <w:bookmarkEnd w:id="1"/>
      <w:r>
        <w:rPr>
          <w:rFonts w:hint="eastAsia" w:ascii="宋体" w:hAnsi="宋体" w:cs="宋体"/>
          <w:b/>
          <w:sz w:val="32"/>
          <w:szCs w:val="32"/>
          <w:highlight w:val="none"/>
          <w:lang w:val="en-US" w:eastAsia="zh-CN"/>
        </w:rPr>
        <w:t>HXXM-TPZ-0066</w:t>
      </w:r>
    </w:p>
    <w:p w14:paraId="5E932187">
      <w:pPr>
        <w:pageBreakBefore w:val="0"/>
        <w:wordWrap/>
        <w:bidi w:val="0"/>
        <w:spacing w:line="360" w:lineRule="auto"/>
        <w:ind w:left="0" w:leftChars="0" w:right="0" w:rightChars="0"/>
        <w:textAlignment w:val="auto"/>
        <w:rPr>
          <w:rFonts w:hint="eastAsia" w:ascii="宋体" w:hAnsi="宋体" w:eastAsia="宋体" w:cs="宋体"/>
          <w:sz w:val="24"/>
          <w:highlight w:val="none"/>
        </w:rPr>
      </w:pPr>
    </w:p>
    <w:p w14:paraId="4AD77B77">
      <w:pPr>
        <w:pageBreakBefore w:val="0"/>
        <w:wordWrap/>
        <w:bidi w:val="0"/>
        <w:spacing w:line="360" w:lineRule="auto"/>
        <w:ind w:left="0" w:leftChars="0" w:right="0" w:rightChars="0" w:firstLine="602" w:firstLineChars="250"/>
        <w:textAlignment w:val="auto"/>
        <w:rPr>
          <w:rFonts w:hint="eastAsia" w:ascii="宋体" w:hAnsi="宋体" w:eastAsia="宋体" w:cs="宋体"/>
          <w:b/>
          <w:bCs/>
          <w:sz w:val="24"/>
          <w:szCs w:val="32"/>
          <w:highlight w:val="none"/>
        </w:rPr>
      </w:pPr>
    </w:p>
    <w:p w14:paraId="530F3652">
      <w:pPr>
        <w:pageBreakBefore w:val="0"/>
        <w:tabs>
          <w:tab w:val="left" w:pos="1134"/>
          <w:tab w:val="left" w:pos="5481"/>
          <w:tab w:val="left" w:pos="5859"/>
        </w:tabs>
        <w:wordWrap/>
        <w:bidi w:val="0"/>
        <w:spacing w:line="360" w:lineRule="auto"/>
        <w:ind w:left="0" w:leftChars="0" w:right="0" w:rightChars="0" w:firstLine="1068" w:firstLineChars="445"/>
        <w:textAlignment w:val="auto"/>
        <w:rPr>
          <w:rFonts w:hint="eastAsia" w:ascii="宋体" w:hAnsi="宋体" w:eastAsia="宋体" w:cs="宋体"/>
          <w:sz w:val="24"/>
          <w:szCs w:val="30"/>
          <w:highlight w:val="none"/>
        </w:rPr>
      </w:pPr>
    </w:p>
    <w:p w14:paraId="11FEBA28">
      <w:pPr>
        <w:pStyle w:val="17"/>
        <w:pageBreakBefore w:val="0"/>
        <w:wordWrap/>
        <w:bidi w:val="0"/>
        <w:spacing w:after="0" w:line="360" w:lineRule="auto"/>
        <w:ind w:left="0" w:leftChars="0" w:right="0" w:rightChars="0"/>
        <w:textAlignment w:val="auto"/>
        <w:rPr>
          <w:rFonts w:hint="eastAsia" w:ascii="宋体" w:hAnsi="宋体" w:eastAsia="宋体" w:cs="宋体"/>
          <w:sz w:val="24"/>
          <w:szCs w:val="30"/>
          <w:highlight w:val="none"/>
        </w:rPr>
      </w:pPr>
    </w:p>
    <w:p w14:paraId="04571B44">
      <w:pPr>
        <w:pageBreakBefore w:val="0"/>
        <w:wordWrap/>
        <w:bidi w:val="0"/>
        <w:spacing w:line="360" w:lineRule="auto"/>
        <w:ind w:left="0" w:leftChars="0" w:right="0" w:rightChars="0"/>
        <w:textAlignment w:val="auto"/>
        <w:rPr>
          <w:rFonts w:hint="eastAsia" w:ascii="宋体" w:hAnsi="宋体" w:eastAsia="宋体" w:cs="宋体"/>
          <w:sz w:val="24"/>
          <w:szCs w:val="30"/>
          <w:highlight w:val="none"/>
        </w:rPr>
      </w:pPr>
    </w:p>
    <w:p w14:paraId="1BDE0123">
      <w:pPr>
        <w:pageBreakBefore w:val="0"/>
        <w:wordWrap/>
        <w:bidi w:val="0"/>
        <w:spacing w:line="360" w:lineRule="auto"/>
        <w:ind w:left="0" w:leftChars="0" w:right="0" w:rightChars="0"/>
        <w:textAlignment w:val="auto"/>
        <w:rPr>
          <w:rFonts w:hint="eastAsia" w:ascii="宋体" w:hAnsi="宋体" w:eastAsia="宋体" w:cs="宋体"/>
          <w:sz w:val="24"/>
          <w:szCs w:val="30"/>
          <w:highlight w:val="none"/>
        </w:rPr>
      </w:pPr>
    </w:p>
    <w:p w14:paraId="7D61606C">
      <w:pPr>
        <w:pStyle w:val="17"/>
        <w:pageBreakBefore w:val="0"/>
        <w:wordWrap/>
        <w:bidi w:val="0"/>
        <w:spacing w:after="0" w:line="360" w:lineRule="auto"/>
        <w:ind w:left="0" w:leftChars="0" w:right="0" w:rightChars="0"/>
        <w:textAlignment w:val="auto"/>
        <w:rPr>
          <w:rFonts w:hint="eastAsia" w:eastAsia="宋体"/>
          <w:sz w:val="24"/>
        </w:rPr>
      </w:pPr>
    </w:p>
    <w:p w14:paraId="1F528456">
      <w:pPr>
        <w:rPr>
          <w:rFonts w:hint="eastAsia" w:eastAsia="宋体"/>
          <w:sz w:val="24"/>
        </w:rPr>
      </w:pPr>
    </w:p>
    <w:p w14:paraId="2D2E11C6">
      <w:pPr>
        <w:pStyle w:val="17"/>
        <w:rPr>
          <w:rFonts w:hint="eastAsia"/>
        </w:rPr>
      </w:pPr>
    </w:p>
    <w:p w14:paraId="2C1D4202">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spacing w:line="360" w:lineRule="auto"/>
        <w:ind w:right="0" w:rightChars="0" w:firstLine="1928" w:firstLineChars="600"/>
        <w:jc w:val="both"/>
        <w:textAlignment w:val="auto"/>
        <w:rPr>
          <w:rFonts w:hint="default"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eastAsia="zh-CN"/>
        </w:rPr>
        <w:t>采</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lang w:eastAsia="zh-CN"/>
        </w:rPr>
        <w:t>购</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lang w:eastAsia="zh-CN"/>
        </w:rPr>
        <w:t>人</w:t>
      </w:r>
      <w:r>
        <w:rPr>
          <w:rFonts w:hint="eastAsia" w:ascii="宋体" w:hAnsi="宋体" w:eastAsia="宋体" w:cs="宋体"/>
          <w:b/>
          <w:bCs/>
          <w:sz w:val="32"/>
          <w:szCs w:val="32"/>
          <w:highlight w:val="none"/>
        </w:rPr>
        <w:t>：</w:t>
      </w:r>
      <w:r>
        <w:rPr>
          <w:rFonts w:hint="eastAsia" w:ascii="宋体" w:hAnsi="宋体" w:eastAsia="宋体" w:cs="宋体"/>
          <w:b/>
          <w:bCs/>
          <w:sz w:val="32"/>
          <w:szCs w:val="32"/>
          <w:highlight w:val="none"/>
          <w:u w:val="single"/>
          <w:lang w:val="en-US" w:eastAsia="zh-CN"/>
        </w:rPr>
        <w:t xml:space="preserve">   </w:t>
      </w:r>
      <w:r>
        <w:rPr>
          <w:rFonts w:hint="eastAsia" w:ascii="宋体" w:hAnsi="宋体" w:eastAsia="宋体" w:cs="宋体"/>
          <w:b/>
          <w:bCs/>
          <w:sz w:val="32"/>
          <w:szCs w:val="32"/>
          <w:highlight w:val="none"/>
          <w:u w:val="single"/>
          <w:lang w:eastAsia="zh-CN"/>
        </w:rPr>
        <w:t>邹城市</w:t>
      </w:r>
      <w:r>
        <w:rPr>
          <w:rFonts w:hint="eastAsia" w:ascii="宋体" w:hAnsi="宋体" w:eastAsia="宋体" w:cs="宋体"/>
          <w:b/>
          <w:bCs/>
          <w:sz w:val="32"/>
          <w:szCs w:val="32"/>
          <w:highlight w:val="none"/>
          <w:u w:val="single"/>
          <w:lang w:val="en-US" w:eastAsia="zh-CN"/>
        </w:rPr>
        <w:t xml:space="preserve">太平镇人民政府   </w:t>
      </w:r>
    </w:p>
    <w:p w14:paraId="65A0BDAD">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spacing w:line="360" w:lineRule="auto"/>
        <w:ind w:right="0" w:rightChars="0"/>
        <w:jc w:val="center"/>
        <w:textAlignment w:val="auto"/>
        <w:outlineLvl w:val="0"/>
        <w:rPr>
          <w:rFonts w:hint="eastAsia" w:ascii="宋体" w:hAnsi="宋体" w:eastAsia="宋体" w:cs="宋体"/>
          <w:b/>
          <w:bCs/>
          <w:sz w:val="32"/>
          <w:szCs w:val="32"/>
          <w:highlight w:val="none"/>
          <w:lang w:eastAsia="zh-CN"/>
        </w:rPr>
      </w:pPr>
      <w:bookmarkStart w:id="2" w:name="_Toc21482"/>
      <w:r>
        <w:rPr>
          <w:rFonts w:hint="eastAsia" w:ascii="宋体" w:hAnsi="宋体" w:eastAsia="宋体" w:cs="宋体"/>
          <w:b/>
          <w:bCs/>
          <w:sz w:val="32"/>
          <w:szCs w:val="32"/>
          <w:highlight w:val="none"/>
        </w:rPr>
        <w:t>代理机构：</w:t>
      </w:r>
      <w:bookmarkEnd w:id="2"/>
      <w:r>
        <w:rPr>
          <w:rFonts w:hint="eastAsia" w:ascii="宋体" w:hAnsi="宋体" w:eastAsia="宋体" w:cs="宋体"/>
          <w:b/>
          <w:bCs/>
          <w:sz w:val="32"/>
          <w:szCs w:val="32"/>
          <w:highlight w:val="none"/>
          <w:u w:val="single"/>
          <w:lang w:eastAsia="zh-CN"/>
        </w:rPr>
        <w:t>邹城市宏新项目管理有限公司</w:t>
      </w:r>
    </w:p>
    <w:p w14:paraId="17593FF1">
      <w:pPr>
        <w:pStyle w:val="17"/>
        <w:keepNext w:val="0"/>
        <w:keepLines w:val="0"/>
        <w:pageBreakBefore w:val="0"/>
        <w:widowControl w:val="0"/>
        <w:kinsoku/>
        <w:wordWrap/>
        <w:overflowPunct/>
        <w:topLinePunct w:val="0"/>
        <w:autoSpaceDE/>
        <w:autoSpaceDN/>
        <w:bidi w:val="0"/>
        <w:adjustRightInd/>
        <w:snapToGrid/>
        <w:spacing w:after="0" w:line="360" w:lineRule="auto"/>
        <w:ind w:left="0" w:leftChars="0" w:right="0" w:rightChars="0" w:firstLine="0" w:firstLineChars="0"/>
        <w:jc w:val="center"/>
        <w:textAlignment w:val="auto"/>
        <w:outlineLvl w:val="0"/>
        <w:rPr>
          <w:rFonts w:hint="default" w:ascii="宋体" w:hAnsi="宋体" w:eastAsia="宋体" w:cs="宋体"/>
          <w:b/>
          <w:bCs/>
          <w:sz w:val="36"/>
          <w:szCs w:val="40"/>
          <w:highlight w:val="none"/>
          <w:lang w:val="en-US" w:eastAsia="zh-CN"/>
        </w:rPr>
      </w:pPr>
      <w:bookmarkStart w:id="3" w:name="_Toc6422"/>
      <w:r>
        <w:rPr>
          <w:rFonts w:hint="eastAsia" w:ascii="宋体" w:hAnsi="宋体" w:eastAsia="宋体" w:cs="宋体"/>
          <w:b/>
          <w:bCs/>
          <w:sz w:val="32"/>
          <w:szCs w:val="32"/>
          <w:highlight w:val="none"/>
          <w:lang w:val="en-US" w:eastAsia="zh-CN"/>
        </w:rPr>
        <w:t>日    期：</w:t>
      </w:r>
      <w:r>
        <w:rPr>
          <w:rFonts w:hint="eastAsia" w:ascii="宋体" w:hAnsi="宋体" w:eastAsia="宋体"/>
          <w:b/>
          <w:bCs/>
          <w:color w:val="auto"/>
          <w:sz w:val="32"/>
          <w:szCs w:val="32"/>
          <w:highlight w:val="none"/>
        </w:rPr>
        <w:t>二○二</w:t>
      </w:r>
      <w:r>
        <w:rPr>
          <w:rFonts w:hint="eastAsia" w:ascii="宋体" w:hAnsi="宋体" w:eastAsia="宋体"/>
          <w:b/>
          <w:bCs/>
          <w:color w:val="auto"/>
          <w:sz w:val="32"/>
          <w:szCs w:val="32"/>
          <w:highlight w:val="none"/>
          <w:lang w:val="en-US" w:eastAsia="zh-CN"/>
        </w:rPr>
        <w:t>五</w:t>
      </w:r>
      <w:r>
        <w:rPr>
          <w:rFonts w:hint="eastAsia" w:ascii="宋体" w:hAnsi="宋体" w:eastAsia="宋体"/>
          <w:b/>
          <w:bCs/>
          <w:color w:val="auto"/>
          <w:sz w:val="32"/>
          <w:szCs w:val="32"/>
          <w:highlight w:val="none"/>
        </w:rPr>
        <w:t>年</w:t>
      </w:r>
      <w:r>
        <w:rPr>
          <w:rFonts w:hint="eastAsia" w:ascii="宋体" w:hAnsi="宋体" w:eastAsia="宋体"/>
          <w:b/>
          <w:bCs/>
          <w:color w:val="auto"/>
          <w:sz w:val="32"/>
          <w:szCs w:val="32"/>
          <w:highlight w:val="none"/>
          <w:lang w:val="en-US" w:eastAsia="zh-CN"/>
        </w:rPr>
        <w:t>四</w:t>
      </w:r>
      <w:r>
        <w:rPr>
          <w:rFonts w:hint="eastAsia" w:ascii="宋体" w:hAnsi="宋体" w:eastAsia="宋体"/>
          <w:b/>
          <w:bCs/>
          <w:color w:val="auto"/>
          <w:sz w:val="32"/>
          <w:szCs w:val="32"/>
          <w:highlight w:val="none"/>
        </w:rPr>
        <w:t>月</w:t>
      </w:r>
      <w:bookmarkEnd w:id="3"/>
    </w:p>
    <w:p w14:paraId="572529A6">
      <w:pPr>
        <w:pStyle w:val="17"/>
        <w:pageBreakBefore w:val="0"/>
        <w:wordWrap/>
        <w:bidi w:val="0"/>
        <w:spacing w:after="0" w:line="360" w:lineRule="auto"/>
        <w:ind w:left="0" w:leftChars="0" w:right="0" w:rightChars="0"/>
        <w:textAlignment w:val="auto"/>
        <w:rPr>
          <w:rFonts w:hint="eastAsia" w:ascii="宋体" w:hAnsi="宋体" w:eastAsia="宋体" w:cs="宋体"/>
          <w:sz w:val="24"/>
          <w:szCs w:val="30"/>
          <w:highlight w:val="none"/>
          <w:lang w:eastAsia="zh-CN"/>
        </w:rPr>
      </w:pPr>
    </w:p>
    <w:p w14:paraId="699A6982">
      <w:pPr>
        <w:pStyle w:val="17"/>
        <w:pageBreakBefore w:val="0"/>
        <w:wordWrap/>
        <w:bidi w:val="0"/>
        <w:spacing w:after="0" w:line="360" w:lineRule="auto"/>
        <w:ind w:left="0" w:leftChars="0" w:right="0" w:rightChars="0"/>
        <w:textAlignment w:val="auto"/>
        <w:rPr>
          <w:rFonts w:hint="eastAsia" w:ascii="宋体" w:hAnsi="宋体" w:eastAsia="宋体" w:cs="宋体"/>
          <w:sz w:val="24"/>
          <w:szCs w:val="30"/>
          <w:highlight w:val="none"/>
          <w:lang w:eastAsia="zh-CN"/>
        </w:rPr>
        <w:sectPr>
          <w:footerReference r:id="rId5" w:type="first"/>
          <w:headerReference r:id="rId3" w:type="default"/>
          <w:footerReference r:id="rId4" w:type="default"/>
          <w:pgSz w:w="11907" w:h="16840"/>
          <w:pgMar w:top="1134" w:right="1134" w:bottom="1134" w:left="1134" w:header="851" w:footer="850" w:gutter="0"/>
          <w:pgBorders w:offsetFrom="page">
            <w:top w:val="none" w:sz="0" w:space="0"/>
            <w:left w:val="none" w:sz="0" w:space="0"/>
            <w:bottom w:val="none" w:sz="0" w:space="0"/>
            <w:right w:val="none" w:sz="0" w:space="0"/>
          </w:pgBorders>
          <w:lnNumType w:countBy="0" w:restart="continuous"/>
          <w:pgNumType w:fmt="decimal" w:start="1"/>
          <w:cols w:space="720" w:num="1"/>
          <w:titlePg/>
          <w:rtlGutter w:val="0"/>
          <w:docGrid w:type="lines" w:linePitch="290" w:charSpace="0"/>
        </w:sectPr>
      </w:pPr>
    </w:p>
    <w:p w14:paraId="38E982A0">
      <w:pPr>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left="0" w:leftChars="0" w:right="0" w:rightChars="0" w:firstLine="0" w:firstLineChars="0"/>
        <w:jc w:val="center"/>
        <w:textAlignment w:val="auto"/>
        <w:rPr>
          <w:sz w:val="52"/>
          <w:szCs w:val="52"/>
        </w:rPr>
      </w:pPr>
      <w:r>
        <w:rPr>
          <w:rFonts w:ascii="宋体" w:hAnsi="宋体" w:eastAsia="宋体"/>
          <w:sz w:val="52"/>
          <w:szCs w:val="52"/>
        </w:rPr>
        <w:t>目录</w:t>
      </w:r>
    </w:p>
    <w:p w14:paraId="18932BC4">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TOC \o "1-1" \h \u </w:instrText>
      </w:r>
      <w:r>
        <w:rPr>
          <w:rFonts w:hint="eastAsia" w:ascii="宋体" w:hAnsi="宋体" w:eastAsia="宋体" w:cs="宋体"/>
          <w:sz w:val="32"/>
          <w:szCs w:val="32"/>
        </w:rPr>
        <w:fldChar w:fldCharType="separate"/>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_Toc8429 </w:instrText>
      </w:r>
      <w:r>
        <w:rPr>
          <w:rFonts w:hint="eastAsia" w:ascii="宋体" w:hAnsi="宋体" w:eastAsia="宋体" w:cs="宋体"/>
          <w:sz w:val="32"/>
          <w:szCs w:val="32"/>
        </w:rPr>
        <w:fldChar w:fldCharType="separate"/>
      </w:r>
      <w:r>
        <w:rPr>
          <w:rFonts w:hint="eastAsia" w:ascii="宋体" w:hAnsi="宋体" w:eastAsia="宋体" w:cs="宋体"/>
          <w:sz w:val="32"/>
          <w:szCs w:val="32"/>
          <w:highlight w:val="none"/>
        </w:rPr>
        <w:t>第一章   竞争性磋商公告</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_Toc8429 \h </w:instrText>
      </w:r>
      <w:r>
        <w:rPr>
          <w:rFonts w:hint="eastAsia" w:ascii="宋体" w:hAnsi="宋体" w:eastAsia="宋体" w:cs="宋体"/>
          <w:sz w:val="32"/>
          <w:szCs w:val="32"/>
        </w:rPr>
        <w:fldChar w:fldCharType="separate"/>
      </w:r>
      <w:r>
        <w:rPr>
          <w:rFonts w:hint="eastAsia" w:ascii="宋体" w:hAnsi="宋体" w:eastAsia="宋体" w:cs="宋体"/>
          <w:sz w:val="32"/>
          <w:szCs w:val="32"/>
        </w:rPr>
        <w:t>2</w:t>
      </w:r>
      <w:r>
        <w:rPr>
          <w:rFonts w:hint="eastAsia" w:ascii="宋体" w:hAnsi="宋体" w:eastAsia="宋体" w:cs="宋体"/>
          <w:sz w:val="32"/>
          <w:szCs w:val="32"/>
        </w:rPr>
        <w:fldChar w:fldCharType="end"/>
      </w:r>
      <w:r>
        <w:rPr>
          <w:rFonts w:hint="eastAsia" w:ascii="宋体" w:hAnsi="宋体" w:eastAsia="宋体" w:cs="宋体"/>
          <w:sz w:val="32"/>
          <w:szCs w:val="32"/>
        </w:rPr>
        <w:fldChar w:fldCharType="end"/>
      </w:r>
    </w:p>
    <w:p w14:paraId="097DE77B">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_Toc20690 </w:instrText>
      </w:r>
      <w:r>
        <w:rPr>
          <w:rFonts w:hint="eastAsia" w:ascii="宋体" w:hAnsi="宋体" w:eastAsia="宋体" w:cs="宋体"/>
          <w:sz w:val="32"/>
          <w:szCs w:val="32"/>
        </w:rPr>
        <w:fldChar w:fldCharType="separate"/>
      </w:r>
      <w:r>
        <w:rPr>
          <w:rFonts w:hint="eastAsia" w:ascii="宋体" w:hAnsi="宋体" w:eastAsia="宋体" w:cs="宋体"/>
          <w:sz w:val="32"/>
          <w:szCs w:val="32"/>
          <w:highlight w:val="none"/>
          <w:lang w:val="en-US" w:eastAsia="zh-CN"/>
        </w:rPr>
        <w:t xml:space="preserve">第二章   </w:t>
      </w:r>
      <w:r>
        <w:rPr>
          <w:rFonts w:hint="eastAsia" w:ascii="宋体" w:hAnsi="宋体" w:eastAsia="宋体" w:cs="宋体"/>
          <w:sz w:val="32"/>
          <w:szCs w:val="32"/>
          <w:highlight w:val="none"/>
        </w:rPr>
        <w:t>磋商响应方须知</w:t>
      </w:r>
      <w:r>
        <w:rPr>
          <w:rFonts w:hint="eastAsia" w:ascii="宋体" w:hAnsi="宋体" w:eastAsia="宋体" w:cs="宋体"/>
          <w:sz w:val="32"/>
          <w:szCs w:val="32"/>
        </w:rPr>
        <w:tab/>
      </w:r>
      <w:r>
        <w:rPr>
          <w:rFonts w:hint="eastAsia" w:ascii="宋体" w:hAnsi="宋体" w:cs="宋体"/>
          <w:sz w:val="32"/>
          <w:szCs w:val="32"/>
          <w:lang w:val="en-US" w:eastAsia="zh-CN"/>
        </w:rPr>
        <w:t>4</w:t>
      </w:r>
      <w:r>
        <w:rPr>
          <w:rFonts w:hint="eastAsia" w:ascii="宋体" w:hAnsi="宋体" w:eastAsia="宋体" w:cs="宋体"/>
          <w:sz w:val="32"/>
          <w:szCs w:val="32"/>
        </w:rPr>
        <w:fldChar w:fldCharType="end"/>
      </w:r>
    </w:p>
    <w:p w14:paraId="5768F8B6">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_Toc28767 </w:instrText>
      </w:r>
      <w:r>
        <w:rPr>
          <w:rFonts w:hint="eastAsia" w:ascii="宋体" w:hAnsi="宋体" w:eastAsia="宋体" w:cs="宋体"/>
          <w:sz w:val="32"/>
          <w:szCs w:val="32"/>
        </w:rPr>
        <w:fldChar w:fldCharType="separate"/>
      </w:r>
      <w:r>
        <w:rPr>
          <w:rFonts w:hint="eastAsia" w:ascii="宋体" w:hAnsi="宋体" w:eastAsia="宋体" w:cs="宋体"/>
          <w:sz w:val="32"/>
          <w:szCs w:val="32"/>
          <w:highlight w:val="none"/>
        </w:rPr>
        <w:t>第三</w:t>
      </w:r>
      <w:r>
        <w:rPr>
          <w:rFonts w:hint="eastAsia" w:ascii="宋体" w:hAnsi="宋体" w:eastAsia="宋体" w:cs="宋体"/>
          <w:sz w:val="32"/>
          <w:szCs w:val="32"/>
          <w:highlight w:val="none"/>
          <w:lang w:val="en-US" w:eastAsia="zh-CN"/>
        </w:rPr>
        <w:t>章</w:t>
      </w:r>
      <w:r>
        <w:rPr>
          <w:rFonts w:hint="eastAsia" w:ascii="宋体" w:hAnsi="宋体" w:eastAsia="宋体" w:cs="宋体"/>
          <w:sz w:val="32"/>
          <w:szCs w:val="32"/>
          <w:highlight w:val="none"/>
        </w:rPr>
        <w:t xml:space="preserve">  </w:t>
      </w:r>
      <w:r>
        <w:rPr>
          <w:rFonts w:hint="eastAsia" w:ascii="宋体" w:hAnsi="宋体" w:cs="宋体"/>
          <w:sz w:val="32"/>
          <w:szCs w:val="32"/>
          <w:highlight w:val="none"/>
          <w:lang w:val="en-US" w:eastAsia="zh-CN"/>
        </w:rPr>
        <w:t xml:space="preserve"> </w:t>
      </w:r>
      <w:r>
        <w:rPr>
          <w:rFonts w:hint="eastAsia" w:ascii="宋体" w:hAnsi="宋体" w:eastAsia="宋体" w:cs="宋体"/>
          <w:sz w:val="32"/>
          <w:szCs w:val="32"/>
          <w:highlight w:val="none"/>
        </w:rPr>
        <w:t>磋商组织、步骤与评审方法</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_Toc28767 \h </w:instrText>
      </w:r>
      <w:r>
        <w:rPr>
          <w:rFonts w:hint="eastAsia" w:ascii="宋体" w:hAnsi="宋体" w:eastAsia="宋体" w:cs="宋体"/>
          <w:sz w:val="32"/>
          <w:szCs w:val="32"/>
        </w:rPr>
        <w:fldChar w:fldCharType="separate"/>
      </w:r>
      <w:r>
        <w:rPr>
          <w:rFonts w:hint="eastAsia" w:ascii="宋体" w:hAnsi="宋体" w:eastAsia="宋体" w:cs="宋体"/>
          <w:sz w:val="32"/>
          <w:szCs w:val="32"/>
        </w:rPr>
        <w:t>1</w:t>
      </w:r>
      <w:r>
        <w:rPr>
          <w:rFonts w:hint="eastAsia" w:ascii="宋体" w:hAnsi="宋体" w:cs="宋体"/>
          <w:sz w:val="32"/>
          <w:szCs w:val="32"/>
          <w:lang w:val="en-US" w:eastAsia="zh-CN"/>
        </w:rPr>
        <w:t>2</w:t>
      </w:r>
      <w:r>
        <w:rPr>
          <w:rFonts w:hint="eastAsia" w:ascii="宋体" w:hAnsi="宋体" w:eastAsia="宋体" w:cs="宋体"/>
          <w:sz w:val="32"/>
          <w:szCs w:val="32"/>
        </w:rPr>
        <w:fldChar w:fldCharType="end"/>
      </w:r>
      <w:r>
        <w:rPr>
          <w:rFonts w:hint="eastAsia" w:ascii="宋体" w:hAnsi="宋体" w:eastAsia="宋体" w:cs="宋体"/>
          <w:sz w:val="32"/>
          <w:szCs w:val="32"/>
        </w:rPr>
        <w:fldChar w:fldCharType="end"/>
      </w:r>
    </w:p>
    <w:p w14:paraId="7E3961AA">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_Toc1873 </w:instrText>
      </w:r>
      <w:r>
        <w:rPr>
          <w:rFonts w:hint="eastAsia" w:ascii="宋体" w:hAnsi="宋体" w:eastAsia="宋体" w:cs="宋体"/>
          <w:sz w:val="32"/>
          <w:szCs w:val="32"/>
        </w:rPr>
        <w:fldChar w:fldCharType="separate"/>
      </w:r>
      <w:r>
        <w:rPr>
          <w:rFonts w:hint="eastAsia" w:ascii="宋体" w:hAnsi="宋体" w:eastAsia="宋体" w:cs="宋体"/>
          <w:sz w:val="32"/>
          <w:szCs w:val="32"/>
          <w:highlight w:val="none"/>
        </w:rPr>
        <w:t xml:space="preserve">第四章  </w:t>
      </w:r>
      <w:r>
        <w:rPr>
          <w:rFonts w:hint="eastAsia" w:ascii="宋体" w:hAnsi="宋体" w:cs="宋体"/>
          <w:sz w:val="32"/>
          <w:szCs w:val="32"/>
          <w:highlight w:val="none"/>
          <w:lang w:val="en-US" w:eastAsia="zh-CN"/>
        </w:rPr>
        <w:t xml:space="preserve"> </w:t>
      </w:r>
      <w:r>
        <w:rPr>
          <w:rFonts w:hint="eastAsia" w:ascii="宋体" w:hAnsi="宋体" w:eastAsia="宋体" w:cs="宋体"/>
          <w:sz w:val="32"/>
          <w:szCs w:val="32"/>
          <w:highlight w:val="none"/>
        </w:rPr>
        <w:t>采购</w:t>
      </w:r>
      <w:r>
        <w:rPr>
          <w:rFonts w:hint="eastAsia" w:ascii="宋体" w:hAnsi="宋体" w:eastAsia="宋体" w:cs="宋体"/>
          <w:sz w:val="32"/>
          <w:szCs w:val="32"/>
          <w:highlight w:val="none"/>
          <w:lang w:val="en-US" w:eastAsia="zh-CN"/>
        </w:rPr>
        <w:t>内容</w:t>
      </w:r>
      <w:r>
        <w:rPr>
          <w:rFonts w:hint="eastAsia" w:ascii="宋体" w:hAnsi="宋体" w:eastAsia="宋体" w:cs="宋体"/>
          <w:sz w:val="32"/>
          <w:szCs w:val="32"/>
          <w:highlight w:val="none"/>
        </w:rPr>
        <w:t>及</w:t>
      </w:r>
      <w:r>
        <w:rPr>
          <w:rFonts w:hint="eastAsia" w:ascii="宋体" w:hAnsi="宋体" w:eastAsia="宋体" w:cs="宋体"/>
          <w:sz w:val="32"/>
          <w:szCs w:val="32"/>
          <w:highlight w:val="none"/>
          <w:lang w:val="en-US" w:eastAsia="zh-CN"/>
        </w:rPr>
        <w:t>要求</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_Toc1873 \h </w:instrText>
      </w:r>
      <w:r>
        <w:rPr>
          <w:rFonts w:hint="eastAsia" w:ascii="宋体" w:hAnsi="宋体" w:eastAsia="宋体" w:cs="宋体"/>
          <w:sz w:val="32"/>
          <w:szCs w:val="32"/>
        </w:rPr>
        <w:fldChar w:fldCharType="separate"/>
      </w:r>
      <w:r>
        <w:rPr>
          <w:rFonts w:hint="eastAsia" w:ascii="宋体" w:hAnsi="宋体" w:eastAsia="宋体" w:cs="宋体"/>
          <w:sz w:val="32"/>
          <w:szCs w:val="32"/>
        </w:rPr>
        <w:t>1</w:t>
      </w:r>
      <w:r>
        <w:rPr>
          <w:rFonts w:hint="eastAsia" w:ascii="宋体" w:hAnsi="宋体" w:cs="宋体"/>
          <w:sz w:val="32"/>
          <w:szCs w:val="32"/>
          <w:lang w:val="en-US" w:eastAsia="zh-CN"/>
        </w:rPr>
        <w:t>5</w:t>
      </w:r>
      <w:r>
        <w:rPr>
          <w:rFonts w:hint="eastAsia" w:ascii="宋体" w:hAnsi="宋体" w:eastAsia="宋体" w:cs="宋体"/>
          <w:sz w:val="32"/>
          <w:szCs w:val="32"/>
        </w:rPr>
        <w:fldChar w:fldCharType="end"/>
      </w:r>
      <w:r>
        <w:rPr>
          <w:rFonts w:hint="eastAsia" w:ascii="宋体" w:hAnsi="宋体" w:eastAsia="宋体" w:cs="宋体"/>
          <w:sz w:val="32"/>
          <w:szCs w:val="32"/>
        </w:rPr>
        <w:fldChar w:fldCharType="end"/>
      </w:r>
    </w:p>
    <w:p w14:paraId="53287A7A">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_Toc8053 </w:instrText>
      </w:r>
      <w:r>
        <w:rPr>
          <w:rFonts w:hint="eastAsia" w:ascii="宋体" w:hAnsi="宋体" w:eastAsia="宋体" w:cs="宋体"/>
          <w:sz w:val="32"/>
          <w:szCs w:val="32"/>
        </w:rPr>
        <w:fldChar w:fldCharType="separate"/>
      </w:r>
      <w:r>
        <w:rPr>
          <w:rFonts w:hint="eastAsia" w:ascii="宋体" w:hAnsi="宋体" w:eastAsia="宋体" w:cs="宋体"/>
          <w:bCs/>
          <w:sz w:val="32"/>
          <w:szCs w:val="32"/>
          <w:highlight w:val="none"/>
        </w:rPr>
        <w:t xml:space="preserve">第五章 </w:t>
      </w:r>
      <w:r>
        <w:rPr>
          <w:rFonts w:hint="eastAsia" w:ascii="宋体" w:hAnsi="宋体" w:cs="宋体"/>
          <w:bCs/>
          <w:sz w:val="32"/>
          <w:szCs w:val="32"/>
          <w:highlight w:val="none"/>
          <w:lang w:val="en-US" w:eastAsia="zh-CN"/>
        </w:rPr>
        <w:t xml:space="preserve"> </w:t>
      </w:r>
      <w:r>
        <w:rPr>
          <w:rFonts w:hint="eastAsia" w:ascii="宋体" w:hAnsi="宋体" w:eastAsia="宋体" w:cs="宋体"/>
          <w:bCs/>
          <w:sz w:val="32"/>
          <w:szCs w:val="32"/>
          <w:highlight w:val="none"/>
        </w:rPr>
        <w:t xml:space="preserve"> 合同条款及格式</w:t>
      </w:r>
      <w:r>
        <w:rPr>
          <w:rFonts w:hint="eastAsia" w:ascii="宋体" w:hAnsi="宋体" w:eastAsia="宋体" w:cs="宋体"/>
          <w:sz w:val="32"/>
          <w:szCs w:val="32"/>
        </w:rPr>
        <w:tab/>
      </w: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PAGEREF _Toc8053 \h </w:instrText>
      </w:r>
      <w:r>
        <w:rPr>
          <w:rFonts w:hint="eastAsia" w:ascii="宋体" w:hAnsi="宋体" w:eastAsia="宋体" w:cs="宋体"/>
          <w:sz w:val="32"/>
          <w:szCs w:val="32"/>
        </w:rPr>
        <w:fldChar w:fldCharType="separate"/>
      </w:r>
      <w:r>
        <w:rPr>
          <w:rFonts w:hint="eastAsia" w:ascii="宋体" w:hAnsi="宋体" w:eastAsia="宋体" w:cs="宋体"/>
          <w:sz w:val="32"/>
          <w:szCs w:val="32"/>
        </w:rPr>
        <w:t>1</w:t>
      </w:r>
      <w:r>
        <w:rPr>
          <w:rFonts w:hint="eastAsia" w:ascii="宋体" w:hAnsi="宋体" w:cs="宋体"/>
          <w:sz w:val="32"/>
          <w:szCs w:val="32"/>
          <w:lang w:val="en-US" w:eastAsia="zh-CN"/>
        </w:rPr>
        <w:t>8</w:t>
      </w:r>
      <w:r>
        <w:rPr>
          <w:rFonts w:hint="eastAsia" w:ascii="宋体" w:hAnsi="宋体" w:eastAsia="宋体" w:cs="宋体"/>
          <w:sz w:val="32"/>
          <w:szCs w:val="32"/>
        </w:rPr>
        <w:fldChar w:fldCharType="end"/>
      </w:r>
      <w:r>
        <w:rPr>
          <w:rFonts w:hint="eastAsia" w:ascii="宋体" w:hAnsi="宋体" w:eastAsia="宋体" w:cs="宋体"/>
          <w:sz w:val="32"/>
          <w:szCs w:val="32"/>
        </w:rPr>
        <w:fldChar w:fldCharType="end"/>
      </w:r>
    </w:p>
    <w:p w14:paraId="2A87D0F6">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lang w:val="en-US" w:eastAsia="zh-CN"/>
        </w:rPr>
      </w:pPr>
      <w:r>
        <w:rPr>
          <w:rFonts w:hint="eastAsia" w:ascii="宋体" w:hAnsi="宋体" w:eastAsia="宋体" w:cs="宋体"/>
          <w:sz w:val="32"/>
          <w:szCs w:val="32"/>
        </w:rPr>
        <w:fldChar w:fldCharType="begin"/>
      </w:r>
      <w:r>
        <w:rPr>
          <w:rFonts w:hint="eastAsia" w:ascii="宋体" w:hAnsi="宋体" w:eastAsia="宋体" w:cs="宋体"/>
          <w:sz w:val="32"/>
          <w:szCs w:val="32"/>
        </w:rPr>
        <w:instrText xml:space="preserve"> HYPERLINK \l _Toc18855 </w:instrText>
      </w:r>
      <w:r>
        <w:rPr>
          <w:rFonts w:hint="eastAsia" w:ascii="宋体" w:hAnsi="宋体" w:eastAsia="宋体" w:cs="宋体"/>
          <w:sz w:val="32"/>
          <w:szCs w:val="32"/>
        </w:rPr>
        <w:fldChar w:fldCharType="separate"/>
      </w:r>
      <w:r>
        <w:rPr>
          <w:rFonts w:hint="eastAsia" w:ascii="宋体" w:hAnsi="宋体" w:eastAsia="宋体" w:cs="宋体"/>
          <w:sz w:val="32"/>
          <w:szCs w:val="32"/>
          <w:highlight w:val="none"/>
        </w:rPr>
        <w:t>第六</w:t>
      </w:r>
      <w:r>
        <w:rPr>
          <w:rFonts w:hint="eastAsia" w:ascii="宋体" w:hAnsi="宋体" w:eastAsia="宋体" w:cs="宋体"/>
          <w:sz w:val="32"/>
          <w:szCs w:val="32"/>
          <w:highlight w:val="none"/>
          <w:lang w:val="en-US" w:eastAsia="zh-CN"/>
        </w:rPr>
        <w:t>章</w:t>
      </w:r>
      <w:r>
        <w:rPr>
          <w:rFonts w:hint="eastAsia" w:ascii="宋体" w:hAnsi="宋体" w:eastAsia="宋体" w:cs="宋体"/>
          <w:sz w:val="32"/>
          <w:szCs w:val="32"/>
          <w:highlight w:val="none"/>
        </w:rPr>
        <w:t xml:space="preserve">  </w:t>
      </w:r>
      <w:r>
        <w:rPr>
          <w:rFonts w:hint="eastAsia" w:ascii="宋体" w:hAnsi="宋体" w:cs="宋体"/>
          <w:sz w:val="32"/>
          <w:szCs w:val="32"/>
          <w:highlight w:val="none"/>
          <w:lang w:val="en-US" w:eastAsia="zh-CN"/>
        </w:rPr>
        <w:t xml:space="preserve"> </w:t>
      </w:r>
      <w:r>
        <w:rPr>
          <w:rFonts w:hint="eastAsia" w:ascii="宋体" w:hAnsi="宋体" w:eastAsia="宋体" w:cs="宋体"/>
          <w:sz w:val="32"/>
          <w:szCs w:val="32"/>
          <w:highlight w:val="none"/>
        </w:rPr>
        <w:t>响应文件格式</w:t>
      </w:r>
      <w:r>
        <w:rPr>
          <w:rFonts w:hint="eastAsia" w:ascii="宋体" w:hAnsi="宋体" w:eastAsia="宋体" w:cs="宋体"/>
          <w:sz w:val="32"/>
          <w:szCs w:val="32"/>
        </w:rPr>
        <w:tab/>
      </w:r>
      <w:r>
        <w:rPr>
          <w:rFonts w:hint="eastAsia" w:ascii="宋体" w:hAnsi="宋体" w:eastAsia="宋体" w:cs="宋体"/>
          <w:sz w:val="32"/>
          <w:szCs w:val="32"/>
          <w:lang w:val="en-US" w:eastAsia="zh-CN"/>
        </w:rPr>
        <w:t>2</w:t>
      </w:r>
      <w:r>
        <w:rPr>
          <w:rFonts w:hint="eastAsia" w:ascii="宋体" w:hAnsi="宋体" w:eastAsia="宋体" w:cs="宋体"/>
          <w:sz w:val="32"/>
          <w:szCs w:val="32"/>
        </w:rPr>
        <w:fldChar w:fldCharType="end"/>
      </w:r>
      <w:r>
        <w:rPr>
          <w:rFonts w:hint="eastAsia" w:ascii="宋体" w:hAnsi="宋体" w:cs="宋体"/>
          <w:sz w:val="32"/>
          <w:szCs w:val="32"/>
          <w:lang w:val="en-US" w:eastAsia="zh-CN"/>
        </w:rPr>
        <w:t>2</w:t>
      </w:r>
    </w:p>
    <w:p w14:paraId="119E8A6E">
      <w:pPr>
        <w:pStyle w:val="27"/>
        <w:keepNext w:val="0"/>
        <w:keepLines w:val="0"/>
        <w:pageBreakBefore w:val="0"/>
        <w:widowControl/>
        <w:tabs>
          <w:tab w:val="right" w:leader="dot" w:pos="9638"/>
        </w:tabs>
        <w:kinsoku/>
        <w:wordWrap/>
        <w:overflowPunct/>
        <w:topLinePunct w:val="0"/>
        <w:autoSpaceDE/>
        <w:autoSpaceDN/>
        <w:bidi w:val="0"/>
        <w:adjustRightInd/>
        <w:snapToGrid/>
        <w:spacing w:line="360" w:lineRule="auto"/>
        <w:textAlignment w:val="auto"/>
        <w:rPr>
          <w:rFonts w:hint="eastAsia" w:ascii="宋体" w:hAnsi="宋体" w:eastAsia="宋体" w:cs="宋体"/>
          <w:sz w:val="32"/>
          <w:szCs w:val="32"/>
        </w:rPr>
      </w:pPr>
    </w:p>
    <w:p w14:paraId="4171D043">
      <w:pPr>
        <w:keepNext w:val="0"/>
        <w:keepLines w:val="0"/>
        <w:pageBreakBefore w:val="0"/>
        <w:widowControl/>
        <w:kinsoku/>
        <w:wordWrap/>
        <w:overflowPunct/>
        <w:topLinePunct w:val="0"/>
        <w:autoSpaceDE/>
        <w:autoSpaceDN/>
        <w:bidi w:val="0"/>
        <w:adjustRightInd/>
        <w:snapToGrid/>
        <w:spacing w:line="360" w:lineRule="auto"/>
        <w:textAlignment w:val="auto"/>
        <w:sectPr>
          <w:footerReference r:id="rId6" w:type="default"/>
          <w:pgSz w:w="11906" w:h="16838"/>
          <w:pgMar w:top="1134" w:right="1134" w:bottom="1134" w:left="1134" w:header="851" w:footer="850" w:gutter="0"/>
          <w:pgBorders w:offsetFrom="page">
            <w:top w:val="none" w:sz="0" w:space="0"/>
            <w:left w:val="none" w:sz="0" w:space="0"/>
            <w:bottom w:val="none" w:sz="0" w:space="0"/>
            <w:right w:val="none" w:sz="0" w:space="0"/>
          </w:pgBorders>
          <w:pgNumType w:fmt="decimal" w:start="1"/>
          <w:cols w:space="720" w:num="1"/>
          <w:rtlGutter w:val="0"/>
          <w:docGrid w:linePitch="312" w:charSpace="0"/>
        </w:sectPr>
      </w:pPr>
      <w:r>
        <w:rPr>
          <w:rFonts w:hint="eastAsia" w:ascii="宋体" w:hAnsi="宋体" w:eastAsia="宋体" w:cs="宋体"/>
          <w:sz w:val="32"/>
          <w:szCs w:val="32"/>
        </w:rPr>
        <w:fldChar w:fldCharType="end"/>
      </w:r>
    </w:p>
    <w:p w14:paraId="0B6D2285">
      <w:pPr>
        <w:keepNext w:val="0"/>
        <w:keepLines w:val="0"/>
        <w:pageBreakBefore w:val="0"/>
        <w:kinsoku/>
        <w:wordWrap/>
        <w:overflowPunct/>
        <w:topLinePunct w:val="0"/>
        <w:bidi w:val="0"/>
        <w:adjustRightInd/>
        <w:spacing w:line="360" w:lineRule="auto"/>
        <w:ind w:left="0" w:leftChars="0" w:right="0" w:rightChars="0"/>
        <w:jc w:val="center"/>
        <w:textAlignment w:val="auto"/>
        <w:outlineLvl w:val="0"/>
        <w:rPr>
          <w:rFonts w:hint="eastAsia" w:ascii="宋体" w:hAnsi="宋体" w:eastAsia="宋体" w:cs="宋体"/>
          <w:b/>
          <w:sz w:val="24"/>
          <w:szCs w:val="36"/>
          <w:highlight w:val="none"/>
        </w:rPr>
      </w:pPr>
      <w:bookmarkStart w:id="4" w:name="_Toc455751624"/>
      <w:bookmarkStart w:id="5" w:name="_Toc368606570"/>
      <w:bookmarkStart w:id="6" w:name="_Toc368599676"/>
      <w:bookmarkStart w:id="7" w:name="_Toc455751428"/>
      <w:bookmarkStart w:id="8" w:name="_Toc8429"/>
      <w:r>
        <w:rPr>
          <w:rFonts w:hint="eastAsia" w:ascii="宋体" w:hAnsi="宋体" w:eastAsia="宋体" w:cs="宋体"/>
          <w:b/>
          <w:sz w:val="32"/>
          <w:szCs w:val="44"/>
          <w:highlight w:val="none"/>
        </w:rPr>
        <w:t xml:space="preserve">第一章   </w:t>
      </w:r>
      <w:bookmarkEnd w:id="4"/>
      <w:bookmarkEnd w:id="5"/>
      <w:bookmarkEnd w:id="6"/>
      <w:bookmarkEnd w:id="7"/>
      <w:r>
        <w:rPr>
          <w:rFonts w:hint="eastAsia" w:ascii="宋体" w:hAnsi="宋体" w:eastAsia="宋体"/>
          <w:b/>
          <w:color w:val="auto"/>
          <w:sz w:val="32"/>
          <w:szCs w:val="40"/>
          <w:highlight w:val="none"/>
        </w:rPr>
        <w:t>竞争性磋商公告</w:t>
      </w:r>
      <w:bookmarkEnd w:id="8"/>
    </w:p>
    <w:p w14:paraId="0B4511C5">
      <w:pPr>
        <w:keepNext w:val="0"/>
        <w:keepLines w:val="0"/>
        <w:pageBreakBefore w:val="0"/>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lang w:eastAsia="zh-CN"/>
        </w:rPr>
        <w:t>邹城市太平镇202</w:t>
      </w:r>
      <w:r>
        <w:rPr>
          <w:rFonts w:hint="eastAsia" w:ascii="宋体" w:hAnsi="宋体" w:cs="宋体"/>
          <w:b/>
          <w:sz w:val="24"/>
          <w:szCs w:val="24"/>
          <w:highlight w:val="none"/>
          <w:lang w:val="en-US" w:eastAsia="zh-CN"/>
        </w:rPr>
        <w:t>5</w:t>
      </w:r>
      <w:r>
        <w:rPr>
          <w:rFonts w:hint="eastAsia" w:ascii="宋体" w:hAnsi="宋体" w:eastAsia="宋体" w:cs="宋体"/>
          <w:b/>
          <w:sz w:val="24"/>
          <w:szCs w:val="24"/>
          <w:highlight w:val="none"/>
          <w:lang w:eastAsia="zh-CN"/>
        </w:rPr>
        <w:t>年度林业有害生物防治服务采购项目竞争性磋商公告</w:t>
      </w:r>
    </w:p>
    <w:p w14:paraId="049D3795">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rPr>
          <w:rFonts w:hint="eastAsia" w:ascii="宋体" w:hAnsi="宋体" w:eastAsia="宋体" w:cs="宋体"/>
          <w:b/>
          <w:sz w:val="24"/>
          <w:szCs w:val="24"/>
          <w:highlight w:val="none"/>
          <w:lang w:eastAsia="zh-CN"/>
        </w:rPr>
      </w:pPr>
      <w:r>
        <w:rPr>
          <w:rFonts w:hint="eastAsia" w:ascii="宋体" w:hAnsi="宋体" w:eastAsia="宋体" w:cs="宋体"/>
          <w:b/>
          <w:color w:val="auto"/>
          <w:kern w:val="0"/>
          <w:sz w:val="24"/>
          <w:szCs w:val="24"/>
          <w:highlight w:val="none"/>
        </w:rPr>
        <w:t>一、采购项目名称：</w:t>
      </w:r>
      <w:r>
        <w:rPr>
          <w:rFonts w:hint="eastAsia" w:ascii="宋体" w:hAnsi="宋体" w:eastAsia="宋体" w:cs="宋体"/>
          <w:b/>
          <w:color w:val="auto"/>
          <w:kern w:val="0"/>
          <w:sz w:val="24"/>
          <w:szCs w:val="24"/>
          <w:highlight w:val="none"/>
          <w:lang w:eastAsia="zh-CN"/>
        </w:rPr>
        <w:t>邹城市太平镇202</w:t>
      </w:r>
      <w:r>
        <w:rPr>
          <w:rFonts w:hint="eastAsia" w:ascii="宋体" w:hAnsi="宋体" w:cs="宋体"/>
          <w:b/>
          <w:color w:val="auto"/>
          <w:kern w:val="0"/>
          <w:sz w:val="24"/>
          <w:szCs w:val="24"/>
          <w:highlight w:val="none"/>
          <w:lang w:val="en-US" w:eastAsia="zh-CN"/>
        </w:rPr>
        <w:t>5</w:t>
      </w:r>
      <w:r>
        <w:rPr>
          <w:rFonts w:hint="eastAsia" w:ascii="宋体" w:hAnsi="宋体" w:eastAsia="宋体" w:cs="宋体"/>
          <w:b/>
          <w:color w:val="auto"/>
          <w:kern w:val="0"/>
          <w:sz w:val="24"/>
          <w:szCs w:val="24"/>
          <w:highlight w:val="none"/>
          <w:lang w:eastAsia="zh-CN"/>
        </w:rPr>
        <w:t>年度林业有害生物防治服务采购项目</w:t>
      </w:r>
    </w:p>
    <w:p w14:paraId="7EF4EB1B">
      <w:pPr>
        <w:keepNext w:val="0"/>
        <w:keepLines w:val="0"/>
        <w:pageBreakBefore w:val="0"/>
        <w:widowControl/>
        <w:kinsoku/>
        <w:wordWrap/>
        <w:overflowPunct/>
        <w:topLinePunct w:val="0"/>
        <w:autoSpaceDE/>
        <w:autoSpaceDN/>
        <w:bidi w:val="0"/>
        <w:adjustRightInd/>
        <w:snapToGrid/>
        <w:spacing w:line="360" w:lineRule="auto"/>
        <w:ind w:right="0" w:rightChars="0"/>
        <w:jc w:val="left"/>
        <w:textAlignment w:val="auto"/>
        <w:rPr>
          <w:rFonts w:hint="default"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rPr>
        <w:t>二、</w:t>
      </w:r>
      <w:r>
        <w:rPr>
          <w:rFonts w:hint="eastAsia" w:ascii="宋体" w:hAnsi="宋体" w:eastAsia="宋体" w:cs="宋体"/>
          <w:b/>
          <w:color w:val="auto"/>
          <w:kern w:val="0"/>
          <w:sz w:val="24"/>
          <w:szCs w:val="24"/>
          <w:highlight w:val="none"/>
          <w:lang w:val="en-US" w:eastAsia="zh-CN"/>
        </w:rPr>
        <w:t>采购人：邹城市太平镇人民政府</w:t>
      </w:r>
    </w:p>
    <w:p w14:paraId="0929B69F">
      <w:pPr>
        <w:keepNext w:val="0"/>
        <w:keepLines w:val="0"/>
        <w:pageBreakBefore w:val="0"/>
        <w:widowControl/>
        <w:kinsoku/>
        <w:wordWrap/>
        <w:overflowPunct/>
        <w:topLinePunct w:val="0"/>
        <w:autoSpaceDE/>
        <w:autoSpaceDN/>
        <w:bidi w:val="0"/>
        <w:adjustRightInd/>
        <w:snapToGrid/>
        <w:spacing w:line="360" w:lineRule="auto"/>
        <w:ind w:right="0" w:rightChars="0"/>
        <w:jc w:val="left"/>
        <w:textAlignment w:val="auto"/>
        <w:rPr>
          <w:rFonts w:hint="default" w:ascii="宋体" w:hAnsi="宋体" w:eastAsia="宋体" w:cs="宋体"/>
          <w:b/>
          <w:color w:val="auto"/>
          <w:kern w:val="0"/>
          <w:sz w:val="24"/>
          <w:szCs w:val="24"/>
          <w:highlight w:val="yellow"/>
          <w:lang w:val="en-US" w:eastAsia="zh-CN"/>
        </w:rPr>
      </w:pPr>
      <w:r>
        <w:rPr>
          <w:rFonts w:hint="eastAsia" w:ascii="宋体" w:hAnsi="宋体" w:eastAsia="宋体" w:cs="宋体"/>
          <w:b/>
          <w:color w:val="auto"/>
          <w:kern w:val="0"/>
          <w:sz w:val="24"/>
          <w:szCs w:val="24"/>
          <w:highlight w:val="none"/>
          <w:lang w:val="en-US" w:eastAsia="zh-CN"/>
        </w:rPr>
        <w:t>三、</w:t>
      </w:r>
      <w:r>
        <w:rPr>
          <w:rFonts w:hint="eastAsia" w:ascii="宋体" w:hAnsi="宋体" w:eastAsia="宋体" w:cs="宋体"/>
          <w:b/>
          <w:color w:val="auto"/>
          <w:kern w:val="0"/>
          <w:sz w:val="24"/>
          <w:szCs w:val="24"/>
          <w:highlight w:val="none"/>
        </w:rPr>
        <w:t>采购项目编号：</w:t>
      </w:r>
      <w:r>
        <w:rPr>
          <w:rFonts w:hint="eastAsia" w:ascii="宋体" w:hAnsi="宋体" w:cs="宋体"/>
          <w:b/>
          <w:bCs w:val="0"/>
          <w:color w:val="auto"/>
          <w:kern w:val="0"/>
          <w:sz w:val="24"/>
          <w:szCs w:val="24"/>
          <w:highlight w:val="none"/>
          <w:lang w:val="en-US" w:eastAsia="zh-CN"/>
        </w:rPr>
        <w:t>HXXM-TPZ-0066</w:t>
      </w:r>
    </w:p>
    <w:p w14:paraId="45D4800F">
      <w:pPr>
        <w:keepNext w:val="0"/>
        <w:keepLines w:val="0"/>
        <w:pageBreakBefore w:val="0"/>
        <w:widowControl/>
        <w:shd w:val="clear" w:color="auto" w:fill="FFFFFF"/>
        <w:tabs>
          <w:tab w:val="left" w:pos="840"/>
        </w:tabs>
        <w:kinsoku/>
        <w:wordWrap/>
        <w:overflowPunct/>
        <w:topLinePunct w:val="0"/>
        <w:autoSpaceDE/>
        <w:autoSpaceDN/>
        <w:bidi w:val="0"/>
        <w:adjustRightInd/>
        <w:snapToGrid/>
        <w:spacing w:line="360" w:lineRule="auto"/>
        <w:jc w:val="left"/>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四</w:t>
      </w:r>
      <w:r>
        <w:rPr>
          <w:rFonts w:hint="eastAsia" w:ascii="宋体" w:hAnsi="宋体" w:eastAsia="宋体" w:cs="宋体"/>
          <w:b/>
          <w:color w:val="auto"/>
          <w:kern w:val="0"/>
          <w:sz w:val="24"/>
          <w:szCs w:val="24"/>
          <w:highlight w:val="none"/>
        </w:rPr>
        <w:t>、</w:t>
      </w:r>
      <w:r>
        <w:rPr>
          <w:rFonts w:hint="eastAsia" w:ascii="宋体" w:hAnsi="宋体" w:eastAsia="宋体" w:cs="宋体"/>
          <w:b/>
          <w:color w:val="auto"/>
          <w:sz w:val="24"/>
          <w:szCs w:val="24"/>
          <w:highlight w:val="none"/>
        </w:rPr>
        <w:t>采购内容：</w:t>
      </w:r>
    </w:p>
    <w:p w14:paraId="6F7F30B1">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val="en-US" w:eastAsia="zh-CN"/>
        </w:rPr>
        <w:t>邹城市太平镇202</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年度林业有害生物防治服务采购项目，采购人对全镇范围内的林业有害生物进行监测，根据监测结果，指定需防治区域的工作全权承包给成交供应商进行全面防治并对林木有害生物对林木资源危害的后续处理。防治服务</w:t>
      </w:r>
      <w:r>
        <w:rPr>
          <w:rFonts w:hint="eastAsia" w:ascii="宋体" w:hAnsi="宋体" w:cs="宋体"/>
          <w:b w:val="0"/>
          <w:bCs/>
          <w:color w:val="auto"/>
          <w:sz w:val="24"/>
          <w:szCs w:val="24"/>
          <w:highlight w:val="none"/>
          <w:lang w:val="en-US" w:eastAsia="zh-CN"/>
        </w:rPr>
        <w:t>期限</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一年。</w:t>
      </w:r>
      <w:r>
        <w:rPr>
          <w:rFonts w:hint="eastAsia" w:ascii="宋体" w:hAnsi="宋体" w:eastAsia="宋体" w:cs="宋体"/>
          <w:bCs/>
          <w:color w:val="auto"/>
          <w:sz w:val="24"/>
          <w:szCs w:val="24"/>
          <w:highlight w:val="none"/>
        </w:rPr>
        <w:t>（具体内容详见第四部分采购内容及要求）</w:t>
      </w:r>
      <w:r>
        <w:rPr>
          <w:rFonts w:hint="eastAsia" w:ascii="宋体" w:hAnsi="宋体" w:eastAsia="宋体" w:cs="宋体"/>
          <w:sz w:val="24"/>
          <w:szCs w:val="24"/>
          <w:highlight w:val="none"/>
          <w:lang w:val="en-US" w:eastAsia="zh-CN"/>
        </w:rPr>
        <w:t>。</w:t>
      </w:r>
    </w:p>
    <w:p w14:paraId="5DFEF903">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default" w:ascii="宋体" w:hAnsi="宋体" w:eastAsia="宋体" w:cs="宋体"/>
          <w:sz w:val="24"/>
          <w:szCs w:val="24"/>
          <w:highlight w:val="none"/>
          <w:lang w:val="en-US" w:eastAsia="zh-CN"/>
        </w:rPr>
      </w:pP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采购预算：180000.00</w:t>
      </w:r>
      <w:r>
        <w:rPr>
          <w:rFonts w:hint="eastAsia" w:ascii="宋体" w:hAnsi="宋体" w:cs="宋体"/>
          <w:b w:val="0"/>
          <w:bCs/>
          <w:color w:val="auto"/>
          <w:sz w:val="24"/>
          <w:szCs w:val="24"/>
          <w:highlight w:val="none"/>
          <w:lang w:val="en-US" w:eastAsia="zh-CN"/>
        </w:rPr>
        <w:t>元。</w:t>
      </w:r>
    </w:p>
    <w:p w14:paraId="4432928D">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kern w:val="0"/>
          <w:sz w:val="24"/>
          <w:szCs w:val="24"/>
          <w:highlight w:val="none"/>
        </w:rPr>
        <w:t>供应商资格要求</w:t>
      </w:r>
    </w:p>
    <w:p w14:paraId="46C8BD28">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1、具备《政府采购法》第二十二条规定的条件。</w:t>
      </w:r>
    </w:p>
    <w:p w14:paraId="49C7F568">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（一）具有独立承担民事责任的能力；</w:t>
      </w:r>
    </w:p>
    <w:p w14:paraId="5EABB051">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（二）具有良好的商业信誉和健全的财务会计制度；</w:t>
      </w:r>
    </w:p>
    <w:p w14:paraId="75B87C98">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（三）具有履行合同所必需的货物和专业技术能力；</w:t>
      </w:r>
    </w:p>
    <w:p w14:paraId="4D66CD82">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（四）有依法缴纳税收和社会保障资金的良好记录；</w:t>
      </w:r>
    </w:p>
    <w:p w14:paraId="326B6BBE">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（五）参加政府采购活动前三年内，在经营活动中没有重大违法记录；</w:t>
      </w:r>
    </w:p>
    <w:p w14:paraId="0795E48D">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（六）法律、行政法规规定的其他条件。</w:t>
      </w:r>
    </w:p>
    <w:p w14:paraId="51FD6B49">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2、采购人可以根据采购项目的特殊要求，规定磋商响应方的特定条件，但不得以不合理的条件对磋商响应方实行差别待遇或者歧视待遇。</w:t>
      </w:r>
    </w:p>
    <w:p w14:paraId="4845C9BE">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2.1单位负责人为同一人或者存在直接控股、管理关系的不同磋商响应方，不得参加同一合同项目下的政府采购活动；</w:t>
      </w:r>
    </w:p>
    <w:p w14:paraId="1051963F">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2.2磋商响应方须为</w:t>
      </w:r>
      <w:r>
        <w:rPr>
          <w:rFonts w:hint="eastAsia" w:ascii="宋体" w:hAnsi="宋体" w:eastAsia="宋体" w:cs="宋体"/>
          <w:b/>
          <w:bCs/>
          <w:color w:val="auto"/>
          <w:kern w:val="0"/>
          <w:sz w:val="24"/>
          <w:szCs w:val="24"/>
          <w:highlight w:val="none"/>
          <w:lang w:val="en-US" w:eastAsia="zh-CN"/>
        </w:rPr>
        <w:t>国内注册具有独立法人资格、营业执照经营范围包含城市园林绿化或农作物、林业、果树、园艺等作物病虫害防治相关内容的公司，或为具有有害生物防治能力和经验的工程队，并在人员、设备、资金等方面具有相应的服务能力，无拖欠农民工工资的不良行为。</w:t>
      </w:r>
    </w:p>
    <w:p w14:paraId="7234EFBB">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2.3本次竞争性磋商不接受联合体；</w:t>
      </w:r>
    </w:p>
    <w:p w14:paraId="659C3871">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2.4磋商响应方在递交磋商响应文件的同时需提供: 磋商响应方在开标时提供法定代表人或授权委托人的有效身份证原件、法人授权委托书原件、营业执照副本原件以备查验（若为具有有害生物防治能力和经验的工程队需提供供应商本人出具的服务能力承诺书原件、供应商本人身份证原件）。</w:t>
      </w:r>
    </w:p>
    <w:p w14:paraId="0DFF405B">
      <w:pPr>
        <w:keepNext w:val="0"/>
        <w:keepLines w:val="0"/>
        <w:pageBreakBefore w:val="0"/>
        <w:tabs>
          <w:tab w:val="left" w:pos="315"/>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lang w:val="en-US" w:eastAsia="zh-CN"/>
        </w:rPr>
        <w:t>六</w:t>
      </w:r>
      <w:r>
        <w:rPr>
          <w:rFonts w:hint="eastAsia" w:ascii="宋体" w:hAnsi="宋体" w:eastAsia="宋体" w:cs="宋体"/>
          <w:b/>
          <w:color w:val="auto"/>
          <w:kern w:val="0"/>
          <w:sz w:val="24"/>
          <w:szCs w:val="24"/>
          <w:highlight w:val="none"/>
        </w:rPr>
        <w:t>、磋商文件的获取：</w:t>
      </w:r>
    </w:p>
    <w:p w14:paraId="6E3037DD">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w:t>
      </w:r>
      <w:r>
        <w:rPr>
          <w:rFonts w:hint="eastAsia" w:ascii="宋体" w:hAnsi="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磋商文件获取时间：</w:t>
      </w:r>
      <w:r>
        <w:rPr>
          <w:rFonts w:hint="eastAsia" w:ascii="宋体" w:hAnsi="宋体" w:eastAsia="宋体" w:cs="宋体"/>
          <w:bCs/>
          <w:color w:val="auto"/>
          <w:kern w:val="0"/>
          <w:sz w:val="24"/>
          <w:szCs w:val="24"/>
          <w:highlight w:val="none"/>
          <w:lang w:eastAsia="zh-CN"/>
        </w:rPr>
        <w:t>202</w:t>
      </w:r>
      <w:r>
        <w:rPr>
          <w:rFonts w:hint="eastAsia" w:ascii="宋体" w:hAnsi="宋体" w:eastAsia="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rPr>
        <w:t>年</w:t>
      </w:r>
      <w:r>
        <w:rPr>
          <w:rFonts w:hint="eastAsia" w:ascii="宋体" w:hAnsi="宋体" w:eastAsia="宋体" w:cs="宋体"/>
          <w:bCs/>
          <w:color w:val="auto"/>
          <w:kern w:val="0"/>
          <w:sz w:val="24"/>
          <w:szCs w:val="24"/>
          <w:highlight w:val="none"/>
          <w:lang w:val="en-US" w:eastAsia="zh-CN"/>
        </w:rPr>
        <w:t>04</w:t>
      </w:r>
      <w:r>
        <w:rPr>
          <w:rFonts w:hint="eastAsia" w:ascii="宋体" w:hAnsi="宋体" w:eastAsia="宋体" w:cs="宋体"/>
          <w:bCs/>
          <w:color w:val="auto"/>
          <w:kern w:val="0"/>
          <w:sz w:val="24"/>
          <w:szCs w:val="24"/>
          <w:highlight w:val="none"/>
        </w:rPr>
        <w:t>月</w:t>
      </w:r>
      <w:r>
        <w:rPr>
          <w:rFonts w:hint="eastAsia" w:ascii="宋体" w:hAnsi="宋体" w:cs="宋体"/>
          <w:bCs/>
          <w:color w:val="auto"/>
          <w:kern w:val="0"/>
          <w:sz w:val="24"/>
          <w:szCs w:val="24"/>
          <w:highlight w:val="none"/>
          <w:lang w:val="en-US" w:eastAsia="zh-CN"/>
        </w:rPr>
        <w:t>30</w:t>
      </w:r>
      <w:r>
        <w:rPr>
          <w:rFonts w:hint="eastAsia" w:ascii="宋体" w:hAnsi="宋体" w:eastAsia="宋体" w:cs="宋体"/>
          <w:bCs/>
          <w:color w:val="auto"/>
          <w:kern w:val="0"/>
          <w:sz w:val="24"/>
          <w:szCs w:val="24"/>
          <w:highlight w:val="none"/>
        </w:rPr>
        <w:t>日至</w:t>
      </w:r>
      <w:r>
        <w:rPr>
          <w:rFonts w:hint="eastAsia" w:ascii="宋体" w:hAnsi="宋体" w:eastAsia="宋体" w:cs="宋体"/>
          <w:bCs/>
          <w:color w:val="auto"/>
          <w:kern w:val="0"/>
          <w:sz w:val="24"/>
          <w:szCs w:val="24"/>
          <w:highlight w:val="none"/>
          <w:lang w:eastAsia="zh-CN"/>
        </w:rPr>
        <w:t>202</w:t>
      </w:r>
      <w:r>
        <w:rPr>
          <w:rFonts w:hint="eastAsia" w:ascii="宋体" w:hAnsi="宋体" w:eastAsia="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rPr>
        <w:t>年</w:t>
      </w:r>
      <w:r>
        <w:rPr>
          <w:rFonts w:hint="eastAsia" w:ascii="宋体" w:hAnsi="宋体" w:eastAsia="宋体" w:cs="宋体"/>
          <w:bCs/>
          <w:color w:val="auto"/>
          <w:kern w:val="0"/>
          <w:sz w:val="24"/>
          <w:szCs w:val="24"/>
          <w:highlight w:val="none"/>
          <w:lang w:val="en-US" w:eastAsia="zh-CN"/>
        </w:rPr>
        <w:t>05</w:t>
      </w:r>
      <w:r>
        <w:rPr>
          <w:rFonts w:hint="eastAsia" w:ascii="宋体" w:hAnsi="宋体" w:eastAsia="宋体" w:cs="宋体"/>
          <w:bCs/>
          <w:color w:val="auto"/>
          <w:kern w:val="0"/>
          <w:sz w:val="24"/>
          <w:szCs w:val="24"/>
          <w:highlight w:val="none"/>
        </w:rPr>
        <w:t>月</w:t>
      </w:r>
      <w:r>
        <w:rPr>
          <w:rFonts w:hint="eastAsia" w:ascii="宋体" w:hAnsi="宋体" w:cs="宋体"/>
          <w:bCs/>
          <w:color w:val="auto"/>
          <w:kern w:val="0"/>
          <w:sz w:val="24"/>
          <w:szCs w:val="24"/>
          <w:highlight w:val="none"/>
          <w:lang w:val="en-US" w:eastAsia="zh-CN"/>
        </w:rPr>
        <w:t>12</w:t>
      </w:r>
      <w:r>
        <w:rPr>
          <w:rFonts w:hint="eastAsia" w:ascii="宋体" w:hAnsi="宋体" w:eastAsia="宋体" w:cs="宋体"/>
          <w:bCs/>
          <w:color w:val="auto"/>
          <w:kern w:val="0"/>
          <w:sz w:val="24"/>
          <w:szCs w:val="24"/>
          <w:highlight w:val="none"/>
        </w:rPr>
        <w:t>日</w:t>
      </w:r>
      <w:r>
        <w:rPr>
          <w:rFonts w:hint="eastAsia" w:ascii="宋体" w:hAnsi="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lang w:val="en-US" w:eastAsia="zh-CN"/>
        </w:rPr>
        <w:t>时30分</w:t>
      </w:r>
      <w:r>
        <w:rPr>
          <w:rFonts w:hint="eastAsia" w:ascii="宋体" w:hAnsi="宋体" w:eastAsia="宋体" w:cs="宋体"/>
          <w:bCs/>
          <w:color w:val="auto"/>
          <w:kern w:val="0"/>
          <w:sz w:val="24"/>
          <w:szCs w:val="24"/>
          <w:highlight w:val="none"/>
        </w:rPr>
        <w:t>（北京时间）</w:t>
      </w:r>
    </w:p>
    <w:p w14:paraId="05E900D5">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w:t>
      </w:r>
      <w:r>
        <w:rPr>
          <w:rFonts w:hint="eastAsia" w:ascii="宋体" w:hAnsi="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磋商文件获取方式：磋商响应方不必办理报名手续，登录邹城市外宣网(http://www.mencius.gov.cn/)-</w:t>
      </w:r>
      <w:r>
        <w:rPr>
          <w:rFonts w:hint="eastAsia" w:ascii="宋体" w:hAnsi="宋体" w:eastAsia="宋体" w:cs="宋体"/>
          <w:bCs/>
          <w:color w:val="auto"/>
          <w:kern w:val="0"/>
          <w:sz w:val="24"/>
          <w:szCs w:val="24"/>
          <w:highlight w:val="none"/>
          <w:lang w:val="en-US" w:eastAsia="zh-CN"/>
        </w:rPr>
        <w:t>乡镇采购</w:t>
      </w:r>
      <w:r>
        <w:rPr>
          <w:rFonts w:hint="eastAsia" w:ascii="宋体" w:hAnsi="宋体" w:eastAsia="宋体" w:cs="宋体"/>
          <w:bCs/>
          <w:color w:val="auto"/>
          <w:kern w:val="0"/>
          <w:sz w:val="24"/>
          <w:szCs w:val="24"/>
          <w:highlight w:val="none"/>
        </w:rPr>
        <w:t>直接点击公告下方附件下载竞争性磋商文件。</w:t>
      </w:r>
    </w:p>
    <w:p w14:paraId="30B639D3">
      <w:pPr>
        <w:keepNext w:val="0"/>
        <w:keepLines w:val="0"/>
        <w:pageBreakBefore w:val="0"/>
        <w:tabs>
          <w:tab w:val="left" w:pos="315"/>
        </w:tabs>
        <w:kinsoku/>
        <w:wordWrap/>
        <w:overflowPunct/>
        <w:topLinePunct w:val="0"/>
        <w:autoSpaceDE/>
        <w:autoSpaceDN/>
        <w:bidi w:val="0"/>
        <w:adjustRightInd/>
        <w:snapToGrid/>
        <w:spacing w:line="360" w:lineRule="auto"/>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七</w:t>
      </w:r>
      <w:r>
        <w:rPr>
          <w:rFonts w:hint="eastAsia" w:ascii="宋体" w:hAnsi="宋体" w:eastAsia="宋体" w:cs="宋体"/>
          <w:b/>
          <w:color w:val="auto"/>
          <w:kern w:val="0"/>
          <w:sz w:val="24"/>
          <w:szCs w:val="24"/>
          <w:highlight w:val="none"/>
        </w:rPr>
        <w:t>、磋商响应文件的递交时间及地点：</w:t>
      </w:r>
    </w:p>
    <w:p w14:paraId="74ED0D2A">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1、时间：202</w:t>
      </w:r>
      <w:r>
        <w:rPr>
          <w:rFonts w:hint="eastAsia" w:ascii="宋体" w:hAnsi="宋体" w:eastAsia="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rPr>
        <w:t>年</w:t>
      </w:r>
      <w:r>
        <w:rPr>
          <w:rFonts w:hint="eastAsia" w:ascii="宋体" w:hAnsi="宋体" w:eastAsia="宋体" w:cs="宋体"/>
          <w:bCs/>
          <w:color w:val="auto"/>
          <w:kern w:val="0"/>
          <w:sz w:val="24"/>
          <w:szCs w:val="24"/>
          <w:highlight w:val="none"/>
          <w:lang w:val="en-US" w:eastAsia="zh-CN"/>
        </w:rPr>
        <w:t>05</w:t>
      </w:r>
      <w:r>
        <w:rPr>
          <w:rFonts w:hint="eastAsia" w:ascii="宋体" w:hAnsi="宋体" w:eastAsia="宋体" w:cs="宋体"/>
          <w:bCs/>
          <w:color w:val="auto"/>
          <w:kern w:val="0"/>
          <w:sz w:val="24"/>
          <w:szCs w:val="24"/>
          <w:highlight w:val="none"/>
        </w:rPr>
        <w:t>月</w:t>
      </w:r>
      <w:r>
        <w:rPr>
          <w:rFonts w:hint="eastAsia" w:ascii="宋体" w:hAnsi="宋体" w:cs="宋体"/>
          <w:bCs/>
          <w:color w:val="auto"/>
          <w:kern w:val="0"/>
          <w:sz w:val="24"/>
          <w:szCs w:val="24"/>
          <w:highlight w:val="none"/>
          <w:lang w:val="en-US" w:eastAsia="zh-CN"/>
        </w:rPr>
        <w:t>12</w:t>
      </w:r>
      <w:r>
        <w:rPr>
          <w:rFonts w:hint="eastAsia" w:ascii="宋体" w:hAnsi="宋体" w:eastAsia="宋体" w:cs="宋体"/>
          <w:bCs/>
          <w:color w:val="auto"/>
          <w:kern w:val="0"/>
          <w:sz w:val="24"/>
          <w:szCs w:val="24"/>
          <w:highlight w:val="none"/>
        </w:rPr>
        <w:t>日</w:t>
      </w:r>
      <w:r>
        <w:rPr>
          <w:rFonts w:hint="eastAsia" w:ascii="宋体" w:hAnsi="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rPr>
        <w:t>时</w:t>
      </w:r>
      <w:r>
        <w:rPr>
          <w:rFonts w:hint="eastAsia" w:ascii="宋体" w:hAnsi="宋体" w:eastAsia="宋体" w:cs="宋体"/>
          <w:bCs/>
          <w:color w:val="auto"/>
          <w:kern w:val="0"/>
          <w:sz w:val="24"/>
          <w:szCs w:val="24"/>
          <w:highlight w:val="none"/>
          <w:lang w:val="en-US" w:eastAsia="zh-CN"/>
        </w:rPr>
        <w:t>30</w:t>
      </w:r>
      <w:r>
        <w:rPr>
          <w:rFonts w:hint="eastAsia" w:ascii="宋体" w:hAnsi="宋体" w:eastAsia="宋体" w:cs="宋体"/>
          <w:bCs/>
          <w:color w:val="auto"/>
          <w:kern w:val="0"/>
          <w:sz w:val="24"/>
          <w:szCs w:val="24"/>
          <w:highlight w:val="none"/>
        </w:rPr>
        <w:t>分（北京时间）之前送达。</w:t>
      </w:r>
    </w:p>
    <w:p w14:paraId="064C630F">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2、地点：邹城市太平镇公共资源交易中心开标室。</w:t>
      </w:r>
    </w:p>
    <w:p w14:paraId="5A2DDA8C">
      <w:pPr>
        <w:keepNext w:val="0"/>
        <w:keepLines w:val="0"/>
        <w:pageBreakBefore w:val="0"/>
        <w:tabs>
          <w:tab w:val="left" w:pos="315"/>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3、逾期送达或者未送达指定地点的磋商响应文件，采购人不予受理。</w:t>
      </w:r>
    </w:p>
    <w:p w14:paraId="74D46EE5">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、磋商（开启）时间及地点</w:t>
      </w:r>
    </w:p>
    <w:p w14:paraId="0BE67F8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时间：</w:t>
      </w:r>
      <w:r>
        <w:rPr>
          <w:rFonts w:hint="eastAsia" w:ascii="宋体" w:hAnsi="宋体" w:eastAsia="宋体" w:cs="宋体"/>
          <w:bCs/>
          <w:color w:val="auto"/>
          <w:kern w:val="0"/>
          <w:sz w:val="24"/>
          <w:szCs w:val="24"/>
          <w:highlight w:val="none"/>
          <w:lang w:eastAsia="zh-CN"/>
        </w:rPr>
        <w:t>202</w:t>
      </w:r>
      <w:r>
        <w:rPr>
          <w:rFonts w:hint="eastAsia" w:ascii="宋体" w:hAnsi="宋体" w:eastAsia="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lang w:eastAsia="zh-CN"/>
        </w:rPr>
        <w:t>年</w:t>
      </w:r>
      <w:r>
        <w:rPr>
          <w:rFonts w:hint="eastAsia" w:ascii="宋体" w:hAnsi="宋体" w:eastAsia="宋体" w:cs="宋体"/>
          <w:bCs/>
          <w:color w:val="auto"/>
          <w:kern w:val="0"/>
          <w:sz w:val="24"/>
          <w:szCs w:val="24"/>
          <w:highlight w:val="none"/>
          <w:lang w:val="en-US" w:eastAsia="zh-CN"/>
        </w:rPr>
        <w:t>05</w:t>
      </w:r>
      <w:r>
        <w:rPr>
          <w:rFonts w:hint="eastAsia" w:ascii="宋体" w:hAnsi="宋体" w:eastAsia="宋体" w:cs="宋体"/>
          <w:bCs/>
          <w:color w:val="auto"/>
          <w:kern w:val="0"/>
          <w:sz w:val="24"/>
          <w:szCs w:val="24"/>
          <w:highlight w:val="none"/>
          <w:lang w:eastAsia="zh-CN"/>
        </w:rPr>
        <w:t>月</w:t>
      </w:r>
      <w:r>
        <w:rPr>
          <w:rFonts w:hint="eastAsia" w:ascii="宋体" w:hAnsi="宋体" w:cs="宋体"/>
          <w:bCs/>
          <w:color w:val="auto"/>
          <w:kern w:val="0"/>
          <w:sz w:val="24"/>
          <w:szCs w:val="24"/>
          <w:highlight w:val="none"/>
          <w:lang w:val="en-US" w:eastAsia="zh-CN"/>
        </w:rPr>
        <w:t>12</w:t>
      </w:r>
      <w:r>
        <w:rPr>
          <w:rFonts w:hint="eastAsia" w:ascii="宋体" w:hAnsi="宋体" w:eastAsia="宋体" w:cs="宋体"/>
          <w:bCs/>
          <w:color w:val="auto"/>
          <w:kern w:val="0"/>
          <w:sz w:val="24"/>
          <w:szCs w:val="24"/>
          <w:highlight w:val="none"/>
          <w:lang w:eastAsia="zh-CN"/>
        </w:rPr>
        <w:t>日</w:t>
      </w:r>
      <w:r>
        <w:rPr>
          <w:rFonts w:hint="eastAsia" w:ascii="宋体" w:hAnsi="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lang w:eastAsia="zh-CN"/>
        </w:rPr>
        <w:t>时</w:t>
      </w:r>
      <w:r>
        <w:rPr>
          <w:rFonts w:hint="eastAsia" w:ascii="宋体" w:hAnsi="宋体" w:eastAsia="宋体" w:cs="宋体"/>
          <w:bCs/>
          <w:color w:val="auto"/>
          <w:kern w:val="0"/>
          <w:sz w:val="24"/>
          <w:szCs w:val="24"/>
          <w:highlight w:val="none"/>
          <w:lang w:val="en-US" w:eastAsia="zh-CN"/>
        </w:rPr>
        <w:t>30</w:t>
      </w:r>
      <w:r>
        <w:rPr>
          <w:rFonts w:hint="eastAsia" w:ascii="宋体" w:hAnsi="宋体" w:eastAsia="宋体" w:cs="宋体"/>
          <w:bCs/>
          <w:color w:val="auto"/>
          <w:kern w:val="0"/>
          <w:sz w:val="24"/>
          <w:szCs w:val="24"/>
          <w:highlight w:val="none"/>
          <w:lang w:eastAsia="zh-CN"/>
        </w:rPr>
        <w:t>分</w:t>
      </w:r>
      <w:r>
        <w:rPr>
          <w:rFonts w:hint="eastAsia" w:ascii="宋体" w:hAnsi="宋体" w:eastAsia="宋体" w:cs="宋体"/>
          <w:bCs/>
          <w:color w:val="auto"/>
          <w:sz w:val="24"/>
          <w:szCs w:val="24"/>
          <w:highlight w:val="none"/>
        </w:rPr>
        <w:t>（北京时间）</w:t>
      </w:r>
    </w:p>
    <w:p w14:paraId="0C38D26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地点：</w:t>
      </w:r>
      <w:r>
        <w:rPr>
          <w:rFonts w:hint="eastAsia" w:ascii="宋体" w:hAnsi="宋体" w:eastAsia="宋体" w:cs="宋体"/>
          <w:bCs/>
          <w:color w:val="auto"/>
          <w:kern w:val="0"/>
          <w:sz w:val="24"/>
          <w:szCs w:val="24"/>
          <w:highlight w:val="none"/>
          <w:lang w:eastAsia="zh-CN"/>
        </w:rPr>
        <w:t>邹城市太平镇公共资源交易中心开标室</w:t>
      </w:r>
      <w:r>
        <w:rPr>
          <w:rFonts w:hint="eastAsia" w:ascii="宋体" w:hAnsi="宋体" w:eastAsia="宋体" w:cs="宋体"/>
          <w:bCs/>
          <w:color w:val="auto"/>
          <w:sz w:val="24"/>
          <w:szCs w:val="24"/>
          <w:highlight w:val="none"/>
        </w:rPr>
        <w:t xml:space="preserve"> </w:t>
      </w:r>
    </w:p>
    <w:p w14:paraId="5B65D547">
      <w:pPr>
        <w:keepNext w:val="0"/>
        <w:keepLines w:val="0"/>
        <w:pageBreakBefore w:val="0"/>
        <w:tabs>
          <w:tab w:val="left" w:pos="315"/>
        </w:tabs>
        <w:kinsoku/>
        <w:wordWrap/>
        <w:overflowPunct/>
        <w:topLinePunct w:val="0"/>
        <w:autoSpaceDE/>
        <w:autoSpaceDN/>
        <w:bidi w:val="0"/>
        <w:adjustRightInd/>
        <w:snapToGrid/>
        <w:spacing w:line="360" w:lineRule="auto"/>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sz w:val="24"/>
          <w:szCs w:val="24"/>
          <w:highlight w:val="none"/>
          <w:lang w:val="en-US" w:eastAsia="zh-CN"/>
        </w:rPr>
        <w:t>九</w:t>
      </w:r>
      <w:r>
        <w:rPr>
          <w:rFonts w:hint="eastAsia" w:ascii="宋体" w:hAnsi="宋体" w:eastAsia="宋体" w:cs="宋体"/>
          <w:b/>
          <w:color w:val="auto"/>
          <w:sz w:val="24"/>
          <w:szCs w:val="24"/>
          <w:highlight w:val="none"/>
        </w:rPr>
        <w:t>、联系方式</w:t>
      </w:r>
      <w:r>
        <w:rPr>
          <w:rFonts w:hint="eastAsia" w:ascii="宋体" w:hAnsi="宋体" w:eastAsia="宋体" w:cs="宋体"/>
          <w:b/>
          <w:color w:val="auto"/>
          <w:kern w:val="0"/>
          <w:sz w:val="24"/>
          <w:szCs w:val="24"/>
          <w:highlight w:val="none"/>
        </w:rPr>
        <w:t>：</w:t>
      </w:r>
    </w:p>
    <w:p w14:paraId="6217C7F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采 购 人：</w:t>
      </w:r>
      <w:r>
        <w:rPr>
          <w:rFonts w:hint="eastAsia" w:ascii="宋体" w:hAnsi="宋体" w:eastAsia="宋体" w:cs="宋体"/>
          <w:bCs/>
          <w:color w:val="auto"/>
          <w:sz w:val="24"/>
          <w:szCs w:val="24"/>
          <w:highlight w:val="none"/>
          <w:lang w:eastAsia="zh-CN"/>
        </w:rPr>
        <w:t>邹城市太平镇人民政府</w:t>
      </w:r>
    </w:p>
    <w:p w14:paraId="57FEFEB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地    址：邹城市</w:t>
      </w:r>
      <w:r>
        <w:rPr>
          <w:rFonts w:hint="eastAsia" w:ascii="宋体" w:hAnsi="宋体" w:eastAsia="宋体" w:cs="宋体"/>
          <w:bCs/>
          <w:color w:val="auto"/>
          <w:sz w:val="24"/>
          <w:szCs w:val="24"/>
          <w:highlight w:val="none"/>
          <w:lang w:val="en-US" w:eastAsia="zh-CN"/>
        </w:rPr>
        <w:t>太平镇</w:t>
      </w:r>
    </w:p>
    <w:p w14:paraId="111BE55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rPr>
      </w:pPr>
      <w:r>
        <w:rPr>
          <w:rFonts w:hint="eastAsia" w:ascii="宋体" w:hAnsi="宋体" w:eastAsia="宋体" w:cs="宋体"/>
          <w:bCs/>
          <w:color w:val="auto"/>
          <w:sz w:val="24"/>
          <w:szCs w:val="24"/>
          <w:highlight w:val="none"/>
        </w:rPr>
        <w:t>联系人</w:t>
      </w:r>
      <w:r>
        <w:rPr>
          <w:rFonts w:hint="eastAsia" w:ascii="宋体" w:hAnsi="宋体" w:eastAsia="宋体" w:cs="宋体"/>
          <w:bCs/>
          <w:color w:val="auto"/>
          <w:sz w:val="24"/>
          <w:szCs w:val="24"/>
          <w:highlight w:val="none"/>
          <w:lang w:val="en-US" w:eastAsia="zh-CN"/>
        </w:rPr>
        <w:t>及电话</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孙兆峰</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sz w:val="24"/>
          <w:szCs w:val="24"/>
          <w:highlight w:val="none"/>
          <w:lang w:val="en-US" w:eastAsia="zh-CN"/>
        </w:rPr>
        <w:t>13805470277</w:t>
      </w:r>
    </w:p>
    <w:p w14:paraId="66CB78F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代理机构：</w:t>
      </w:r>
      <w:r>
        <w:rPr>
          <w:rFonts w:hint="eastAsia" w:ascii="宋体" w:hAnsi="宋体" w:eastAsia="宋体" w:cs="宋体"/>
          <w:bCs/>
          <w:color w:val="auto"/>
          <w:sz w:val="24"/>
          <w:szCs w:val="24"/>
          <w:highlight w:val="none"/>
          <w:lang w:eastAsia="zh-CN"/>
        </w:rPr>
        <w:t>邹城市宏新项目管理有限公司</w:t>
      </w:r>
    </w:p>
    <w:p w14:paraId="19D4460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地    址：</w:t>
      </w:r>
      <w:r>
        <w:rPr>
          <w:rFonts w:hint="eastAsia" w:ascii="宋体" w:hAnsi="宋体" w:eastAsia="宋体" w:cs="宋体"/>
          <w:bCs/>
          <w:color w:val="auto"/>
          <w:sz w:val="24"/>
          <w:szCs w:val="24"/>
          <w:highlight w:val="none"/>
          <w:lang w:eastAsia="zh-CN"/>
        </w:rPr>
        <w:t>邹城市万德广场11号楼</w:t>
      </w:r>
    </w:p>
    <w:p w14:paraId="116060A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联系人</w:t>
      </w:r>
      <w:r>
        <w:rPr>
          <w:rFonts w:hint="eastAsia" w:ascii="宋体" w:hAnsi="宋体" w:eastAsia="宋体" w:cs="宋体"/>
          <w:bCs/>
          <w:color w:val="auto"/>
          <w:sz w:val="24"/>
          <w:szCs w:val="24"/>
          <w:highlight w:val="none"/>
          <w:lang w:val="en-US" w:eastAsia="zh-CN"/>
        </w:rPr>
        <w:t>及电话</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刘雨欣</w:t>
      </w: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en-US" w:eastAsia="zh-CN"/>
        </w:rPr>
        <w:t>15315170602、15106475022</w:t>
      </w:r>
    </w:p>
    <w:p w14:paraId="5B09FD7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bCs w:val="0"/>
          <w:color w:val="auto"/>
          <w:sz w:val="24"/>
          <w:szCs w:val="24"/>
          <w:highlight w:val="none"/>
          <w:lang w:val="en-US" w:eastAsia="zh-CN"/>
        </w:rPr>
      </w:pPr>
      <w:r>
        <w:rPr>
          <w:rFonts w:hint="eastAsia" w:ascii="宋体" w:hAnsi="宋体" w:eastAsia="宋体" w:cs="宋体"/>
          <w:bCs/>
          <w:color w:val="auto"/>
          <w:sz w:val="24"/>
          <w:szCs w:val="24"/>
          <w:highlight w:val="none"/>
        </w:rPr>
        <w:t>电子邮箱：</w:t>
      </w:r>
      <w:r>
        <w:rPr>
          <w:rFonts w:hint="eastAsia" w:ascii="宋体" w:hAnsi="宋体" w:eastAsia="宋体" w:cs="宋体"/>
          <w:bCs/>
          <w:color w:val="auto"/>
          <w:sz w:val="24"/>
          <w:szCs w:val="24"/>
          <w:highlight w:val="none"/>
          <w:lang w:val="en-US" w:eastAsia="zh-CN"/>
        </w:rPr>
        <w:t>Zcshxxmgl@163.com</w:t>
      </w:r>
    </w:p>
    <w:p w14:paraId="05EF0B4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十</w:t>
      </w:r>
      <w:r>
        <w:rPr>
          <w:rFonts w:hint="eastAsia" w:ascii="宋体" w:hAnsi="宋体" w:eastAsia="宋体" w:cs="宋体"/>
          <w:b/>
          <w:bCs w:val="0"/>
          <w:color w:val="auto"/>
          <w:sz w:val="24"/>
          <w:szCs w:val="24"/>
          <w:highlight w:val="none"/>
        </w:rPr>
        <w:t>、重要说明</w:t>
      </w:r>
    </w:p>
    <w:p w14:paraId="3533850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竞争性磋商文件一经在邹城市外宣网（http://www.mencius.gov.cn/）发布，视作已发放给所有潜在供应商（发布时间即为发出磋商文件的时间），各供应商应随时关注项目信息并及时在邹城市外宣网（http://www.mencius.gov.cn/）下载电子版竞争性磋商文件。否则所造成的一切后果由供应商自负。</w:t>
      </w:r>
    </w:p>
    <w:p w14:paraId="55B8BA9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、本项目如有必要澄清和修改需要发布变更公告的，将在本网站及时发布。请各潜在供应商及时关注相关信息。同时，依据相关法律法规规定，变更公告一旦发布即视为以书面形式通知所有潜在供应商。</w:t>
      </w:r>
      <w:bookmarkStart w:id="9" w:name="_Toc16133"/>
    </w:p>
    <w:bookmarkEnd w:id="9"/>
    <w:p w14:paraId="29DF6635">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outlineLvl w:val="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邹城市太平镇人民政府</w:t>
      </w:r>
    </w:p>
    <w:p w14:paraId="46F41406">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eastAsia="zh-CN"/>
        </w:rPr>
        <w:t>邹城市宏新项目管理有限公司</w:t>
      </w:r>
    </w:p>
    <w:p w14:paraId="1572EC74">
      <w:pPr>
        <w:keepNext w:val="0"/>
        <w:keepLines w:val="0"/>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bCs/>
          <w:color w:val="auto"/>
          <w:sz w:val="24"/>
          <w:highlight w:val="none"/>
        </w:rPr>
        <w:sectPr>
          <w:pgSz w:w="11906" w:h="16838"/>
          <w:pgMar w:top="1134" w:right="1134" w:bottom="1134" w:left="1134" w:header="851" w:footer="850" w:gutter="0"/>
          <w:pgBorders w:offsetFrom="page">
            <w:top w:val="none" w:sz="0" w:space="0"/>
            <w:left w:val="none" w:sz="0" w:space="0"/>
            <w:bottom w:val="none" w:sz="0" w:space="0"/>
            <w:right w:val="none" w:sz="0" w:space="0"/>
          </w:pgBorders>
          <w:pgNumType w:fmt="decimal"/>
          <w:cols w:space="720" w:num="1"/>
          <w:rtlGutter w:val="0"/>
          <w:docGrid w:linePitch="312" w:charSpace="0"/>
        </w:sectPr>
      </w:pPr>
      <w:r>
        <w:rPr>
          <w:rFonts w:hint="eastAsia" w:ascii="宋体" w:hAnsi="宋体" w:eastAsia="宋体" w:cs="宋体"/>
          <w:bCs/>
          <w:color w:val="auto"/>
          <w:sz w:val="24"/>
          <w:szCs w:val="24"/>
          <w:highlight w:val="none"/>
          <w:lang w:eastAsia="zh-CN"/>
        </w:rPr>
        <w:t>202</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lang w:val="en-US" w:eastAsia="zh-CN"/>
        </w:rPr>
        <w:t>04</w:t>
      </w:r>
      <w:r>
        <w:rPr>
          <w:rFonts w:hint="eastAsia" w:ascii="宋体" w:hAnsi="宋体" w:eastAsia="宋体" w:cs="宋体"/>
          <w:bCs/>
          <w:color w:val="auto"/>
          <w:sz w:val="24"/>
          <w:szCs w:val="24"/>
          <w:highlight w:val="none"/>
        </w:rPr>
        <w:t>月</w:t>
      </w:r>
      <w:r>
        <w:rPr>
          <w:rFonts w:hint="eastAsia" w:ascii="宋体" w:hAnsi="宋体" w:cs="宋体"/>
          <w:bCs/>
          <w:color w:val="auto"/>
          <w:sz w:val="24"/>
          <w:szCs w:val="24"/>
          <w:highlight w:val="none"/>
          <w:lang w:val="en-US" w:eastAsia="zh-CN"/>
        </w:rPr>
        <w:t>30</w:t>
      </w:r>
      <w:r>
        <w:rPr>
          <w:rFonts w:hint="eastAsia" w:ascii="宋体" w:hAnsi="宋体" w:eastAsia="宋体" w:cs="宋体"/>
          <w:bCs/>
          <w:color w:val="auto"/>
          <w:sz w:val="24"/>
          <w:szCs w:val="24"/>
          <w:highlight w:val="none"/>
        </w:rPr>
        <w:t>日</w:t>
      </w:r>
    </w:p>
    <w:p w14:paraId="28DD1A84">
      <w:pPr>
        <w:keepNext w:val="0"/>
        <w:keepLines w:val="0"/>
        <w:pageBreakBefore w:val="0"/>
        <w:widowControl/>
        <w:numPr>
          <w:ilvl w:val="0"/>
          <w:numId w:val="0"/>
        </w:numPr>
        <w:shd w:val="clear" w:color="auto" w:fill="FFFFFF"/>
        <w:kinsoku/>
        <w:wordWrap/>
        <w:overflowPunct/>
        <w:topLinePunct w:val="0"/>
        <w:bidi w:val="0"/>
        <w:adjustRightInd/>
        <w:spacing w:line="360" w:lineRule="auto"/>
        <w:jc w:val="center"/>
        <w:textAlignment w:val="auto"/>
        <w:outlineLvl w:val="0"/>
        <w:rPr>
          <w:rFonts w:hint="eastAsia" w:ascii="宋体" w:hAnsi="宋体"/>
          <w:b/>
          <w:color w:val="auto"/>
          <w:sz w:val="32"/>
          <w:szCs w:val="32"/>
          <w:highlight w:val="none"/>
        </w:rPr>
      </w:pPr>
      <w:bookmarkStart w:id="10" w:name="_Toc20690"/>
      <w:r>
        <w:rPr>
          <w:rFonts w:hint="eastAsia" w:ascii="宋体" w:hAnsi="宋体"/>
          <w:b/>
          <w:color w:val="auto"/>
          <w:sz w:val="32"/>
          <w:szCs w:val="32"/>
          <w:highlight w:val="none"/>
          <w:lang w:val="en-US" w:eastAsia="zh-CN"/>
        </w:rPr>
        <w:t xml:space="preserve">第二章   </w:t>
      </w:r>
      <w:r>
        <w:rPr>
          <w:rFonts w:hint="eastAsia" w:ascii="宋体" w:hAnsi="宋体"/>
          <w:b/>
          <w:color w:val="auto"/>
          <w:sz w:val="32"/>
          <w:szCs w:val="32"/>
          <w:highlight w:val="none"/>
        </w:rPr>
        <w:t>磋商响应方须知</w:t>
      </w:r>
      <w:bookmarkEnd w:id="10"/>
    </w:p>
    <w:p w14:paraId="6701C899">
      <w:pPr>
        <w:keepNext w:val="0"/>
        <w:keepLines w:val="0"/>
        <w:pageBreakBefore w:val="0"/>
        <w:widowControl/>
        <w:shd w:val="clear" w:color="auto" w:fill="FFFFFF"/>
        <w:kinsoku/>
        <w:wordWrap/>
        <w:overflowPunct/>
        <w:topLinePunct w:val="0"/>
        <w:bidi w:val="0"/>
        <w:adjustRightInd/>
        <w:spacing w:line="360" w:lineRule="auto"/>
        <w:jc w:val="center"/>
        <w:textAlignment w:val="auto"/>
        <w:rPr>
          <w:rFonts w:hint="eastAsia" w:ascii="宋体" w:hAnsi="宋体"/>
          <w:b/>
          <w:color w:val="auto"/>
          <w:sz w:val="32"/>
          <w:szCs w:val="32"/>
          <w:highlight w:val="none"/>
        </w:rPr>
      </w:pPr>
      <w:r>
        <w:rPr>
          <w:rFonts w:hint="eastAsia"/>
          <w:b/>
          <w:color w:val="auto"/>
          <w:sz w:val="28"/>
          <w:szCs w:val="28"/>
          <w:highlight w:val="none"/>
        </w:rPr>
        <w:t>一、响应方须知前附表</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2001"/>
        <w:gridCol w:w="6865"/>
      </w:tblGrid>
      <w:tr w14:paraId="71770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725" w:type="dxa"/>
            <w:noWrap w:val="0"/>
            <w:vAlign w:val="center"/>
          </w:tcPr>
          <w:p w14:paraId="0CA0DBDA">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bookmarkStart w:id="11" w:name="_Toc368606600"/>
            <w:bookmarkStart w:id="12" w:name="_Toc455751626"/>
            <w:bookmarkStart w:id="13" w:name="_Toc455751430"/>
            <w:r>
              <w:rPr>
                <w:rFonts w:hint="eastAsia" w:ascii="宋体" w:hAnsi="宋体" w:eastAsia="宋体" w:cs="宋体"/>
                <w:color w:val="auto"/>
                <w:sz w:val="24"/>
                <w:szCs w:val="24"/>
                <w:highlight w:val="none"/>
              </w:rPr>
              <w:t>项号</w:t>
            </w:r>
          </w:p>
        </w:tc>
        <w:tc>
          <w:tcPr>
            <w:tcW w:w="2001" w:type="dxa"/>
            <w:noWrap w:val="0"/>
            <w:vAlign w:val="center"/>
          </w:tcPr>
          <w:p w14:paraId="2CA56BD6">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w:t>
            </w:r>
          </w:p>
        </w:tc>
        <w:tc>
          <w:tcPr>
            <w:tcW w:w="6865" w:type="dxa"/>
            <w:noWrap w:val="0"/>
            <w:vAlign w:val="center"/>
          </w:tcPr>
          <w:p w14:paraId="2B7AC28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说明与要求</w:t>
            </w:r>
          </w:p>
        </w:tc>
      </w:tr>
      <w:tr w14:paraId="2C252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70AD0371">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001" w:type="dxa"/>
            <w:noWrap w:val="0"/>
            <w:vAlign w:val="center"/>
          </w:tcPr>
          <w:p w14:paraId="148AA25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6865" w:type="dxa"/>
            <w:noWrap w:val="0"/>
            <w:vAlign w:val="center"/>
          </w:tcPr>
          <w:p w14:paraId="4E077E0D">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sz w:val="24"/>
                <w:szCs w:val="21"/>
                <w:highlight w:val="none"/>
                <w:lang w:eastAsia="zh-CN"/>
              </w:rPr>
              <w:t>邹城市太平镇202</w:t>
            </w:r>
            <w:r>
              <w:rPr>
                <w:rFonts w:hint="eastAsia" w:ascii="宋体" w:hAnsi="宋体" w:cs="宋体"/>
                <w:sz w:val="24"/>
                <w:szCs w:val="21"/>
                <w:highlight w:val="none"/>
                <w:lang w:val="en-US" w:eastAsia="zh-CN"/>
              </w:rPr>
              <w:t>5</w:t>
            </w:r>
            <w:r>
              <w:rPr>
                <w:rFonts w:hint="eastAsia" w:ascii="宋体" w:hAnsi="宋体" w:eastAsia="宋体" w:cs="宋体"/>
                <w:sz w:val="24"/>
                <w:szCs w:val="21"/>
                <w:highlight w:val="none"/>
                <w:lang w:eastAsia="zh-CN"/>
              </w:rPr>
              <w:t>年度林业有害生物防治服务采购项目</w:t>
            </w:r>
          </w:p>
        </w:tc>
      </w:tr>
      <w:tr w14:paraId="7C83D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2DEE147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001" w:type="dxa"/>
            <w:noWrap w:val="0"/>
            <w:vAlign w:val="center"/>
          </w:tcPr>
          <w:p w14:paraId="5110E713">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6865" w:type="dxa"/>
            <w:noWrap w:val="0"/>
            <w:vAlign w:val="center"/>
          </w:tcPr>
          <w:p w14:paraId="74A33B2F">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HXXM-TPZ-0066</w:t>
            </w:r>
          </w:p>
        </w:tc>
      </w:tr>
      <w:tr w14:paraId="5F783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2D6FF21A">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001" w:type="dxa"/>
            <w:noWrap w:val="0"/>
            <w:vAlign w:val="center"/>
          </w:tcPr>
          <w:p w14:paraId="737CA9F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服务地点</w:t>
            </w:r>
          </w:p>
        </w:tc>
        <w:tc>
          <w:tcPr>
            <w:tcW w:w="6865" w:type="dxa"/>
            <w:noWrap w:val="0"/>
            <w:vAlign w:val="center"/>
          </w:tcPr>
          <w:p w14:paraId="076381AD">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邹城市太平镇</w:t>
            </w:r>
          </w:p>
        </w:tc>
      </w:tr>
      <w:tr w14:paraId="6BDA3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jc w:val="center"/>
        </w:trPr>
        <w:tc>
          <w:tcPr>
            <w:tcW w:w="725" w:type="dxa"/>
            <w:noWrap w:val="0"/>
            <w:vAlign w:val="center"/>
          </w:tcPr>
          <w:p w14:paraId="723ABD72">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001" w:type="dxa"/>
            <w:noWrap w:val="0"/>
            <w:vAlign w:val="center"/>
          </w:tcPr>
          <w:p w14:paraId="4564AF34">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防治服务期限</w:t>
            </w:r>
          </w:p>
        </w:tc>
        <w:tc>
          <w:tcPr>
            <w:tcW w:w="6865" w:type="dxa"/>
            <w:noWrap w:val="0"/>
            <w:vAlign w:val="center"/>
          </w:tcPr>
          <w:p w14:paraId="05044DD0">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bCs/>
                <w:color w:val="auto"/>
                <w:sz w:val="24"/>
                <w:szCs w:val="24"/>
                <w:highlight w:val="none"/>
                <w:lang w:val="en-US"/>
              </w:rPr>
            </w:pPr>
            <w:r>
              <w:rPr>
                <w:rFonts w:hint="eastAsia" w:ascii="宋体" w:hAnsi="宋体" w:cs="宋体"/>
                <w:color w:val="auto"/>
                <w:sz w:val="24"/>
                <w:szCs w:val="24"/>
                <w:highlight w:val="none"/>
                <w:u w:val="none"/>
                <w:lang w:val="en-US" w:eastAsia="zh-CN"/>
              </w:rPr>
              <w:t>一</w:t>
            </w:r>
            <w:r>
              <w:rPr>
                <w:rFonts w:hint="eastAsia" w:ascii="宋体" w:hAnsi="宋体" w:eastAsia="宋体" w:cs="宋体"/>
                <w:color w:val="auto"/>
                <w:sz w:val="24"/>
                <w:szCs w:val="24"/>
                <w:highlight w:val="none"/>
                <w:u w:val="none"/>
                <w:lang w:val="en-US" w:eastAsia="zh-CN"/>
              </w:rPr>
              <w:t>年</w:t>
            </w:r>
          </w:p>
        </w:tc>
      </w:tr>
      <w:tr w14:paraId="10E18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5B6B6A4A">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2001" w:type="dxa"/>
            <w:noWrap w:val="0"/>
            <w:vAlign w:val="center"/>
          </w:tcPr>
          <w:p w14:paraId="124313DE">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6865" w:type="dxa"/>
            <w:noWrap w:val="0"/>
            <w:vAlign w:val="center"/>
          </w:tcPr>
          <w:p w14:paraId="31C20FAA">
            <w:pPr>
              <w:keepNext w:val="0"/>
              <w:keepLines w:val="0"/>
              <w:pageBreakBefore w:val="0"/>
              <w:widowControl/>
              <w:kinsoku/>
              <w:wordWrap/>
              <w:overflowPunct/>
              <w:topLinePunct w:val="0"/>
              <w:autoSpaceDE/>
              <w:autoSpaceDN/>
              <w:bidi w:val="0"/>
              <w:adjustRightInd/>
              <w:snapToGrid/>
              <w:spacing w:line="360" w:lineRule="auto"/>
              <w:ind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lang w:val="en-US" w:eastAsia="zh-CN"/>
              </w:rPr>
              <w:t>邹城市太平镇202</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年度林业有害生物防治服务采购项目，采购人对全镇范围内的林业有害生物进行监测，根据监测结果，指定需防治区域的工作全权承包给成交供应商进行全面防治并对林木有害生物对林木资源危害的后续处理。（具体内容详见第四部分采购内容及要求）。</w:t>
            </w:r>
          </w:p>
        </w:tc>
      </w:tr>
      <w:tr w14:paraId="3A452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725" w:type="dxa"/>
            <w:noWrap w:val="0"/>
            <w:vAlign w:val="center"/>
          </w:tcPr>
          <w:p w14:paraId="410E14C9">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2001" w:type="dxa"/>
            <w:noWrap w:val="0"/>
            <w:vAlign w:val="center"/>
          </w:tcPr>
          <w:p w14:paraId="7A9FA214">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6865" w:type="dxa"/>
            <w:noWrap w:val="0"/>
            <w:vAlign w:val="center"/>
          </w:tcPr>
          <w:p w14:paraId="3BAF0821">
            <w:pPr>
              <w:pStyle w:val="2"/>
              <w:keepNext w:val="0"/>
              <w:keepLines w:val="0"/>
              <w:pageBreakBefore w:val="0"/>
              <w:kinsoku/>
              <w:wordWrap/>
              <w:overflowPunct/>
              <w:topLinePunct w:val="0"/>
              <w:bidi w:val="0"/>
              <w:adjustRightInd/>
              <w:spacing w:before="0" w:beforeLines="0" w:line="360" w:lineRule="auto"/>
              <w:jc w:val="left"/>
              <w:textAlignment w:val="auto"/>
              <w:rPr>
                <w:rFonts w:hint="default" w:ascii="宋体" w:hAnsi="宋体" w:eastAsia="宋体" w:cs="宋体"/>
                <w:color w:val="auto"/>
                <w:sz w:val="24"/>
                <w:szCs w:val="24"/>
                <w:highlight w:val="none"/>
                <w:lang w:val="en-US"/>
              </w:rPr>
            </w:pPr>
            <w:r>
              <w:rPr>
                <w:rFonts w:hint="eastAsia" w:ascii="宋体" w:hAnsi="宋体" w:eastAsia="宋体" w:cs="宋体"/>
                <w:b/>
                <w:bCs w:val="0"/>
                <w:color w:val="auto"/>
                <w:sz w:val="24"/>
                <w:szCs w:val="24"/>
                <w:highlight w:val="none"/>
                <w:lang w:eastAsia="zh-CN"/>
              </w:rPr>
              <w:t>本项目无预付款，202</w:t>
            </w:r>
            <w:r>
              <w:rPr>
                <w:rFonts w:hint="eastAsia" w:ascii="宋体" w:hAnsi="宋体" w:cs="宋体"/>
                <w:b/>
                <w:bCs w:val="0"/>
                <w:color w:val="auto"/>
                <w:sz w:val="24"/>
                <w:szCs w:val="24"/>
                <w:highlight w:val="none"/>
                <w:lang w:val="en-US" w:eastAsia="zh-CN"/>
              </w:rPr>
              <w:t>5</w:t>
            </w:r>
            <w:r>
              <w:rPr>
                <w:rFonts w:hint="eastAsia" w:ascii="宋体" w:hAnsi="宋体" w:eastAsia="宋体" w:cs="宋体"/>
                <w:b/>
                <w:bCs w:val="0"/>
                <w:color w:val="auto"/>
                <w:sz w:val="24"/>
                <w:szCs w:val="24"/>
                <w:highlight w:val="none"/>
                <w:lang w:eastAsia="zh-CN"/>
              </w:rPr>
              <w:t>年</w:t>
            </w:r>
            <w:r>
              <w:rPr>
                <w:rFonts w:hint="eastAsia" w:ascii="宋体" w:hAnsi="宋体" w:eastAsia="宋体" w:cs="宋体"/>
                <w:b/>
                <w:bCs w:val="0"/>
                <w:color w:val="auto"/>
                <w:sz w:val="24"/>
                <w:szCs w:val="24"/>
                <w:highlight w:val="none"/>
                <w:lang w:val="en-US" w:eastAsia="zh-CN"/>
              </w:rPr>
              <w:t>8</w:t>
            </w:r>
            <w:r>
              <w:rPr>
                <w:rFonts w:hint="eastAsia" w:ascii="宋体" w:hAnsi="宋体" w:eastAsia="宋体" w:cs="宋体"/>
                <w:b/>
                <w:bCs w:val="0"/>
                <w:color w:val="auto"/>
                <w:sz w:val="24"/>
                <w:szCs w:val="24"/>
                <w:highlight w:val="none"/>
                <w:lang w:eastAsia="zh-CN"/>
              </w:rPr>
              <w:t>月</w:t>
            </w:r>
            <w:r>
              <w:rPr>
                <w:rFonts w:hint="eastAsia" w:ascii="宋体" w:hAnsi="宋体" w:eastAsia="宋体" w:cs="宋体"/>
                <w:b/>
                <w:bCs w:val="0"/>
                <w:color w:val="auto"/>
                <w:sz w:val="24"/>
                <w:szCs w:val="24"/>
                <w:highlight w:val="none"/>
                <w:lang w:val="en-US" w:eastAsia="zh-CN"/>
              </w:rPr>
              <w:t>上旬进行第一次验收，验收合格后202</w:t>
            </w:r>
            <w:r>
              <w:rPr>
                <w:rFonts w:hint="eastAsia" w:ascii="宋体" w:hAnsi="宋体" w:cs="宋体"/>
                <w:b/>
                <w:bCs w:val="0"/>
                <w:color w:val="auto"/>
                <w:sz w:val="24"/>
                <w:szCs w:val="24"/>
                <w:highlight w:val="none"/>
                <w:lang w:val="en-US" w:eastAsia="zh-CN"/>
              </w:rPr>
              <w:t>5</w:t>
            </w:r>
            <w:r>
              <w:rPr>
                <w:rFonts w:hint="eastAsia" w:ascii="宋体" w:hAnsi="宋体" w:eastAsia="宋体" w:cs="宋体"/>
                <w:b/>
                <w:bCs w:val="0"/>
                <w:color w:val="auto"/>
                <w:sz w:val="24"/>
                <w:szCs w:val="24"/>
                <w:highlight w:val="none"/>
                <w:lang w:val="en-US" w:eastAsia="zh-CN"/>
              </w:rPr>
              <w:t>年10月上旬付合同价的40%，202</w:t>
            </w:r>
            <w:r>
              <w:rPr>
                <w:rFonts w:hint="eastAsia" w:ascii="宋体" w:hAnsi="宋体" w:cs="宋体"/>
                <w:b/>
                <w:bCs w:val="0"/>
                <w:color w:val="auto"/>
                <w:sz w:val="24"/>
                <w:szCs w:val="24"/>
                <w:highlight w:val="none"/>
                <w:lang w:val="en-US" w:eastAsia="zh-CN"/>
              </w:rPr>
              <w:t>5</w:t>
            </w:r>
            <w:r>
              <w:rPr>
                <w:rFonts w:hint="eastAsia" w:ascii="宋体" w:hAnsi="宋体" w:eastAsia="宋体" w:cs="宋体"/>
                <w:b/>
                <w:bCs w:val="0"/>
                <w:color w:val="auto"/>
                <w:sz w:val="24"/>
                <w:szCs w:val="24"/>
                <w:highlight w:val="none"/>
                <w:lang w:val="en-US" w:eastAsia="zh-CN"/>
              </w:rPr>
              <w:t>年11月中旬最终验收合格后，一次性无息付清剩余款项。</w:t>
            </w:r>
          </w:p>
        </w:tc>
      </w:tr>
      <w:tr w14:paraId="742E9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641CEC0E">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2001" w:type="dxa"/>
            <w:noWrap w:val="0"/>
            <w:vAlign w:val="center"/>
          </w:tcPr>
          <w:p w14:paraId="096275F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磋商响应方资格要求</w:t>
            </w:r>
          </w:p>
        </w:tc>
        <w:tc>
          <w:tcPr>
            <w:tcW w:w="6865" w:type="dxa"/>
            <w:noWrap w:val="0"/>
            <w:vAlign w:val="center"/>
          </w:tcPr>
          <w:p w14:paraId="0EA458A1">
            <w:pPr>
              <w:pStyle w:val="15"/>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kern w:val="2"/>
                <w:sz w:val="24"/>
                <w:szCs w:val="24"/>
                <w:highlight w:val="none"/>
                <w:lang w:val="en-US"/>
              </w:rPr>
            </w:pPr>
            <w:r>
              <w:rPr>
                <w:rFonts w:hint="eastAsia" w:ascii="宋体" w:hAnsi="宋体" w:eastAsia="宋体" w:cs="宋体"/>
                <w:b/>
                <w:bCs/>
                <w:color w:val="auto"/>
                <w:kern w:val="2"/>
                <w:sz w:val="24"/>
                <w:szCs w:val="24"/>
                <w:highlight w:val="none"/>
              </w:rPr>
              <w:t>详见磋商响应方须知：</w:t>
            </w:r>
            <w:r>
              <w:rPr>
                <w:rFonts w:hint="eastAsia" w:ascii="宋体" w:hAnsi="宋体" w:eastAsia="宋体" w:cs="宋体"/>
                <w:b/>
                <w:bCs/>
                <w:color w:val="auto"/>
                <w:kern w:val="2"/>
                <w:sz w:val="24"/>
                <w:szCs w:val="24"/>
                <w:highlight w:val="none"/>
                <w:lang w:val="en-US" w:eastAsia="zh-CN"/>
              </w:rPr>
              <w:t>三、供应商应具备的条件</w:t>
            </w:r>
          </w:p>
        </w:tc>
      </w:tr>
      <w:tr w14:paraId="6D049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7D87D673">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2001" w:type="dxa"/>
            <w:noWrap w:val="0"/>
            <w:vAlign w:val="center"/>
          </w:tcPr>
          <w:p w14:paraId="0198392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资格审查方式</w:t>
            </w:r>
          </w:p>
        </w:tc>
        <w:tc>
          <w:tcPr>
            <w:tcW w:w="6865" w:type="dxa"/>
            <w:noWrap w:val="0"/>
            <w:vAlign w:val="center"/>
          </w:tcPr>
          <w:p w14:paraId="396388B0">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资格后审</w:t>
            </w:r>
          </w:p>
        </w:tc>
      </w:tr>
      <w:tr w14:paraId="5A907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675E2679">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2001" w:type="dxa"/>
            <w:noWrap w:val="0"/>
            <w:vAlign w:val="center"/>
          </w:tcPr>
          <w:p w14:paraId="75B5E31B">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磋商有效期</w:t>
            </w:r>
          </w:p>
        </w:tc>
        <w:tc>
          <w:tcPr>
            <w:tcW w:w="6865" w:type="dxa"/>
            <w:noWrap w:val="0"/>
            <w:vAlign w:val="center"/>
          </w:tcPr>
          <w:p w14:paraId="06C29E3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自递交磋商响应文件截止之日起60个日历日</w:t>
            </w:r>
          </w:p>
        </w:tc>
      </w:tr>
      <w:tr w14:paraId="57C25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725" w:type="dxa"/>
            <w:noWrap w:val="0"/>
            <w:vAlign w:val="center"/>
          </w:tcPr>
          <w:p w14:paraId="30FA37E6">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2001" w:type="dxa"/>
            <w:noWrap w:val="0"/>
            <w:vAlign w:val="center"/>
          </w:tcPr>
          <w:p w14:paraId="33DBE027">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6865" w:type="dxa"/>
            <w:noWrap w:val="0"/>
            <w:vAlign w:val="center"/>
          </w:tcPr>
          <w:p w14:paraId="2DFE7622">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根据《山东省财政厅关于取消政府采购投标保证金等有关事项的通知》（鲁财采〔2019〕40 号），本项目不收取履约保证金。</w:t>
            </w:r>
          </w:p>
        </w:tc>
      </w:tr>
      <w:tr w14:paraId="574A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725" w:type="dxa"/>
            <w:noWrap w:val="0"/>
            <w:vAlign w:val="center"/>
          </w:tcPr>
          <w:p w14:paraId="75A673F7">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2001" w:type="dxa"/>
            <w:noWrap w:val="0"/>
            <w:vAlign w:val="center"/>
          </w:tcPr>
          <w:p w14:paraId="6C8023B6">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纸质响应文件的密封</w:t>
            </w:r>
          </w:p>
        </w:tc>
        <w:tc>
          <w:tcPr>
            <w:tcW w:w="6865" w:type="dxa"/>
            <w:noWrap w:val="0"/>
            <w:vAlign w:val="center"/>
          </w:tcPr>
          <w:p w14:paraId="4E084B2E">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1、密封套封口处应加盖供应商单位公章或由授权委托人签字。</w:t>
            </w:r>
          </w:p>
          <w:p w14:paraId="4C34CBDB">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2、未按照上述要求密封及在密封套标注的，其响应文件将均被拒绝。</w:t>
            </w:r>
          </w:p>
        </w:tc>
      </w:tr>
      <w:tr w14:paraId="19933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2" w:hRule="atLeast"/>
          <w:jc w:val="center"/>
        </w:trPr>
        <w:tc>
          <w:tcPr>
            <w:tcW w:w="725" w:type="dxa"/>
            <w:noWrap w:val="0"/>
            <w:vAlign w:val="center"/>
          </w:tcPr>
          <w:p w14:paraId="092D7752">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2001" w:type="dxa"/>
            <w:noWrap w:val="0"/>
            <w:vAlign w:val="center"/>
          </w:tcPr>
          <w:p w14:paraId="6559E3E1">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纸质响应文件</w:t>
            </w:r>
          </w:p>
          <w:p w14:paraId="170D74D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装订要求</w:t>
            </w:r>
          </w:p>
        </w:tc>
        <w:tc>
          <w:tcPr>
            <w:tcW w:w="6865" w:type="dxa"/>
            <w:noWrap w:val="0"/>
            <w:vAlign w:val="center"/>
          </w:tcPr>
          <w:p w14:paraId="50E11C10">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一份正本，四份副本。</w:t>
            </w:r>
          </w:p>
          <w:p w14:paraId="23B6EC0E">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应按竞争性磋商文件提供的格式胶装成册，响应文件的正本与副本应分别装订成册，响应文件每册均须采用胶装方式在左侧装订，装订应牢固、不易拆散和换页，不得采用活页装订。</w:t>
            </w:r>
          </w:p>
        </w:tc>
      </w:tr>
      <w:tr w14:paraId="43CF6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5" w:type="dxa"/>
            <w:noWrap w:val="0"/>
            <w:vAlign w:val="center"/>
          </w:tcPr>
          <w:p w14:paraId="7E3D605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2001" w:type="dxa"/>
            <w:noWrap w:val="0"/>
            <w:vAlign w:val="center"/>
          </w:tcPr>
          <w:p w14:paraId="5B5E3A9E">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响应文件递交地点及截止时间</w:t>
            </w:r>
          </w:p>
        </w:tc>
        <w:tc>
          <w:tcPr>
            <w:tcW w:w="6865" w:type="dxa"/>
            <w:noWrap w:val="0"/>
            <w:vAlign w:val="center"/>
          </w:tcPr>
          <w:p w14:paraId="26E7B851">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递交地点：</w:t>
            </w:r>
            <w:r>
              <w:rPr>
                <w:rFonts w:hint="eastAsia" w:ascii="宋体" w:hAnsi="宋体" w:eastAsia="宋体" w:cs="宋体"/>
                <w:color w:val="auto"/>
                <w:sz w:val="24"/>
                <w:szCs w:val="24"/>
                <w:highlight w:val="none"/>
                <w:lang w:eastAsia="zh-CN"/>
              </w:rPr>
              <w:t>邹城市太平镇公共资源交易中心开标室</w:t>
            </w:r>
          </w:p>
          <w:p w14:paraId="08647528">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截止时间：</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lang w:eastAsia="zh-CN"/>
              </w:rPr>
              <w:t>日</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时</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sz w:val="24"/>
                <w:szCs w:val="24"/>
                <w:highlight w:val="none"/>
              </w:rPr>
              <w:t>（北京时间）</w:t>
            </w:r>
          </w:p>
        </w:tc>
      </w:tr>
      <w:tr w14:paraId="20376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725" w:type="dxa"/>
            <w:noWrap w:val="0"/>
            <w:vAlign w:val="center"/>
          </w:tcPr>
          <w:p w14:paraId="026A53FC">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p>
        </w:tc>
        <w:tc>
          <w:tcPr>
            <w:tcW w:w="2001" w:type="dxa"/>
            <w:noWrap w:val="0"/>
            <w:vAlign w:val="center"/>
          </w:tcPr>
          <w:p w14:paraId="0251BAEB">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磋商时间及地点</w:t>
            </w:r>
          </w:p>
        </w:tc>
        <w:tc>
          <w:tcPr>
            <w:tcW w:w="6865" w:type="dxa"/>
            <w:noWrap w:val="0"/>
            <w:vAlign w:val="center"/>
          </w:tcPr>
          <w:p w14:paraId="24AAA410">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磋商时间：</w:t>
            </w:r>
            <w:r>
              <w:rPr>
                <w:rFonts w:hint="eastAsia" w:ascii="宋体" w:hAnsi="宋体" w:eastAsia="宋体" w:cs="宋体"/>
                <w:color w:val="auto"/>
                <w:sz w:val="24"/>
                <w:szCs w:val="24"/>
                <w:highlight w:val="none"/>
                <w:lang w:eastAsia="zh-CN"/>
              </w:rPr>
              <w:t>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05</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lang w:eastAsia="zh-CN"/>
              </w:rPr>
              <w:t>日</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时</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eastAsia="zh-CN"/>
              </w:rPr>
              <w:t>分</w:t>
            </w:r>
            <w:r>
              <w:rPr>
                <w:rFonts w:hint="eastAsia" w:ascii="宋体" w:hAnsi="宋体" w:eastAsia="宋体" w:cs="宋体"/>
                <w:color w:val="auto"/>
                <w:kern w:val="0"/>
                <w:sz w:val="24"/>
                <w:szCs w:val="24"/>
                <w:highlight w:val="none"/>
              </w:rPr>
              <w:t>（北京时间）</w:t>
            </w:r>
          </w:p>
          <w:p w14:paraId="2EB36DB3">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磋商地点：</w:t>
            </w:r>
            <w:r>
              <w:rPr>
                <w:rFonts w:hint="eastAsia" w:ascii="宋体" w:hAnsi="宋体" w:eastAsia="宋体" w:cs="宋体"/>
                <w:color w:val="auto"/>
                <w:sz w:val="24"/>
                <w:szCs w:val="24"/>
                <w:highlight w:val="none"/>
                <w:lang w:eastAsia="zh-CN"/>
              </w:rPr>
              <w:t>邹城市太平镇公共资源交易中心开标室</w:t>
            </w:r>
          </w:p>
        </w:tc>
      </w:tr>
      <w:tr w14:paraId="5D6EF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725" w:type="dxa"/>
            <w:noWrap w:val="0"/>
            <w:vAlign w:val="center"/>
          </w:tcPr>
          <w:p w14:paraId="323A807B">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p>
        </w:tc>
        <w:tc>
          <w:tcPr>
            <w:tcW w:w="2001" w:type="dxa"/>
            <w:noWrap w:val="0"/>
            <w:vAlign w:val="center"/>
          </w:tcPr>
          <w:p w14:paraId="314998A9">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成交原则</w:t>
            </w:r>
          </w:p>
        </w:tc>
        <w:tc>
          <w:tcPr>
            <w:tcW w:w="6865" w:type="dxa"/>
            <w:noWrap w:val="0"/>
            <w:vAlign w:val="center"/>
          </w:tcPr>
          <w:p w14:paraId="5E0FD948">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本项目采用综合评分法，是指响应文件满足磋商文件全部实质性要求且按评审因素的量化指标评审得分，按照评审得分由高到低顺序推荐成交候选供应商的评审方法。</w:t>
            </w:r>
          </w:p>
          <w:p w14:paraId="17A5CFBC">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总得分相同者，最终报价低者排名优先；最终报价也相同的，技术部分得分高者排名优先；技术部分得分也相同的，按供应商磋商响应文件递交登记表递交的先后顺序确定成交人，排序在前的为最终成交供应商。</w:t>
            </w:r>
          </w:p>
        </w:tc>
      </w:tr>
      <w:tr w14:paraId="4CE19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725" w:type="dxa"/>
            <w:noWrap w:val="0"/>
            <w:vAlign w:val="center"/>
          </w:tcPr>
          <w:p w14:paraId="4230970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p>
        </w:tc>
        <w:tc>
          <w:tcPr>
            <w:tcW w:w="2001" w:type="dxa"/>
            <w:noWrap w:val="0"/>
            <w:vAlign w:val="center"/>
          </w:tcPr>
          <w:p w14:paraId="66CCF4B3">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磋商费用</w:t>
            </w:r>
          </w:p>
        </w:tc>
        <w:tc>
          <w:tcPr>
            <w:tcW w:w="6865" w:type="dxa"/>
            <w:noWrap w:val="0"/>
            <w:vAlign w:val="center"/>
          </w:tcPr>
          <w:p w14:paraId="1EAD6DCC">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1、无论报价过程中的方法和结果如何，各磋商响应方自行承担所有参与磋商的有关费用。</w:t>
            </w:r>
          </w:p>
          <w:p w14:paraId="730D538F">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color w:val="auto"/>
                <w:sz w:val="24"/>
                <w:szCs w:val="24"/>
                <w:highlight w:val="none"/>
              </w:rPr>
              <w:t>2、本次采购代理费</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25</w:t>
            </w:r>
            <w:r>
              <w:rPr>
                <w:rFonts w:hint="eastAsia" w:ascii="宋体" w:hAnsi="宋体" w:eastAsia="宋体" w:cs="宋体"/>
                <w:bCs/>
                <w:color w:val="auto"/>
                <w:sz w:val="24"/>
                <w:szCs w:val="24"/>
                <w:highlight w:val="none"/>
                <w:lang w:val="en-US" w:eastAsia="zh-CN"/>
              </w:rPr>
              <w:t>00.00</w:t>
            </w:r>
            <w:r>
              <w:rPr>
                <w:rFonts w:hint="eastAsia" w:ascii="宋体" w:hAnsi="宋体" w:eastAsia="宋体" w:cs="宋体"/>
                <w:bCs/>
                <w:color w:val="auto"/>
                <w:sz w:val="24"/>
                <w:szCs w:val="24"/>
                <w:highlight w:val="none"/>
              </w:rPr>
              <w:t>元</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成交通知书发出前，成交人从其账户一次性汇入代理机构指定账户。</w:t>
            </w:r>
          </w:p>
        </w:tc>
      </w:tr>
      <w:tr w14:paraId="3C804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5" w:type="dxa"/>
            <w:noWrap w:val="0"/>
            <w:vAlign w:val="center"/>
          </w:tcPr>
          <w:p w14:paraId="1EFA76A5">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p>
        </w:tc>
        <w:tc>
          <w:tcPr>
            <w:tcW w:w="2001" w:type="dxa"/>
            <w:noWrap w:val="0"/>
            <w:vAlign w:val="center"/>
          </w:tcPr>
          <w:p w14:paraId="0BF75374">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磋商采购预算</w:t>
            </w:r>
          </w:p>
        </w:tc>
        <w:tc>
          <w:tcPr>
            <w:tcW w:w="6865" w:type="dxa"/>
            <w:noWrap w:val="0"/>
            <w:vAlign w:val="center"/>
          </w:tcPr>
          <w:p w14:paraId="599E1380">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
                <w:color w:val="auto"/>
                <w:kern w:val="0"/>
                <w:sz w:val="24"/>
                <w:szCs w:val="24"/>
                <w:highlight w:val="none"/>
              </w:rPr>
            </w:pPr>
            <w:r>
              <w:rPr>
                <w:rFonts w:hint="eastAsia" w:ascii="宋体" w:hAnsi="宋体" w:eastAsia="宋体" w:cs="宋体"/>
                <w:b/>
                <w:bCs/>
                <w:color w:val="auto"/>
                <w:kern w:val="0"/>
                <w:sz w:val="24"/>
                <w:szCs w:val="24"/>
                <w:highlight w:val="none"/>
              </w:rPr>
              <w:t>本工程采购预算为</w:t>
            </w:r>
            <w:r>
              <w:rPr>
                <w:rFonts w:hint="eastAsia" w:ascii="宋体" w:hAnsi="宋体" w:eastAsia="宋体" w:cs="宋体"/>
                <w:b/>
                <w:bCs/>
                <w:color w:val="auto"/>
                <w:kern w:val="0"/>
                <w:sz w:val="24"/>
                <w:szCs w:val="24"/>
                <w:highlight w:val="none"/>
                <w:lang w:val="en-US" w:eastAsia="zh-CN"/>
              </w:rPr>
              <w:t>180000.00元。</w:t>
            </w:r>
          </w:p>
          <w:p w14:paraId="1375B15C">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采购预算价是采购人对采购项目期望的最高限价，磋商响应方的初次报价或最终报价不得高于采购预算价，磋商响应方最终报价高于采购预算价的，作无效磋商响应文件处理。</w:t>
            </w:r>
          </w:p>
        </w:tc>
      </w:tr>
      <w:tr w14:paraId="43778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5" w:type="dxa"/>
            <w:noWrap w:val="0"/>
            <w:vAlign w:val="center"/>
          </w:tcPr>
          <w:p w14:paraId="4C0CF0D1">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2001" w:type="dxa"/>
            <w:noWrap w:val="0"/>
            <w:vAlign w:val="center"/>
          </w:tcPr>
          <w:p w14:paraId="2B3B4B41">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本次磋商是否接受联合体</w:t>
            </w:r>
          </w:p>
        </w:tc>
        <w:tc>
          <w:tcPr>
            <w:tcW w:w="6865" w:type="dxa"/>
            <w:noWrap w:val="0"/>
            <w:vAlign w:val="center"/>
          </w:tcPr>
          <w:p w14:paraId="03C9E3FC">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本次磋商不接受联合体</w:t>
            </w:r>
          </w:p>
        </w:tc>
      </w:tr>
      <w:tr w14:paraId="03E9A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5" w:type="dxa"/>
            <w:noWrap w:val="0"/>
            <w:vAlign w:val="center"/>
          </w:tcPr>
          <w:p w14:paraId="42E6F8C9">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2001" w:type="dxa"/>
            <w:noWrap w:val="0"/>
            <w:vAlign w:val="center"/>
          </w:tcPr>
          <w:p w14:paraId="0A251DAF">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本次磋商是否接受备选方案</w:t>
            </w:r>
          </w:p>
        </w:tc>
        <w:tc>
          <w:tcPr>
            <w:tcW w:w="6865" w:type="dxa"/>
            <w:noWrap w:val="0"/>
            <w:vAlign w:val="center"/>
          </w:tcPr>
          <w:p w14:paraId="1E0F1729">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不接受</w:t>
            </w:r>
          </w:p>
        </w:tc>
      </w:tr>
      <w:tr w14:paraId="0399F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5" w:type="dxa"/>
            <w:vMerge w:val="restart"/>
            <w:noWrap w:val="0"/>
            <w:vAlign w:val="center"/>
          </w:tcPr>
          <w:p w14:paraId="1F8D568A">
            <w:pPr>
              <w:keepNext w:val="0"/>
              <w:keepLines w:val="0"/>
              <w:pageBreakBefore w:val="0"/>
              <w:kinsoku/>
              <w:wordWrap/>
              <w:overflowPunct/>
              <w:topLinePunct w:val="0"/>
              <w:bidi w:val="0"/>
              <w:adjustRightIn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0</w:t>
            </w:r>
          </w:p>
        </w:tc>
        <w:tc>
          <w:tcPr>
            <w:tcW w:w="2001" w:type="dxa"/>
            <w:noWrap w:val="0"/>
            <w:vAlign w:val="center"/>
          </w:tcPr>
          <w:p w14:paraId="3C8B4DF7">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质疑投诉内容</w:t>
            </w:r>
          </w:p>
        </w:tc>
        <w:tc>
          <w:tcPr>
            <w:tcW w:w="6865" w:type="dxa"/>
            <w:noWrap w:val="0"/>
            <w:vAlign w:val="center"/>
          </w:tcPr>
          <w:p w14:paraId="5C53587B">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根据《政府采购法实施条例》第二十条规定：采购人或者采购代理机构有下列情形之一的，属于以不合理的条件对</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实行差别待遇或者歧视待遇：潜在磋商响应方（</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）可向有关部门提起质疑、投诉：</w:t>
            </w:r>
          </w:p>
          <w:p w14:paraId="70322F3D">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（一）就同一采购项目向</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提供有差别的项目信息；</w:t>
            </w:r>
          </w:p>
          <w:p w14:paraId="7C430C5E">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（二）设定的资格、技术、商务条件与采购项目的具体特点和实际需要不相适应或者与合同履行无关；</w:t>
            </w:r>
          </w:p>
          <w:p w14:paraId="60E00FDC">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（三）采购需求中的技术、服务等要求指向特定</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、特定产品；</w:t>
            </w:r>
          </w:p>
          <w:p w14:paraId="0F4258B6">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（四）以特定行政区域或者特定行业的业绩、奖项作为加分条件或者中标、成交条件；</w:t>
            </w:r>
          </w:p>
          <w:p w14:paraId="300A9435">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（五）对</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采取不同的资格审查或者评审标准；</w:t>
            </w:r>
          </w:p>
          <w:p w14:paraId="368C5FBA">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（六）限定或者指定特定的专利、商标、品牌或者</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w:t>
            </w:r>
          </w:p>
          <w:p w14:paraId="4B113351">
            <w:pPr>
              <w:keepNext w:val="0"/>
              <w:keepLines w:val="0"/>
              <w:pageBreakBefore w:val="0"/>
              <w:widowControl/>
              <w:kinsoku/>
              <w:wordWrap/>
              <w:overflowPunct/>
              <w:topLinePunct w:val="0"/>
              <w:bidi w:val="0"/>
              <w:adjustRightInd/>
              <w:spacing w:line="360" w:lineRule="auto"/>
              <w:jc w:val="left"/>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（七）非法限定</w:t>
            </w:r>
            <w:r>
              <w:rPr>
                <w:rFonts w:hint="eastAsia" w:ascii="宋体" w:hAnsi="宋体" w:eastAsia="宋体" w:cs="宋体"/>
                <w:color w:val="auto"/>
                <w:sz w:val="24"/>
                <w:szCs w:val="24"/>
                <w:highlight w:val="none"/>
              </w:rPr>
              <w:t>供应商</w:t>
            </w:r>
            <w:r>
              <w:rPr>
                <w:rFonts w:hint="eastAsia" w:ascii="宋体" w:hAnsi="宋体" w:eastAsia="宋体" w:cs="宋体"/>
                <w:bCs/>
                <w:color w:val="auto"/>
                <w:kern w:val="0"/>
                <w:sz w:val="24"/>
                <w:szCs w:val="24"/>
                <w:highlight w:val="none"/>
              </w:rPr>
              <w:t>的所有制形式、组织形式或者所在地；</w:t>
            </w:r>
          </w:p>
          <w:p w14:paraId="3F0A5C5D">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spacing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kern w:val="0"/>
                <w:sz w:val="24"/>
                <w:szCs w:val="24"/>
                <w:highlight w:val="none"/>
              </w:rPr>
              <w:t>（八）以其他不合理条件限制或者排斥潜在</w:t>
            </w:r>
            <w:r>
              <w:rPr>
                <w:rFonts w:hint="eastAsia" w:ascii="宋体" w:hAnsi="宋体" w:eastAsia="宋体" w:cs="宋体"/>
                <w:color w:val="auto"/>
                <w:sz w:val="24"/>
                <w:szCs w:val="24"/>
                <w:highlight w:val="none"/>
              </w:rPr>
              <w:t>供应商</w:t>
            </w:r>
            <w:r>
              <w:rPr>
                <w:rFonts w:hint="eastAsia" w:ascii="宋体" w:hAnsi="宋体" w:eastAsia="宋体" w:cs="宋体"/>
                <w:color w:val="auto"/>
                <w:kern w:val="0"/>
                <w:sz w:val="24"/>
                <w:szCs w:val="24"/>
                <w:highlight w:val="none"/>
              </w:rPr>
              <w:t>。</w:t>
            </w:r>
          </w:p>
          <w:p w14:paraId="6577B7D3">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spacing w:line="360" w:lineRule="auto"/>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供应商在法定质疑期内需一次性提出针对同一采购程序环节的质疑。</w:t>
            </w:r>
          </w:p>
        </w:tc>
      </w:tr>
      <w:tr w14:paraId="50B74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725" w:type="dxa"/>
            <w:vMerge w:val="continue"/>
            <w:noWrap w:val="0"/>
            <w:vAlign w:val="center"/>
          </w:tcPr>
          <w:p w14:paraId="6EBC7F53">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p>
        </w:tc>
        <w:tc>
          <w:tcPr>
            <w:tcW w:w="2001" w:type="dxa"/>
            <w:noWrap w:val="0"/>
            <w:vAlign w:val="center"/>
          </w:tcPr>
          <w:p w14:paraId="485DC52A">
            <w:pPr>
              <w:keepNext w:val="0"/>
              <w:keepLines w:val="0"/>
              <w:pageBreakBefore w:val="0"/>
              <w:kinsoku/>
              <w:wordWrap/>
              <w:overflowPunct/>
              <w:topLinePunct w:val="0"/>
              <w:bidi w:val="0"/>
              <w:adjustRightIn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质疑方式及电话</w:t>
            </w:r>
          </w:p>
        </w:tc>
        <w:tc>
          <w:tcPr>
            <w:tcW w:w="6865" w:type="dxa"/>
            <w:noWrap w:val="0"/>
            <w:vAlign w:val="center"/>
          </w:tcPr>
          <w:p w14:paraId="4B8C32F2">
            <w:pPr>
              <w:keepNext w:val="0"/>
              <w:keepLines w:val="0"/>
              <w:pageBreakBefore w:val="0"/>
              <w:kinsoku/>
              <w:wordWrap/>
              <w:overflowPunct/>
              <w:topLinePunct w:val="0"/>
              <w:bidi w:val="0"/>
              <w:adjustRightInd/>
              <w:spacing w:line="360" w:lineRule="auto"/>
              <w:jc w:val="left"/>
              <w:textAlignment w:val="auto"/>
              <w:rPr>
                <w:rFonts w:hint="eastAsia" w:ascii="宋体" w:hAnsi="宋体" w:eastAsia="宋体" w:cs="宋体"/>
                <w:b w:val="0"/>
                <w:bCs w:val="0"/>
                <w:color w:val="auto"/>
                <w:sz w:val="24"/>
                <w:szCs w:val="24"/>
                <w:highlight w:val="none"/>
                <w:u w:val="none"/>
              </w:rPr>
            </w:pPr>
            <w:r>
              <w:rPr>
                <w:rFonts w:hint="eastAsia" w:ascii="宋体" w:hAnsi="宋体" w:eastAsia="宋体" w:cs="宋体"/>
                <w:color w:val="auto"/>
                <w:sz w:val="24"/>
                <w:szCs w:val="24"/>
                <w:highlight w:val="none"/>
              </w:rPr>
              <w:t>质疑：参加磋商的供应商认为磋商文件、磋商过程和成交结果使自己的合法权益受到损害的，有权依</w:t>
            </w:r>
            <w:r>
              <w:rPr>
                <w:rFonts w:hint="eastAsia" w:ascii="宋体" w:hAnsi="宋体" w:eastAsia="宋体" w:cs="宋体"/>
                <w:b w:val="0"/>
                <w:bCs w:val="0"/>
                <w:color w:val="auto"/>
                <w:sz w:val="24"/>
                <w:szCs w:val="24"/>
                <w:highlight w:val="none"/>
                <w:u w:val="none"/>
              </w:rPr>
              <w:fldChar w:fldCharType="begin"/>
            </w:r>
            <w:r>
              <w:rPr>
                <w:rFonts w:hint="eastAsia" w:ascii="宋体" w:hAnsi="宋体" w:eastAsia="宋体" w:cs="宋体"/>
                <w:b w:val="0"/>
                <w:bCs w:val="0"/>
                <w:color w:val="auto"/>
                <w:sz w:val="24"/>
                <w:szCs w:val="24"/>
                <w:highlight w:val="none"/>
                <w:u w:val="none"/>
              </w:rPr>
              <w:instrText xml:space="preserve"> HYPERLINK "mailto:法向采购人或采购代理机构提出质疑。所有质疑以书面形式递交，同时发邮件至Szhrxmgl@163.com。" </w:instrText>
            </w:r>
            <w:r>
              <w:rPr>
                <w:rFonts w:hint="eastAsia" w:ascii="宋体" w:hAnsi="宋体" w:eastAsia="宋体" w:cs="宋体"/>
                <w:b w:val="0"/>
                <w:bCs w:val="0"/>
                <w:color w:val="auto"/>
                <w:sz w:val="24"/>
                <w:szCs w:val="24"/>
                <w:highlight w:val="none"/>
                <w:u w:val="none"/>
              </w:rPr>
              <w:fldChar w:fldCharType="separate"/>
            </w:r>
            <w:r>
              <w:rPr>
                <w:rStyle w:val="21"/>
                <w:rFonts w:hint="eastAsia" w:ascii="宋体" w:hAnsi="宋体" w:eastAsia="宋体" w:cs="宋体"/>
                <w:b w:val="0"/>
                <w:bCs w:val="0"/>
                <w:color w:val="auto"/>
                <w:sz w:val="24"/>
                <w:szCs w:val="24"/>
                <w:highlight w:val="none"/>
                <w:u w:val="none"/>
              </w:rPr>
              <w:t>法向采购人或采购代理机构提出质疑。所有质疑以书面形式递交，同时发邮件至</w:t>
            </w:r>
            <w:r>
              <w:rPr>
                <w:rStyle w:val="21"/>
                <w:rFonts w:hint="eastAsia" w:ascii="宋体" w:hAnsi="宋体" w:eastAsia="宋体" w:cs="宋体"/>
                <w:b w:val="0"/>
                <w:bCs w:val="0"/>
                <w:color w:val="auto"/>
                <w:sz w:val="24"/>
                <w:szCs w:val="24"/>
                <w:highlight w:val="none"/>
                <w:u w:val="none"/>
                <w:lang w:val="en-US" w:eastAsia="zh-CN"/>
              </w:rPr>
              <w:t>Zcshxxmgl@163.com</w:t>
            </w:r>
            <w:r>
              <w:rPr>
                <w:rStyle w:val="21"/>
                <w:rFonts w:hint="eastAsia" w:ascii="宋体" w:hAnsi="宋体" w:eastAsia="宋体" w:cs="宋体"/>
                <w:b w:val="0"/>
                <w:bCs w:val="0"/>
                <w:color w:val="auto"/>
                <w:sz w:val="24"/>
                <w:szCs w:val="24"/>
                <w:highlight w:val="none"/>
                <w:u w:val="none"/>
              </w:rPr>
              <w:t>。</w:t>
            </w:r>
            <w:r>
              <w:rPr>
                <w:rFonts w:hint="eastAsia" w:ascii="宋体" w:hAnsi="宋体" w:eastAsia="宋体" w:cs="宋体"/>
                <w:b w:val="0"/>
                <w:bCs w:val="0"/>
                <w:color w:val="auto"/>
                <w:sz w:val="24"/>
                <w:szCs w:val="24"/>
                <w:highlight w:val="none"/>
                <w:u w:val="none"/>
              </w:rPr>
              <w:fldChar w:fldCharType="end"/>
            </w:r>
          </w:p>
          <w:p w14:paraId="19E22BD5">
            <w:pPr>
              <w:pStyle w:val="17"/>
              <w:ind w:left="0" w:leftChars="0" w:firstLine="0" w:firstLineChars="0"/>
              <w:jc w:val="left"/>
              <w:rPr>
                <w:rFonts w:hint="eastAsia" w:ascii="宋体" w:hAnsi="宋体" w:eastAsia="宋体" w:cs="宋体"/>
                <w:sz w:val="24"/>
                <w:szCs w:val="24"/>
                <w:highlight w:val="none"/>
              </w:rPr>
            </w:pPr>
            <w:r>
              <w:rPr>
                <w:rFonts w:hint="eastAsia" w:ascii="宋体" w:hAnsi="宋体" w:eastAsia="宋体" w:cs="宋体"/>
                <w:sz w:val="24"/>
                <w:szCs w:val="24"/>
              </w:rPr>
              <w:t>采 购</w:t>
            </w:r>
            <w:r>
              <w:rPr>
                <w:rFonts w:hint="eastAsia" w:ascii="宋体" w:hAnsi="宋体" w:eastAsia="宋体" w:cs="宋体"/>
                <w:sz w:val="24"/>
                <w:szCs w:val="24"/>
                <w:highlight w:val="none"/>
              </w:rPr>
              <w:t xml:space="preserve"> 人：邹城市太平镇人民政府</w:t>
            </w:r>
          </w:p>
          <w:p w14:paraId="45EA6E26">
            <w:pPr>
              <w:pStyle w:val="17"/>
              <w:ind w:left="0" w:leftChars="0" w:firstLine="0" w:firstLineChars="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联 系 人：</w:t>
            </w:r>
            <w:r>
              <w:rPr>
                <w:rFonts w:hint="eastAsia" w:ascii="宋体" w:hAnsi="宋体" w:eastAsia="宋体" w:cs="宋体"/>
                <w:sz w:val="24"/>
                <w:szCs w:val="24"/>
                <w:highlight w:val="none"/>
                <w:lang w:val="en-US" w:eastAsia="zh-CN"/>
              </w:rPr>
              <w:t xml:space="preserve">孙兆峰  </w:t>
            </w:r>
          </w:p>
          <w:p w14:paraId="19342A38">
            <w:pPr>
              <w:pStyle w:val="17"/>
              <w:ind w:left="0" w:leftChars="0" w:firstLine="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val="en-US" w:eastAsia="zh-CN"/>
              </w:rPr>
              <w:t>13805470277</w:t>
            </w:r>
          </w:p>
          <w:p w14:paraId="67FE2567">
            <w:pPr>
              <w:pStyle w:val="17"/>
              <w:ind w:left="0" w:leftChars="0"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highlight w:val="none"/>
              </w:rPr>
              <w:t>采购代理机构：</w:t>
            </w:r>
            <w:r>
              <w:rPr>
                <w:rFonts w:hint="eastAsia" w:ascii="宋体" w:hAnsi="宋体" w:eastAsia="宋体" w:cs="宋体"/>
                <w:sz w:val="24"/>
                <w:szCs w:val="24"/>
                <w:highlight w:val="none"/>
                <w:lang w:eastAsia="zh-CN"/>
              </w:rPr>
              <w:t>邹城市宏新</w:t>
            </w:r>
            <w:r>
              <w:rPr>
                <w:rFonts w:hint="eastAsia" w:ascii="宋体" w:hAnsi="宋体" w:eastAsia="宋体" w:cs="宋体"/>
                <w:sz w:val="24"/>
                <w:szCs w:val="24"/>
                <w:lang w:eastAsia="zh-CN"/>
              </w:rPr>
              <w:t>项目管理有限公司</w:t>
            </w:r>
          </w:p>
          <w:p w14:paraId="792298A8">
            <w:pPr>
              <w:pStyle w:val="17"/>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刘雨欣</w:t>
            </w:r>
          </w:p>
          <w:p w14:paraId="6D1738BB">
            <w:pPr>
              <w:pStyle w:val="17"/>
              <w:ind w:left="0" w:leftChars="0" w:firstLine="0" w:firstLineChars="0"/>
              <w:jc w:val="left"/>
              <w:rPr>
                <w:rFonts w:hint="eastAsia"/>
              </w:rPr>
            </w:pPr>
            <w:r>
              <w:rPr>
                <w:rFonts w:hint="eastAsia" w:ascii="宋体" w:hAnsi="宋体" w:eastAsia="宋体" w:cs="宋体"/>
                <w:sz w:val="24"/>
                <w:szCs w:val="24"/>
              </w:rPr>
              <w:t>联系电话：</w:t>
            </w:r>
            <w:r>
              <w:rPr>
                <w:rFonts w:hint="eastAsia" w:ascii="宋体" w:hAnsi="宋体" w:cs="宋体"/>
                <w:bCs/>
                <w:color w:val="auto"/>
                <w:sz w:val="24"/>
                <w:highlight w:val="none"/>
                <w:lang w:val="en-US" w:eastAsia="zh-CN"/>
              </w:rPr>
              <w:t>15315170602、15106475022</w:t>
            </w:r>
          </w:p>
        </w:tc>
      </w:tr>
    </w:tbl>
    <w:p w14:paraId="2AD5E5EB">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2D124B80">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61C1F043">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7966949F">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1F0A69B3">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03B1B589">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39F3E48C">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1C092895">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69CEE08B">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b/>
          <w:color w:val="auto"/>
          <w:kern w:val="0"/>
          <w:sz w:val="28"/>
          <w:szCs w:val="28"/>
          <w:highlight w:val="none"/>
        </w:rPr>
      </w:pPr>
    </w:p>
    <w:p w14:paraId="2FC2A250">
      <w:pPr>
        <w:rPr>
          <w:rFonts w:hint="eastAsia" w:ascii="宋体" w:hAnsi="宋体" w:eastAsia="宋体" w:cs="宋体"/>
          <w:b/>
          <w:color w:val="auto"/>
          <w:kern w:val="0"/>
          <w:sz w:val="28"/>
          <w:szCs w:val="28"/>
          <w:highlight w:val="none"/>
        </w:rPr>
      </w:pPr>
    </w:p>
    <w:p w14:paraId="14ED360E">
      <w:pPr>
        <w:pStyle w:val="3"/>
        <w:keepNext w:val="0"/>
        <w:keepLines w:val="0"/>
        <w:pageBreakBefore w:val="0"/>
        <w:kinsoku/>
        <w:wordWrap/>
        <w:overflowPunct/>
        <w:topLinePunct w:val="0"/>
        <w:bidi w:val="0"/>
        <w:adjustRightInd/>
        <w:snapToGrid w:val="0"/>
        <w:spacing w:before="0" w:after="0" w:line="360" w:lineRule="auto"/>
        <w:ind w:left="0" w:leftChars="0" w:right="0" w:rightChars="0"/>
        <w:jc w:val="both"/>
        <w:textAlignment w:val="auto"/>
        <w:rPr>
          <w:rFonts w:hint="eastAsia" w:ascii="宋体" w:hAnsi="宋体" w:eastAsia="宋体" w:cs="宋体"/>
          <w:b/>
          <w:color w:val="auto"/>
          <w:kern w:val="0"/>
          <w:sz w:val="28"/>
          <w:szCs w:val="28"/>
          <w:highlight w:val="none"/>
        </w:rPr>
      </w:pPr>
    </w:p>
    <w:p w14:paraId="2C6BF95D">
      <w:pPr>
        <w:pStyle w:val="3"/>
        <w:keepNext w:val="0"/>
        <w:keepLines w:val="0"/>
        <w:pageBreakBefore w:val="0"/>
        <w:kinsoku/>
        <w:wordWrap/>
        <w:overflowPunct/>
        <w:topLinePunct w:val="0"/>
        <w:bidi w:val="0"/>
        <w:adjustRightInd/>
        <w:snapToGrid w:val="0"/>
        <w:spacing w:before="0" w:after="0" w:line="360" w:lineRule="auto"/>
        <w:ind w:left="0" w:leftChars="0" w:right="0" w:rightChars="0"/>
        <w:jc w:val="center"/>
        <w:textAlignment w:val="auto"/>
        <w:rPr>
          <w:rFonts w:hint="eastAsia" w:ascii="宋体" w:hAnsi="宋体" w:eastAsia="宋体" w:cs="宋体"/>
          <w:sz w:val="28"/>
          <w:szCs w:val="28"/>
          <w:highlight w:val="none"/>
        </w:rPr>
      </w:pPr>
      <w:r>
        <w:rPr>
          <w:rFonts w:hint="eastAsia" w:ascii="宋体" w:hAnsi="宋体" w:eastAsia="宋体" w:cs="宋体"/>
          <w:b/>
          <w:color w:val="auto"/>
          <w:kern w:val="0"/>
          <w:sz w:val="28"/>
          <w:szCs w:val="28"/>
          <w:highlight w:val="none"/>
        </w:rPr>
        <w:t>二、磋商响应方须知</w:t>
      </w:r>
    </w:p>
    <w:bookmarkEnd w:id="11"/>
    <w:bookmarkEnd w:id="12"/>
    <w:bookmarkEnd w:id="13"/>
    <w:p w14:paraId="1BDC86C8">
      <w:pPr>
        <w:tabs>
          <w:tab w:val="left" w:pos="315"/>
        </w:tabs>
        <w:spacing w:line="360" w:lineRule="auto"/>
        <w:ind w:firstLine="482" w:firstLineChars="200"/>
        <w:rPr>
          <w:rFonts w:hint="eastAsia" w:ascii="宋体" w:hAnsi="宋体" w:eastAsia="宋体" w:cs="宋体"/>
          <w:b/>
          <w:color w:val="000000"/>
          <w:sz w:val="24"/>
          <w:szCs w:val="24"/>
        </w:rPr>
      </w:pPr>
      <w:bookmarkStart w:id="14" w:name="_Toc368606606"/>
      <w:bookmarkStart w:id="15" w:name="_Toc368599813"/>
      <w:bookmarkStart w:id="16" w:name="_Toc455751631"/>
      <w:bookmarkStart w:id="17" w:name="_Toc455751435"/>
      <w:r>
        <w:rPr>
          <w:rFonts w:hint="eastAsia" w:ascii="宋体" w:hAnsi="宋体" w:eastAsia="宋体" w:cs="宋体"/>
          <w:b/>
          <w:color w:val="000000"/>
          <w:sz w:val="24"/>
          <w:szCs w:val="24"/>
        </w:rPr>
        <w:t>一、适用范围：</w:t>
      </w:r>
    </w:p>
    <w:p w14:paraId="1F3C6BD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本磋商文件仅适用于</w:t>
      </w:r>
      <w:r>
        <w:rPr>
          <w:rFonts w:hint="eastAsia" w:ascii="宋体" w:hAnsi="宋体" w:eastAsia="宋体" w:cs="宋体"/>
          <w:color w:val="000000"/>
          <w:sz w:val="24"/>
          <w:szCs w:val="24"/>
          <w:lang w:eastAsia="zh-CN"/>
        </w:rPr>
        <w:t>邹城市太平镇</w:t>
      </w:r>
      <w:r>
        <w:rPr>
          <w:rFonts w:hint="eastAsia" w:ascii="宋体" w:hAnsi="宋体" w:cs="宋体"/>
          <w:color w:val="000000"/>
          <w:sz w:val="24"/>
          <w:szCs w:val="24"/>
          <w:lang w:eastAsia="zh-CN"/>
        </w:rPr>
        <w:t>2025</w:t>
      </w:r>
      <w:r>
        <w:rPr>
          <w:rFonts w:hint="eastAsia" w:ascii="宋体" w:hAnsi="宋体" w:eastAsia="宋体" w:cs="宋体"/>
          <w:color w:val="000000"/>
          <w:sz w:val="24"/>
          <w:szCs w:val="24"/>
          <w:lang w:eastAsia="zh-CN"/>
        </w:rPr>
        <w:t>年度林业有害生物防治服务采购项目</w:t>
      </w:r>
      <w:r>
        <w:rPr>
          <w:rFonts w:hint="eastAsia" w:ascii="宋体" w:hAnsi="宋体" w:eastAsia="宋体" w:cs="宋体"/>
          <w:color w:val="000000"/>
          <w:sz w:val="24"/>
          <w:szCs w:val="24"/>
        </w:rPr>
        <w:t>。</w:t>
      </w:r>
    </w:p>
    <w:p w14:paraId="42144BB8">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二、定义：</w:t>
      </w:r>
    </w:p>
    <w:p w14:paraId="7E01499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1、“采购人”系指</w:t>
      </w:r>
      <w:r>
        <w:rPr>
          <w:rFonts w:hint="eastAsia" w:ascii="宋体" w:hAnsi="宋体" w:eastAsia="宋体" w:cs="宋体"/>
          <w:color w:val="000000"/>
          <w:sz w:val="24"/>
          <w:szCs w:val="24"/>
          <w:lang w:eastAsia="zh-CN"/>
        </w:rPr>
        <w:t>邹城市</w:t>
      </w:r>
      <w:r>
        <w:rPr>
          <w:rFonts w:hint="eastAsia" w:ascii="宋体" w:hAnsi="宋体" w:eastAsia="宋体" w:cs="宋体"/>
          <w:color w:val="000000"/>
          <w:sz w:val="24"/>
          <w:szCs w:val="24"/>
          <w:lang w:val="en-US" w:eastAsia="zh-CN"/>
        </w:rPr>
        <w:t>太平</w:t>
      </w:r>
      <w:r>
        <w:rPr>
          <w:rFonts w:hint="eastAsia" w:ascii="宋体" w:hAnsi="宋体" w:eastAsia="宋体" w:cs="宋体"/>
          <w:color w:val="000000"/>
          <w:sz w:val="24"/>
          <w:szCs w:val="24"/>
          <w:lang w:eastAsia="zh-CN"/>
        </w:rPr>
        <w:t>镇人民政府</w:t>
      </w:r>
      <w:r>
        <w:rPr>
          <w:rFonts w:hint="eastAsia" w:ascii="宋体" w:hAnsi="宋体" w:eastAsia="宋体" w:cs="宋体"/>
          <w:color w:val="000000"/>
          <w:sz w:val="24"/>
          <w:szCs w:val="24"/>
        </w:rPr>
        <w:t>。</w:t>
      </w:r>
    </w:p>
    <w:p w14:paraId="27160F7E">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2、“代理机构”系指</w:t>
      </w:r>
      <w:r>
        <w:rPr>
          <w:rFonts w:hint="eastAsia" w:ascii="宋体" w:hAnsi="宋体" w:eastAsia="宋体" w:cs="宋体"/>
          <w:color w:val="000000"/>
          <w:sz w:val="24"/>
          <w:szCs w:val="24"/>
          <w:lang w:val="en-US" w:eastAsia="zh-CN"/>
        </w:rPr>
        <w:t>邹城市宏新项目管理有限公司</w:t>
      </w:r>
      <w:r>
        <w:rPr>
          <w:rFonts w:hint="eastAsia" w:ascii="宋体" w:hAnsi="宋体" w:eastAsia="宋体" w:cs="宋体"/>
          <w:color w:val="000000"/>
          <w:sz w:val="24"/>
          <w:szCs w:val="24"/>
        </w:rPr>
        <w:t>。</w:t>
      </w:r>
    </w:p>
    <w:p w14:paraId="3A6C190C">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3、“磋商响应方”系指参与磋商并向采购人提交磋商响应文件的组织。</w:t>
      </w:r>
    </w:p>
    <w:p w14:paraId="6E871844">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4、“成交供应商”系指经法定程序确定并授予合同的磋商响应方。</w:t>
      </w:r>
    </w:p>
    <w:p w14:paraId="3EA72892">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三、供应商应具备的条件：</w:t>
      </w:r>
    </w:p>
    <w:p w14:paraId="0E15B196">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1、具备《政府采购法》第二十二条规定的条件。</w:t>
      </w:r>
    </w:p>
    <w:p w14:paraId="3651FA1E">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（一）具有独立承担民事责任的能力；</w:t>
      </w:r>
    </w:p>
    <w:p w14:paraId="64D8C67B">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（二）具有良好的商业信誉和健全的财务会计制度；</w:t>
      </w:r>
    </w:p>
    <w:p w14:paraId="0B127529">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（三）具有履行合同所必需的货物和专业技术能力；</w:t>
      </w:r>
    </w:p>
    <w:p w14:paraId="0FC98DB6">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（四）有依法缴纳税收和社会保障资金的良好记录；</w:t>
      </w:r>
    </w:p>
    <w:p w14:paraId="09F96326">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（五）参加政府采购活动前三年内，在经营活动中没有重大违法记录；</w:t>
      </w:r>
    </w:p>
    <w:p w14:paraId="20C9108E">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（六）法律、行政法规规定的其他条件。</w:t>
      </w:r>
    </w:p>
    <w:p w14:paraId="16D45B8E">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2、采购人可以根据采购项目的特殊要求，规定磋商响应方的特定条件，但不得以不合理的条件对磋商响应方实行差别待遇或者歧视待遇。</w:t>
      </w:r>
    </w:p>
    <w:p w14:paraId="58C38780">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2.1单位负责人为同一人或者存在直接控股、管理关系的不同磋商响应方，不得参加同一合同项目下的政府采购活动；</w:t>
      </w:r>
    </w:p>
    <w:p w14:paraId="29B4B753">
      <w:pPr>
        <w:spacing w:line="360" w:lineRule="auto"/>
        <w:ind w:firstLine="480" w:firstLineChars="200"/>
        <w:rPr>
          <w:rFonts w:hint="eastAsia" w:ascii="宋体" w:hAnsi="宋体" w:eastAsia="宋体" w:cs="宋体"/>
          <w:b/>
          <w:bCs w:val="0"/>
          <w:color w:val="000000"/>
          <w:sz w:val="24"/>
          <w:szCs w:val="24"/>
          <w:lang w:eastAsia="zh-CN"/>
        </w:rPr>
      </w:pPr>
      <w:r>
        <w:rPr>
          <w:rFonts w:hint="eastAsia" w:ascii="宋体" w:hAnsi="宋体" w:eastAsia="宋体" w:cs="宋体"/>
          <w:color w:val="000000"/>
          <w:kern w:val="0"/>
          <w:sz w:val="24"/>
          <w:szCs w:val="24"/>
        </w:rPr>
        <w:t>2.2</w:t>
      </w:r>
      <w:r>
        <w:rPr>
          <w:rFonts w:hint="eastAsia" w:ascii="宋体" w:hAnsi="宋体" w:eastAsia="宋体" w:cs="宋体"/>
          <w:sz w:val="24"/>
          <w:szCs w:val="24"/>
        </w:rPr>
        <w:t>磋商响应方</w:t>
      </w:r>
      <w:r>
        <w:rPr>
          <w:rFonts w:hint="eastAsia" w:ascii="宋体" w:hAnsi="宋体" w:eastAsia="宋体" w:cs="宋体"/>
          <w:b w:val="0"/>
          <w:bCs/>
          <w:kern w:val="0"/>
          <w:sz w:val="24"/>
          <w:szCs w:val="24"/>
          <w:lang w:val="zh-CN"/>
        </w:rPr>
        <w:t>须为</w:t>
      </w:r>
      <w:r>
        <w:rPr>
          <w:rFonts w:hint="eastAsia" w:ascii="宋体" w:hAnsi="宋体" w:eastAsia="宋体" w:cs="宋体"/>
          <w:b/>
          <w:bCs w:val="0"/>
          <w:kern w:val="0"/>
          <w:sz w:val="24"/>
          <w:szCs w:val="24"/>
          <w:lang w:val="zh-CN"/>
        </w:rPr>
        <w:t>国内注册具有独立法人资格、营业执照经营范围包含城市园林绿化或农作物、林业、果树、园艺等作物病虫害防治相关内容的公司，或</w:t>
      </w:r>
      <w:r>
        <w:rPr>
          <w:rFonts w:hint="eastAsia" w:ascii="宋体" w:hAnsi="宋体" w:eastAsia="宋体" w:cs="宋体"/>
          <w:b/>
          <w:bCs w:val="0"/>
          <w:kern w:val="0"/>
          <w:sz w:val="24"/>
          <w:szCs w:val="24"/>
          <w:lang w:val="en-US" w:eastAsia="zh-CN"/>
        </w:rPr>
        <w:t>为</w:t>
      </w:r>
      <w:r>
        <w:rPr>
          <w:rFonts w:hint="eastAsia" w:ascii="宋体" w:hAnsi="宋体" w:eastAsia="宋体" w:cs="宋体"/>
          <w:b/>
          <w:bCs w:val="0"/>
          <w:kern w:val="0"/>
          <w:sz w:val="24"/>
          <w:szCs w:val="24"/>
          <w:lang w:val="zh-CN"/>
        </w:rPr>
        <w:t>具有有害生物防治能力</w:t>
      </w:r>
      <w:r>
        <w:rPr>
          <w:rFonts w:hint="eastAsia" w:ascii="宋体" w:hAnsi="宋体" w:eastAsia="宋体" w:cs="宋体"/>
          <w:b/>
          <w:bCs w:val="0"/>
          <w:kern w:val="0"/>
          <w:sz w:val="24"/>
          <w:szCs w:val="24"/>
          <w:lang w:val="en-US" w:eastAsia="zh-CN"/>
        </w:rPr>
        <w:t>和</w:t>
      </w:r>
      <w:r>
        <w:rPr>
          <w:rFonts w:hint="eastAsia" w:ascii="宋体" w:hAnsi="宋体" w:eastAsia="宋体" w:cs="宋体"/>
          <w:b/>
          <w:bCs w:val="0"/>
          <w:kern w:val="0"/>
          <w:sz w:val="24"/>
          <w:szCs w:val="24"/>
          <w:lang w:val="zh-CN"/>
        </w:rPr>
        <w:t>经验的</w:t>
      </w:r>
      <w:r>
        <w:rPr>
          <w:rFonts w:hint="eastAsia" w:ascii="宋体" w:hAnsi="宋体" w:eastAsia="宋体" w:cs="宋体"/>
          <w:b/>
          <w:bCs w:val="0"/>
          <w:kern w:val="0"/>
          <w:sz w:val="24"/>
          <w:szCs w:val="24"/>
          <w:lang w:val="en-US" w:eastAsia="zh-CN"/>
        </w:rPr>
        <w:t>工程队</w:t>
      </w:r>
      <w:r>
        <w:rPr>
          <w:rFonts w:hint="eastAsia" w:ascii="宋体" w:hAnsi="宋体" w:eastAsia="宋体" w:cs="宋体"/>
          <w:b/>
          <w:bCs w:val="0"/>
          <w:sz w:val="24"/>
          <w:szCs w:val="24"/>
        </w:rPr>
        <w:t>，并在人员、设备、资金等方面具有相应的</w:t>
      </w:r>
      <w:r>
        <w:rPr>
          <w:rFonts w:hint="eastAsia" w:ascii="宋体" w:hAnsi="宋体" w:eastAsia="宋体" w:cs="宋体"/>
          <w:b/>
          <w:bCs w:val="0"/>
          <w:sz w:val="24"/>
          <w:szCs w:val="24"/>
          <w:lang w:eastAsia="zh-CN"/>
        </w:rPr>
        <w:t>服务</w:t>
      </w:r>
      <w:r>
        <w:rPr>
          <w:rFonts w:hint="eastAsia" w:ascii="宋体" w:hAnsi="宋体" w:eastAsia="宋体" w:cs="宋体"/>
          <w:b/>
          <w:bCs w:val="0"/>
          <w:sz w:val="24"/>
          <w:szCs w:val="24"/>
        </w:rPr>
        <w:t>能力,无拖欠农民工工资的不良行为。</w:t>
      </w:r>
    </w:p>
    <w:p w14:paraId="419125C1">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2.3本次竞争性磋商</w:t>
      </w:r>
      <w:r>
        <w:rPr>
          <w:rFonts w:hint="eastAsia" w:ascii="宋体" w:hAnsi="宋体" w:eastAsia="宋体" w:cs="宋体"/>
          <w:color w:val="000000"/>
          <w:kern w:val="0"/>
          <w:sz w:val="24"/>
          <w:szCs w:val="24"/>
          <w:u w:val="single"/>
        </w:rPr>
        <w:t>不接受</w:t>
      </w:r>
      <w:r>
        <w:rPr>
          <w:rFonts w:hint="eastAsia" w:ascii="宋体" w:hAnsi="宋体" w:eastAsia="宋体" w:cs="宋体"/>
          <w:color w:val="000000"/>
          <w:kern w:val="0"/>
          <w:sz w:val="24"/>
          <w:szCs w:val="24"/>
        </w:rPr>
        <w:t>联合体；</w:t>
      </w:r>
    </w:p>
    <w:p w14:paraId="7521C257">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2.4磋商响应方在递交磋商响应文件的同时需提供: 磋商响应方在开标时提供法定代表人或授权委托人的有效身份证原件、法人授权委托书原件、营业执照副本原件以备查验（若为具有有害生物防治能力、经验的</w:t>
      </w:r>
      <w:r>
        <w:rPr>
          <w:rFonts w:hint="eastAsia" w:ascii="宋体" w:hAnsi="宋体" w:eastAsia="宋体" w:cs="宋体"/>
          <w:color w:val="000000"/>
          <w:kern w:val="0"/>
          <w:sz w:val="24"/>
          <w:szCs w:val="24"/>
          <w:lang w:val="en-US" w:eastAsia="zh-CN"/>
        </w:rPr>
        <w:t>工程队</w:t>
      </w:r>
      <w:r>
        <w:rPr>
          <w:rFonts w:hint="eastAsia" w:ascii="宋体" w:hAnsi="宋体" w:eastAsia="宋体" w:cs="宋体"/>
          <w:color w:val="000000"/>
          <w:kern w:val="0"/>
          <w:sz w:val="24"/>
          <w:szCs w:val="24"/>
        </w:rPr>
        <w:t>需提供</w:t>
      </w:r>
      <w:r>
        <w:rPr>
          <w:rFonts w:hint="eastAsia" w:ascii="宋体" w:hAnsi="宋体" w:eastAsia="宋体" w:cs="宋体"/>
          <w:color w:val="000000"/>
          <w:kern w:val="0"/>
          <w:sz w:val="24"/>
          <w:szCs w:val="24"/>
          <w:lang w:eastAsia="zh-CN"/>
        </w:rPr>
        <w:t>供应商本人</w:t>
      </w:r>
      <w:r>
        <w:rPr>
          <w:rFonts w:hint="eastAsia" w:ascii="宋体" w:hAnsi="宋体" w:eastAsia="宋体" w:cs="宋体"/>
          <w:color w:val="000000"/>
          <w:kern w:val="0"/>
          <w:sz w:val="24"/>
          <w:szCs w:val="24"/>
        </w:rPr>
        <w:t>出具的</w:t>
      </w:r>
      <w:r>
        <w:rPr>
          <w:rFonts w:hint="eastAsia" w:ascii="宋体" w:hAnsi="宋体" w:eastAsia="宋体" w:cs="宋体"/>
          <w:color w:val="000000"/>
          <w:kern w:val="0"/>
          <w:sz w:val="24"/>
          <w:szCs w:val="24"/>
          <w:lang w:eastAsia="zh-CN"/>
        </w:rPr>
        <w:t>服务</w:t>
      </w:r>
      <w:r>
        <w:rPr>
          <w:rFonts w:hint="eastAsia" w:ascii="宋体" w:hAnsi="宋体" w:eastAsia="宋体" w:cs="宋体"/>
          <w:color w:val="000000"/>
          <w:kern w:val="0"/>
          <w:sz w:val="24"/>
          <w:szCs w:val="24"/>
        </w:rPr>
        <w:t>能力承诺书原件、供应商本人身份证原件）。</w:t>
      </w:r>
    </w:p>
    <w:p w14:paraId="25FABD7D">
      <w:pPr>
        <w:widowControl/>
        <w:shd w:val="clear" w:color="auto" w:fill="FFFFFF"/>
        <w:spacing w:line="360" w:lineRule="auto"/>
        <w:ind w:firstLine="480"/>
        <w:jc w:val="left"/>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注：以上原件同时提供加盖磋商响应方公章的复印件一套。</w:t>
      </w:r>
    </w:p>
    <w:p w14:paraId="2FC1C950">
      <w:pPr>
        <w:spacing w:line="360" w:lineRule="auto"/>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四、竞争性磋商文件：</w:t>
      </w:r>
    </w:p>
    <w:p w14:paraId="04BC1388">
      <w:pPr>
        <w:widowControl/>
        <w:shd w:val="clear" w:color="auto" w:fill="FFFFFF"/>
        <w:spacing w:line="360" w:lineRule="auto"/>
        <w:ind w:firstLine="48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本竞争性</w:t>
      </w:r>
      <w:r>
        <w:rPr>
          <w:rFonts w:hint="eastAsia" w:ascii="宋体" w:hAnsi="宋体" w:eastAsia="宋体" w:cs="宋体"/>
          <w:color w:val="000000"/>
          <w:kern w:val="0"/>
          <w:sz w:val="24"/>
          <w:szCs w:val="24"/>
          <w:highlight w:val="none"/>
        </w:rPr>
        <w:t>磋商</w:t>
      </w:r>
      <w:r>
        <w:rPr>
          <w:rFonts w:hint="eastAsia" w:ascii="宋体" w:hAnsi="宋体" w:eastAsia="宋体" w:cs="宋体"/>
          <w:color w:val="000000"/>
          <w:sz w:val="24"/>
          <w:szCs w:val="24"/>
          <w:highlight w:val="none"/>
        </w:rPr>
        <w:t>文件由以下内容组成：</w:t>
      </w:r>
    </w:p>
    <w:p w14:paraId="03C65D97">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1、竞争性磋商公告</w:t>
      </w:r>
    </w:p>
    <w:p w14:paraId="453CD05F">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2、磋商响应方须知</w:t>
      </w:r>
    </w:p>
    <w:p w14:paraId="0F0228C2">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3、磋商组织、步骤与评审方法</w:t>
      </w:r>
    </w:p>
    <w:p w14:paraId="2EACA603">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4、采购内容及要求</w:t>
      </w:r>
    </w:p>
    <w:p w14:paraId="347B97D9">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5、合同条款及格式</w:t>
      </w:r>
    </w:p>
    <w:p w14:paraId="467D4C0A">
      <w:pPr>
        <w:widowControl/>
        <w:shd w:val="clear" w:color="auto" w:fill="FFFFFF"/>
        <w:spacing w:line="360" w:lineRule="auto"/>
        <w:ind w:firstLine="480" w:firstLineChars="200"/>
        <w:jc w:val="left"/>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6、响应文件格式；</w:t>
      </w:r>
    </w:p>
    <w:p w14:paraId="5A260EE4">
      <w:pPr>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五、磋商文件的质疑、澄清或修改：</w:t>
      </w:r>
    </w:p>
    <w:p w14:paraId="3257F764">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1、各潜在供应商对磋商文件内容如有疑问，必须于磋商开始前将疑问以书面形式送至采购人或电子邮件形式发至</w:t>
      </w:r>
      <w:r>
        <w:rPr>
          <w:rFonts w:hint="eastAsia" w:ascii="宋体" w:hAnsi="宋体" w:eastAsia="宋体" w:cs="宋体"/>
          <w:bCs/>
          <w:color w:val="000000"/>
          <w:kern w:val="0"/>
          <w:sz w:val="24"/>
          <w:szCs w:val="24"/>
        </w:rPr>
        <w:fldChar w:fldCharType="begin"/>
      </w:r>
      <w:r>
        <w:rPr>
          <w:rFonts w:hint="eastAsia" w:ascii="宋体" w:hAnsi="宋体" w:eastAsia="宋体" w:cs="宋体"/>
          <w:bCs/>
          <w:color w:val="000000"/>
          <w:kern w:val="0"/>
          <w:sz w:val="24"/>
          <w:szCs w:val="24"/>
        </w:rPr>
        <w:instrText xml:space="preserve"> HYPERLINK "mailto:tqzcxmb@163.com" </w:instrText>
      </w:r>
      <w:r>
        <w:rPr>
          <w:rFonts w:hint="eastAsia" w:ascii="宋体" w:hAnsi="宋体" w:eastAsia="宋体" w:cs="宋体"/>
          <w:bCs/>
          <w:color w:val="000000"/>
          <w:kern w:val="0"/>
          <w:sz w:val="24"/>
          <w:szCs w:val="24"/>
        </w:rPr>
        <w:fldChar w:fldCharType="separate"/>
      </w:r>
      <w:r>
        <w:rPr>
          <w:rStyle w:val="21"/>
          <w:rFonts w:hint="eastAsia" w:ascii="宋体" w:hAnsi="宋体" w:eastAsia="宋体" w:cs="宋体"/>
          <w:bCs/>
          <w:kern w:val="0"/>
          <w:sz w:val="24"/>
          <w:szCs w:val="24"/>
          <w:lang w:eastAsia="zh-CN"/>
        </w:rPr>
        <w:t>Zcshxxmgl@163.com</w:t>
      </w:r>
      <w:r>
        <w:rPr>
          <w:rFonts w:hint="eastAsia" w:ascii="宋体" w:hAnsi="宋体" w:eastAsia="宋体" w:cs="宋体"/>
          <w:bCs/>
          <w:color w:val="000000"/>
          <w:kern w:val="0"/>
          <w:sz w:val="24"/>
          <w:szCs w:val="24"/>
        </w:rPr>
        <w:fldChar w:fldCharType="end"/>
      </w:r>
      <w:r>
        <w:rPr>
          <w:rFonts w:hint="eastAsia" w:ascii="宋体" w:hAnsi="宋体" w:eastAsia="宋体" w:cs="宋体"/>
          <w:color w:val="000000"/>
          <w:sz w:val="24"/>
          <w:szCs w:val="24"/>
        </w:rPr>
        <w:t>；</w:t>
      </w:r>
    </w:p>
    <w:p w14:paraId="65A7C029">
      <w:pPr>
        <w:pageBreakBefore w:val="0"/>
        <w:widowControl/>
        <w:shd w:val="clear" w:color="auto" w:fill="FFFFFF"/>
        <w:kinsoku/>
        <w:overflowPunct/>
        <w:topLinePunct w:val="0"/>
        <w:bidi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2、采购人对磋商文件必要的澄清或修改的内容将在提交磋商文件截止时间前，在</w:t>
      </w:r>
      <w:r>
        <w:rPr>
          <w:rFonts w:hint="eastAsia" w:ascii="宋体" w:hAnsi="宋体" w:eastAsia="宋体" w:cs="宋体"/>
          <w:color w:val="000000"/>
          <w:sz w:val="24"/>
          <w:szCs w:val="24"/>
          <w:lang w:eastAsia="zh-CN"/>
        </w:rPr>
        <w:t>邹城市外宣网</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http://www.mencius.gov.cn/</w:t>
      </w:r>
      <w:r>
        <w:rPr>
          <w:rFonts w:hint="eastAsia" w:ascii="宋体" w:hAnsi="宋体" w:eastAsia="宋体" w:cs="宋体"/>
          <w:color w:val="000000"/>
          <w:sz w:val="24"/>
          <w:szCs w:val="24"/>
        </w:rPr>
        <w:t>)等网站上予以公告，澄清和修改的内容将构成磋商文件的组成部分。</w:t>
      </w:r>
    </w:p>
    <w:p w14:paraId="2BA519B7">
      <w:pPr>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六、磋商响应文件的编写及递交：</w:t>
      </w:r>
    </w:p>
    <w:p w14:paraId="2D33E882">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磋商响应方应按磋商文件的要求准备磋商响应文件，并保证所提供全部资料的真实性、准确性及完整性，并对磋商文件做出实质性响应。</w:t>
      </w:r>
    </w:p>
    <w:p w14:paraId="4589D3B7">
      <w:pPr>
        <w:widowControl/>
        <w:shd w:val="clear" w:color="auto" w:fill="FFFFFF"/>
        <w:spacing w:line="360" w:lineRule="auto"/>
        <w:ind w:firstLine="48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（一）磋商响应文件的组成：</w:t>
      </w:r>
    </w:p>
    <w:p w14:paraId="57AB4FA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一、磋商响应函</w:t>
      </w:r>
    </w:p>
    <w:p w14:paraId="0C83FF2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二、（1）法定代表人身份证明</w:t>
      </w:r>
    </w:p>
    <w:p w14:paraId="3ABF648E">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二、（2）法定代表人授权委托书</w:t>
      </w:r>
    </w:p>
    <w:p w14:paraId="5D7AB0FA">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三、（1）初次报价表</w:t>
      </w:r>
    </w:p>
    <w:p w14:paraId="3BAAE966">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三、（2）报价明细表</w:t>
      </w:r>
    </w:p>
    <w:p w14:paraId="522033E7">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四、防治工作组人员、车辆配置一览表</w:t>
      </w:r>
    </w:p>
    <w:p w14:paraId="030E5F1F">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五、偏离表</w:t>
      </w:r>
    </w:p>
    <w:p w14:paraId="01771F63">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六、有害生物承包防控实施方案</w:t>
      </w:r>
    </w:p>
    <w:p w14:paraId="0E1C56E4">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七、磋商响应方的资格证明文件</w:t>
      </w:r>
    </w:p>
    <w:p w14:paraId="6A6C6DF2">
      <w:pPr>
        <w:keepNext w:val="0"/>
        <w:keepLines w:val="0"/>
        <w:pageBreakBefore w:val="0"/>
        <w:widowControl/>
        <w:shd w:val="clear" w:color="auto" w:fill="FFFFFF"/>
        <w:kinsoku/>
        <w:wordWrap/>
        <w:overflowPunct/>
        <w:topLinePunct w:val="0"/>
        <w:autoSpaceDE/>
        <w:autoSpaceDN/>
        <w:bidi w:val="0"/>
        <w:adjustRightInd/>
        <w:snapToGrid/>
        <w:spacing w:line="360" w:lineRule="auto"/>
        <w:ind w:firstLine="480"/>
        <w:jc w:val="lef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八、磋商响应方认为需要加以说明的其他内容和需要提供的证明文件</w:t>
      </w:r>
    </w:p>
    <w:p w14:paraId="0959301C">
      <w:pPr>
        <w:widowControl/>
        <w:shd w:val="clear" w:color="auto" w:fill="FFFFFF"/>
        <w:spacing w:line="360" w:lineRule="auto"/>
        <w:ind w:firstLine="48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（二）磋商响应文件的密封和标记：</w:t>
      </w:r>
    </w:p>
    <w:p w14:paraId="7DC3F163">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1、磋商</w:t>
      </w:r>
      <w:r>
        <w:rPr>
          <w:rFonts w:hint="eastAsia" w:ascii="宋体" w:hAnsi="宋体" w:eastAsia="宋体" w:cs="宋体"/>
          <w:color w:val="000000"/>
          <w:kern w:val="0"/>
          <w:sz w:val="24"/>
          <w:szCs w:val="24"/>
        </w:rPr>
        <w:t>响应</w:t>
      </w:r>
      <w:r>
        <w:rPr>
          <w:rFonts w:hint="eastAsia" w:ascii="宋体" w:hAnsi="宋体" w:eastAsia="宋体" w:cs="宋体"/>
          <w:color w:val="000000"/>
          <w:sz w:val="24"/>
          <w:szCs w:val="24"/>
        </w:rPr>
        <w:t>文件需加盖磋商响应方公章并装订成册；</w:t>
      </w:r>
    </w:p>
    <w:p w14:paraId="7CB51E7B">
      <w:pPr>
        <w:widowControl/>
        <w:shd w:val="clear" w:color="auto" w:fill="FFFFFF"/>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2、供应商应准备磋商响应文件五份，一份正本和四份副本。在每一份磋商响应文件上要明确注明“正本”或“副本”字样，一旦正本和副本有差异，以正本为准；</w:t>
      </w:r>
    </w:p>
    <w:p w14:paraId="377F67AD">
      <w:pPr>
        <w:widowControl/>
        <w:shd w:val="clear" w:color="auto" w:fill="FFFFFF"/>
        <w:spacing w:line="360" w:lineRule="auto"/>
        <w:ind w:firstLine="480" w:firstLineChars="200"/>
        <w:jc w:val="left"/>
        <w:rPr>
          <w:rFonts w:hint="eastAsia" w:ascii="宋体" w:hAnsi="宋体" w:eastAsia="宋体" w:cs="宋体"/>
          <w:b/>
          <w:color w:val="000000"/>
          <w:kern w:val="0"/>
          <w:sz w:val="24"/>
          <w:szCs w:val="24"/>
        </w:rPr>
      </w:pPr>
      <w:r>
        <w:rPr>
          <w:rFonts w:hint="eastAsia" w:ascii="宋体" w:hAnsi="宋体" w:eastAsia="宋体" w:cs="宋体"/>
          <w:color w:val="000000"/>
          <w:kern w:val="0"/>
          <w:sz w:val="24"/>
          <w:szCs w:val="24"/>
        </w:rPr>
        <w:t>3、</w:t>
      </w:r>
      <w:r>
        <w:rPr>
          <w:rFonts w:hint="eastAsia" w:ascii="宋体" w:hAnsi="宋体" w:eastAsia="宋体" w:cs="宋体"/>
          <w:b/>
          <w:color w:val="000000"/>
          <w:kern w:val="0"/>
          <w:sz w:val="24"/>
          <w:szCs w:val="24"/>
        </w:rPr>
        <w:t>响应供应商应将磋商响应文件密封，并在封口处加盖磋商响应方公章(或签字)，未按本条要求密封的磋商响应文件将有权被拒绝接收。</w:t>
      </w:r>
    </w:p>
    <w:p w14:paraId="27FE8680">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（三）磋商响应文件的递交：</w:t>
      </w:r>
    </w:p>
    <w:p w14:paraId="49D9A733">
      <w:pPr>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1、磋商响应文件应</w:t>
      </w:r>
      <w:r>
        <w:rPr>
          <w:rFonts w:hint="eastAsia" w:ascii="宋体" w:hAnsi="宋体" w:eastAsia="宋体" w:cs="宋体"/>
          <w:color w:val="000000"/>
          <w:kern w:val="0"/>
          <w:sz w:val="24"/>
          <w:szCs w:val="24"/>
          <w:highlight w:val="none"/>
        </w:rPr>
        <w:t>于202</w:t>
      </w:r>
      <w:r>
        <w:rPr>
          <w:rFonts w:hint="eastAsia" w:ascii="宋体" w:hAnsi="宋体" w:eastAsia="宋体" w:cs="宋体"/>
          <w:color w:val="000000"/>
          <w:kern w:val="0"/>
          <w:sz w:val="24"/>
          <w:szCs w:val="24"/>
          <w:highlight w:val="none"/>
          <w:lang w:val="en-US" w:eastAsia="zh-CN"/>
        </w:rPr>
        <w:t>5</w:t>
      </w:r>
      <w:r>
        <w:rPr>
          <w:rFonts w:hint="eastAsia" w:ascii="宋体" w:hAnsi="宋体" w:eastAsia="宋体" w:cs="宋体"/>
          <w:color w:val="000000"/>
          <w:kern w:val="0"/>
          <w:sz w:val="24"/>
          <w:szCs w:val="24"/>
          <w:highlight w:val="none"/>
        </w:rPr>
        <w:t>年0</w:t>
      </w:r>
      <w:r>
        <w:rPr>
          <w:rFonts w:hint="eastAsia" w:ascii="宋体" w:hAnsi="宋体" w:eastAsia="宋体" w:cs="宋体"/>
          <w:color w:val="000000"/>
          <w:kern w:val="0"/>
          <w:sz w:val="24"/>
          <w:szCs w:val="24"/>
          <w:highlight w:val="none"/>
          <w:lang w:val="en-US" w:eastAsia="zh-CN"/>
        </w:rPr>
        <w:t>5</w:t>
      </w:r>
      <w:r>
        <w:rPr>
          <w:rFonts w:hint="eastAsia" w:ascii="宋体" w:hAnsi="宋体" w:eastAsia="宋体" w:cs="宋体"/>
          <w:color w:val="000000"/>
          <w:kern w:val="0"/>
          <w:sz w:val="24"/>
          <w:szCs w:val="24"/>
          <w:highlight w:val="none"/>
        </w:rPr>
        <w:t>月</w:t>
      </w:r>
      <w:r>
        <w:rPr>
          <w:rFonts w:hint="eastAsia" w:ascii="宋体" w:hAnsi="宋体" w:cs="宋体"/>
          <w:color w:val="000000"/>
          <w:kern w:val="0"/>
          <w:sz w:val="24"/>
          <w:szCs w:val="24"/>
          <w:highlight w:val="none"/>
          <w:lang w:val="en-US" w:eastAsia="zh-CN"/>
        </w:rPr>
        <w:t>12</w:t>
      </w:r>
      <w:r>
        <w:rPr>
          <w:rFonts w:hint="eastAsia" w:ascii="宋体" w:hAnsi="宋体" w:eastAsia="宋体" w:cs="宋体"/>
          <w:color w:val="000000"/>
          <w:kern w:val="0"/>
          <w:sz w:val="24"/>
          <w:szCs w:val="24"/>
          <w:highlight w:val="none"/>
        </w:rPr>
        <w:t>日</w:t>
      </w:r>
      <w:r>
        <w:rPr>
          <w:rFonts w:hint="eastAsia" w:ascii="宋体" w:hAnsi="宋体" w:cs="宋体"/>
          <w:color w:val="000000"/>
          <w:kern w:val="0"/>
          <w:sz w:val="24"/>
          <w:szCs w:val="24"/>
          <w:highlight w:val="none"/>
          <w:lang w:val="en-US" w:eastAsia="zh-CN"/>
        </w:rPr>
        <w:t>10</w:t>
      </w:r>
      <w:bookmarkStart w:id="48" w:name="_GoBack"/>
      <w:bookmarkEnd w:id="48"/>
      <w:r>
        <w:rPr>
          <w:rFonts w:hint="eastAsia" w:ascii="宋体" w:hAnsi="宋体" w:eastAsia="宋体" w:cs="宋体"/>
          <w:color w:val="000000"/>
          <w:kern w:val="0"/>
          <w:sz w:val="24"/>
          <w:szCs w:val="24"/>
          <w:highlight w:val="none"/>
        </w:rPr>
        <w:t>时30分（北京时间）前递交至邹城市</w:t>
      </w:r>
      <w:r>
        <w:rPr>
          <w:rFonts w:hint="eastAsia" w:ascii="宋体" w:hAnsi="宋体" w:eastAsia="宋体" w:cs="宋体"/>
          <w:color w:val="000000"/>
          <w:kern w:val="0"/>
          <w:sz w:val="24"/>
          <w:szCs w:val="24"/>
          <w:lang w:val="en-US" w:eastAsia="zh-CN"/>
        </w:rPr>
        <w:t>太平</w:t>
      </w:r>
      <w:r>
        <w:rPr>
          <w:rFonts w:hint="eastAsia" w:ascii="宋体" w:hAnsi="宋体" w:eastAsia="宋体" w:cs="宋体"/>
          <w:color w:val="000000"/>
          <w:kern w:val="0"/>
          <w:sz w:val="24"/>
          <w:szCs w:val="24"/>
        </w:rPr>
        <w:t>镇公共资源交易中心开标室。</w:t>
      </w:r>
    </w:p>
    <w:p w14:paraId="4A512CC1">
      <w:pPr>
        <w:snapToGrid w:val="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kern w:val="0"/>
          <w:sz w:val="24"/>
          <w:szCs w:val="24"/>
        </w:rPr>
        <w:t>2、递交磋商</w:t>
      </w:r>
      <w:r>
        <w:rPr>
          <w:rFonts w:hint="eastAsia" w:ascii="宋体" w:hAnsi="宋体" w:eastAsia="宋体" w:cs="宋体"/>
          <w:color w:val="000000"/>
          <w:sz w:val="24"/>
          <w:szCs w:val="24"/>
        </w:rPr>
        <w:t>响应文件时，供应商如出现以下情况，磋商响应文件将有权被拒绝。</w:t>
      </w:r>
    </w:p>
    <w:p w14:paraId="008AE2C7">
      <w:pPr>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（1）参加磋商的法定代表人或授权委托人未出具本人有效身份证件，授权委托人未出具法人授权委托书。</w:t>
      </w:r>
    </w:p>
    <w:p w14:paraId="1F52A05F">
      <w:pPr>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（2）逾期送达或未送达指定地点的磋商响应文件。</w:t>
      </w:r>
    </w:p>
    <w:p w14:paraId="07F9B4CA">
      <w:pPr>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（3）磋商响应文件未按磋商文件要求密封的。</w:t>
      </w:r>
    </w:p>
    <w:p w14:paraId="5FA66DD0">
      <w:pPr>
        <w:snapToGrid w:val="0"/>
        <w:spacing w:line="360" w:lineRule="auto"/>
        <w:ind w:firstLine="480" w:firstLineChars="200"/>
        <w:rPr>
          <w:rFonts w:hint="eastAsia" w:ascii="宋体" w:hAnsi="宋体" w:eastAsia="宋体" w:cs="宋体"/>
          <w:b/>
          <w:color w:val="000000"/>
          <w:kern w:val="0"/>
          <w:sz w:val="24"/>
          <w:szCs w:val="24"/>
        </w:rPr>
      </w:pPr>
      <w:r>
        <w:rPr>
          <w:rFonts w:hint="eastAsia" w:ascii="宋体" w:hAnsi="宋体" w:eastAsia="宋体" w:cs="宋体"/>
          <w:color w:val="000000"/>
          <w:kern w:val="0"/>
          <w:sz w:val="24"/>
          <w:szCs w:val="24"/>
        </w:rPr>
        <w:t>3、对供应商的磋商响应文件、材料不予退还。</w:t>
      </w:r>
    </w:p>
    <w:p w14:paraId="553802FE">
      <w:pPr>
        <w:widowControl/>
        <w:shd w:val="clear" w:color="auto" w:fill="FFFFFF"/>
        <w:spacing w:line="360" w:lineRule="auto"/>
        <w:ind w:firstLine="480"/>
        <w:jc w:val="left"/>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（四）报价要求：</w:t>
      </w:r>
    </w:p>
    <w:p w14:paraId="20A8937A">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磋商响应方的报价，应是实施、完成本竞争性磋商项目以及履行磋商文件中约定的所有责任和义务所发生的全部费用。价格为含税全包价，包括药品的采购、防治人工、喷药器械维修、验收等有害生物防治所需一切费用。</w:t>
      </w:r>
    </w:p>
    <w:p w14:paraId="7B69B7BC">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2、供应商报价时应根据磋商文件要求详细填报各种报价表。采购人有调整防控数量（亩数）的权利。除非合同条款中另有规定，否则，供应商所报价格在合同实施期间不因市场变化因素而变动。供应商未填单价的项目，在实施后，采购人将不予支付，并视为该项费用已包括在其它有价款的单价内。    </w:t>
      </w:r>
    </w:p>
    <w:p w14:paraId="6F2D0278">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3、磋商响应方报价时不得高于采购预算，磋商响应方报价高于采购预算的，作无效磋商响应文件处理。</w:t>
      </w:r>
    </w:p>
    <w:p w14:paraId="63408FAF">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4、如果报价表大写金额与小写金额不一致，以大写的金额为准；</w:t>
      </w:r>
    </w:p>
    <w:p w14:paraId="6E17B0BB">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5、磋商响应方应提供分项单价和总价，如总价金额与按单价汇总金额不一致的以单价金额计算结果为准，单价金额小数点有明显错位的应以总价为准，并修改单价；</w:t>
      </w:r>
    </w:p>
    <w:p w14:paraId="7E156C64">
      <w:pPr>
        <w:widowControl/>
        <w:shd w:val="clear" w:color="auto" w:fill="FFFFFF"/>
        <w:spacing w:line="360" w:lineRule="auto"/>
        <w:ind w:firstLine="480"/>
        <w:jc w:val="left"/>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6、磋商响应方免费提供的项目应先填写该项目的实际价格并注明免费，此项不计入总价或合计价。</w:t>
      </w:r>
    </w:p>
    <w:p w14:paraId="762F1E27">
      <w:pPr>
        <w:widowControl/>
        <w:shd w:val="clear" w:color="auto" w:fill="FFFFFF"/>
        <w:spacing w:line="360" w:lineRule="auto"/>
        <w:ind w:firstLine="480"/>
        <w:jc w:val="left"/>
        <w:rPr>
          <w:rFonts w:hint="eastAsia" w:ascii="宋体" w:hAnsi="宋体" w:eastAsia="宋体" w:cs="宋体"/>
          <w:b/>
          <w:color w:val="000000"/>
          <w:sz w:val="24"/>
          <w:szCs w:val="24"/>
        </w:rPr>
      </w:pPr>
      <w:r>
        <w:rPr>
          <w:rFonts w:hint="eastAsia" w:ascii="宋体" w:hAnsi="宋体" w:eastAsia="宋体" w:cs="宋体"/>
          <w:b/>
          <w:color w:val="000000"/>
          <w:sz w:val="24"/>
          <w:szCs w:val="24"/>
        </w:rPr>
        <w:t>7、本次磋商采用初次报价及最终报价，共二次的报价方式；初次报价按磋商文件格式填写，最终报价为竞争性磋商后，由磋商响应方法定代表人或其委托代理人在最终磋商后递交，供应商两次报价均不得超出采购控制价，如若超出按无效响应处理。</w:t>
      </w:r>
    </w:p>
    <w:p w14:paraId="36870A24">
      <w:pPr>
        <w:widowControl/>
        <w:shd w:val="clear" w:color="auto" w:fill="FFFFFF"/>
        <w:spacing w:line="360" w:lineRule="auto"/>
        <w:ind w:firstLine="482" w:firstLineChars="200"/>
        <w:jc w:val="left"/>
        <w:rPr>
          <w:rFonts w:hint="eastAsia" w:ascii="宋体" w:hAnsi="宋体" w:eastAsia="宋体" w:cs="宋体"/>
          <w:color w:val="000000"/>
          <w:kern w:val="0"/>
          <w:sz w:val="24"/>
          <w:szCs w:val="24"/>
          <w:u w:val="none"/>
        </w:rPr>
      </w:pPr>
      <w:r>
        <w:rPr>
          <w:rFonts w:hint="eastAsia" w:ascii="宋体" w:hAnsi="宋体" w:cs="宋体"/>
          <w:b/>
          <w:bCs/>
          <w:color w:val="000000"/>
          <w:sz w:val="24"/>
          <w:szCs w:val="24"/>
          <w:u w:val="none"/>
          <w:lang w:val="en-US" w:eastAsia="zh-CN"/>
        </w:rPr>
        <w:t>8</w:t>
      </w:r>
      <w:r>
        <w:rPr>
          <w:rFonts w:hint="eastAsia" w:ascii="宋体" w:hAnsi="宋体" w:eastAsia="宋体" w:cs="宋体"/>
          <w:b/>
          <w:bCs/>
          <w:color w:val="000000"/>
          <w:sz w:val="24"/>
          <w:szCs w:val="24"/>
          <w:u w:val="none"/>
        </w:rPr>
        <w:t>、</w:t>
      </w:r>
      <w:r>
        <w:rPr>
          <w:rFonts w:hint="eastAsia" w:ascii="宋体" w:hAnsi="宋体" w:eastAsia="宋体" w:cs="宋体"/>
          <w:b/>
          <w:bCs/>
          <w:color w:val="000000"/>
          <w:kern w:val="0"/>
          <w:sz w:val="24"/>
          <w:szCs w:val="24"/>
          <w:u w:val="none"/>
        </w:rPr>
        <w:t>采购预</w:t>
      </w:r>
      <w:r>
        <w:rPr>
          <w:rFonts w:hint="eastAsia" w:ascii="宋体" w:hAnsi="宋体" w:eastAsia="宋体" w:cs="宋体"/>
          <w:b/>
          <w:color w:val="000000"/>
          <w:kern w:val="0"/>
          <w:sz w:val="24"/>
          <w:szCs w:val="24"/>
          <w:u w:val="none"/>
        </w:rPr>
        <w:t>算（控制价）：</w:t>
      </w:r>
      <w:r>
        <w:rPr>
          <w:rFonts w:hint="eastAsia" w:ascii="宋体" w:hAnsi="宋体" w:eastAsia="宋体" w:cs="宋体"/>
          <w:b/>
          <w:color w:val="000000"/>
          <w:kern w:val="0"/>
          <w:sz w:val="24"/>
          <w:szCs w:val="24"/>
          <w:u w:val="none"/>
          <w:lang w:eastAsia="zh-CN"/>
        </w:rPr>
        <w:t>1</w:t>
      </w:r>
      <w:r>
        <w:rPr>
          <w:rFonts w:hint="eastAsia" w:ascii="宋体" w:hAnsi="宋体" w:eastAsia="宋体" w:cs="宋体"/>
          <w:b/>
          <w:color w:val="000000"/>
          <w:kern w:val="0"/>
          <w:sz w:val="24"/>
          <w:szCs w:val="24"/>
          <w:u w:val="none"/>
          <w:lang w:val="en-US" w:eastAsia="zh-CN"/>
        </w:rPr>
        <w:t>80000</w:t>
      </w:r>
      <w:r>
        <w:rPr>
          <w:rFonts w:hint="eastAsia" w:ascii="宋体" w:hAnsi="宋体" w:eastAsia="宋体" w:cs="宋体"/>
          <w:b/>
          <w:color w:val="000000"/>
          <w:kern w:val="0"/>
          <w:sz w:val="24"/>
          <w:szCs w:val="24"/>
          <w:u w:val="none"/>
          <w:lang w:eastAsia="zh-CN"/>
        </w:rPr>
        <w:t>.00</w:t>
      </w:r>
      <w:r>
        <w:rPr>
          <w:rFonts w:hint="eastAsia" w:ascii="宋体" w:hAnsi="宋体" w:eastAsia="宋体" w:cs="宋体"/>
          <w:b/>
          <w:color w:val="000000"/>
          <w:kern w:val="0"/>
          <w:sz w:val="24"/>
          <w:szCs w:val="24"/>
          <w:u w:val="none"/>
        </w:rPr>
        <w:t>元</w:t>
      </w:r>
      <w:r>
        <w:rPr>
          <w:rFonts w:hint="eastAsia" w:ascii="宋体" w:hAnsi="宋体" w:eastAsia="宋体" w:cs="宋体"/>
          <w:bCs/>
          <w:color w:val="000000"/>
          <w:kern w:val="0"/>
          <w:sz w:val="24"/>
          <w:szCs w:val="24"/>
          <w:u w:val="none"/>
        </w:rPr>
        <w:t>。</w:t>
      </w:r>
    </w:p>
    <w:p w14:paraId="212A3476">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七、磋商有效期：</w:t>
      </w:r>
    </w:p>
    <w:p w14:paraId="55240942">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自递交磋商响应文件截止之日起60个日历日。</w:t>
      </w:r>
    </w:p>
    <w:p w14:paraId="698AD013">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八、磋商费用：</w:t>
      </w:r>
    </w:p>
    <w:p w14:paraId="3519350E">
      <w:pPr>
        <w:widowControl/>
        <w:shd w:val="clear" w:color="auto" w:fill="FFFFFF"/>
        <w:spacing w:line="360" w:lineRule="auto"/>
        <w:ind w:firstLine="482"/>
        <w:jc w:val="left"/>
        <w:rPr>
          <w:rFonts w:hint="eastAsia" w:ascii="宋体" w:hAnsi="宋体" w:eastAsia="宋体" w:cs="宋体"/>
          <w:color w:val="000000"/>
          <w:sz w:val="24"/>
          <w:szCs w:val="24"/>
        </w:rPr>
      </w:pPr>
      <w:r>
        <w:rPr>
          <w:rFonts w:hint="eastAsia" w:ascii="宋体" w:hAnsi="宋体" w:eastAsia="宋体" w:cs="宋体"/>
          <w:color w:val="000000"/>
          <w:sz w:val="24"/>
          <w:szCs w:val="24"/>
        </w:rPr>
        <w:t>无论</w:t>
      </w:r>
      <w:r>
        <w:rPr>
          <w:rFonts w:hint="eastAsia" w:ascii="宋体" w:hAnsi="宋体" w:eastAsia="宋体" w:cs="宋体"/>
          <w:color w:val="000000"/>
          <w:kern w:val="0"/>
          <w:sz w:val="24"/>
          <w:szCs w:val="24"/>
        </w:rPr>
        <w:t>报价</w:t>
      </w:r>
      <w:r>
        <w:rPr>
          <w:rFonts w:hint="eastAsia" w:ascii="宋体" w:hAnsi="宋体" w:eastAsia="宋体" w:cs="宋体"/>
          <w:color w:val="000000"/>
          <w:sz w:val="24"/>
          <w:szCs w:val="24"/>
        </w:rPr>
        <w:t>过程中的方法和结果如何，各磋商响应方自行承担所有参与磋商的有关费用。</w:t>
      </w:r>
    </w:p>
    <w:p w14:paraId="7C1E8BD4">
      <w:pPr>
        <w:keepNext w:val="0"/>
        <w:keepLines w:val="0"/>
        <w:pageBreakBefore w:val="0"/>
        <w:widowControl w:val="0"/>
        <w:tabs>
          <w:tab w:val="left" w:pos="315"/>
        </w:tabs>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九、付款方式：</w:t>
      </w:r>
    </w:p>
    <w:p w14:paraId="78154E1F">
      <w:pPr>
        <w:keepNext w:val="0"/>
        <w:keepLines w:val="0"/>
        <w:pageBreakBefore w:val="0"/>
        <w:widowControl w:val="0"/>
        <w:tabs>
          <w:tab w:val="left" w:pos="315"/>
        </w:tabs>
        <w:kinsoku/>
        <w:wordWrap/>
        <w:overflowPunct/>
        <w:topLinePunct w:val="0"/>
        <w:autoSpaceDE/>
        <w:autoSpaceDN/>
        <w:bidi w:val="0"/>
        <w:adjustRightInd/>
        <w:spacing w:line="360" w:lineRule="auto"/>
        <w:ind w:left="0" w:leftChars="0" w:firstLine="422" w:firstLineChars="175"/>
        <w:textAlignment w:val="auto"/>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rPr>
        <w:t>本项目无预付款，</w:t>
      </w:r>
      <w:r>
        <w:rPr>
          <w:rFonts w:hint="eastAsia" w:ascii="宋体" w:hAnsi="宋体" w:cs="宋体"/>
          <w:b/>
          <w:sz w:val="24"/>
          <w:szCs w:val="24"/>
          <w:highlight w:val="none"/>
          <w:lang w:eastAsia="zh-CN"/>
        </w:rPr>
        <w:t>2025</w:t>
      </w:r>
      <w:r>
        <w:rPr>
          <w:rFonts w:hint="eastAsia" w:ascii="宋体" w:hAnsi="宋体" w:eastAsia="宋体" w:cs="宋体"/>
          <w:b/>
          <w:sz w:val="24"/>
          <w:szCs w:val="24"/>
          <w:highlight w:val="none"/>
        </w:rPr>
        <w:t>年8月上旬进行第一次验收，验收合格后</w:t>
      </w:r>
      <w:r>
        <w:rPr>
          <w:rFonts w:hint="eastAsia" w:ascii="宋体" w:hAnsi="宋体" w:cs="宋体"/>
          <w:b/>
          <w:sz w:val="24"/>
          <w:szCs w:val="24"/>
          <w:highlight w:val="none"/>
          <w:lang w:eastAsia="zh-CN"/>
        </w:rPr>
        <w:t>2025</w:t>
      </w:r>
      <w:r>
        <w:rPr>
          <w:rFonts w:hint="eastAsia" w:ascii="宋体" w:hAnsi="宋体" w:eastAsia="宋体" w:cs="宋体"/>
          <w:b/>
          <w:sz w:val="24"/>
          <w:szCs w:val="24"/>
          <w:highlight w:val="none"/>
        </w:rPr>
        <w:t>年10月上旬付合同价的40%，</w:t>
      </w:r>
      <w:r>
        <w:rPr>
          <w:rFonts w:hint="eastAsia" w:ascii="宋体" w:hAnsi="宋体" w:cs="宋体"/>
          <w:b/>
          <w:sz w:val="24"/>
          <w:szCs w:val="24"/>
          <w:highlight w:val="none"/>
          <w:lang w:eastAsia="zh-CN"/>
        </w:rPr>
        <w:t>2025</w:t>
      </w:r>
      <w:r>
        <w:rPr>
          <w:rFonts w:hint="eastAsia" w:ascii="宋体" w:hAnsi="宋体" w:eastAsia="宋体" w:cs="宋体"/>
          <w:b/>
          <w:sz w:val="24"/>
          <w:szCs w:val="24"/>
          <w:highlight w:val="none"/>
        </w:rPr>
        <w:t>年11月中旬最终验收合格后，一次性无息付清剩余款项</w:t>
      </w:r>
      <w:r>
        <w:rPr>
          <w:rFonts w:hint="eastAsia" w:ascii="宋体" w:hAnsi="宋体" w:eastAsia="宋体" w:cs="宋体"/>
          <w:b/>
          <w:sz w:val="24"/>
          <w:szCs w:val="24"/>
          <w:highlight w:val="none"/>
          <w:lang w:eastAsia="zh-CN"/>
        </w:rPr>
        <w:t>。</w:t>
      </w:r>
    </w:p>
    <w:p w14:paraId="7E4A3971">
      <w:pPr>
        <w:keepNext w:val="0"/>
        <w:keepLines w:val="0"/>
        <w:pageBreakBefore w:val="0"/>
        <w:widowControl w:val="0"/>
        <w:tabs>
          <w:tab w:val="left" w:pos="315"/>
        </w:tabs>
        <w:kinsoku/>
        <w:wordWrap/>
        <w:overflowPunct/>
        <w:topLinePunct w:val="0"/>
        <w:autoSpaceDE/>
        <w:autoSpaceDN/>
        <w:bidi w:val="0"/>
        <w:adjustRightInd/>
        <w:spacing w:line="360" w:lineRule="auto"/>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 xml:space="preserve"> </w:t>
      </w:r>
      <w:r>
        <w:rPr>
          <w:rFonts w:hint="eastAsia" w:ascii="宋体" w:hAnsi="宋体" w:eastAsia="宋体" w:cs="宋体"/>
          <w:b/>
          <w:color w:val="000000"/>
          <w:sz w:val="24"/>
          <w:szCs w:val="24"/>
          <w:highlight w:val="none"/>
          <w:lang w:val="en-US" w:eastAsia="zh-CN"/>
        </w:rPr>
        <w:t xml:space="preserve">  </w:t>
      </w:r>
      <w:r>
        <w:rPr>
          <w:rFonts w:hint="eastAsia" w:ascii="宋体" w:hAnsi="宋体" w:eastAsia="宋体" w:cs="宋体"/>
          <w:b/>
          <w:color w:val="000000"/>
          <w:sz w:val="24"/>
          <w:szCs w:val="24"/>
          <w:highlight w:val="none"/>
        </w:rPr>
        <w:t>十、磋商保证金：</w:t>
      </w:r>
    </w:p>
    <w:p w14:paraId="173E856A">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根据《山东省财政厅关于取消政府采购投标保证金等有关事项的通知》（鲁财采〔2019〕40 号），本项目不收取磋商保证金。</w:t>
      </w:r>
    </w:p>
    <w:p w14:paraId="70939A6B">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十一、代理服务费：</w:t>
      </w:r>
    </w:p>
    <w:p w14:paraId="4A9DFA9A">
      <w:pPr>
        <w:widowControl/>
        <w:shd w:val="clear" w:color="auto" w:fill="FFFFFF"/>
        <w:spacing w:line="360" w:lineRule="auto"/>
        <w:ind w:firstLine="480"/>
        <w:jc w:val="left"/>
        <w:rPr>
          <w:rFonts w:hint="eastAsia" w:ascii="宋体" w:hAnsi="宋体" w:eastAsia="宋体" w:cs="宋体"/>
          <w:color w:val="000000"/>
          <w:sz w:val="24"/>
          <w:szCs w:val="24"/>
        </w:rPr>
      </w:pPr>
      <w:r>
        <w:rPr>
          <w:rFonts w:hint="eastAsia" w:ascii="宋体" w:hAnsi="宋体" w:eastAsia="宋体" w:cs="宋体"/>
          <w:color w:val="000000"/>
          <w:sz w:val="24"/>
          <w:szCs w:val="24"/>
        </w:rPr>
        <w:t>本次竞争性</w:t>
      </w:r>
      <w:r>
        <w:rPr>
          <w:rFonts w:hint="eastAsia" w:ascii="宋体" w:hAnsi="宋体" w:eastAsia="宋体" w:cs="宋体"/>
          <w:color w:val="000000"/>
          <w:sz w:val="24"/>
          <w:szCs w:val="24"/>
          <w:lang w:eastAsia="zh-CN"/>
        </w:rPr>
        <w:t>磋商</w:t>
      </w:r>
      <w:r>
        <w:rPr>
          <w:rFonts w:hint="eastAsia" w:ascii="宋体" w:hAnsi="宋体" w:eastAsia="宋体" w:cs="宋体"/>
          <w:color w:val="000000"/>
          <w:sz w:val="24"/>
          <w:szCs w:val="24"/>
        </w:rPr>
        <w:t>代理费由成交供应商支付，</w:t>
      </w:r>
      <w:r>
        <w:rPr>
          <w:rFonts w:hint="eastAsia" w:ascii="宋体" w:hAnsi="宋体" w:eastAsia="宋体" w:cs="宋体"/>
          <w:color w:val="000000"/>
          <w:sz w:val="24"/>
          <w:szCs w:val="24"/>
          <w:lang w:eastAsia="zh-CN"/>
        </w:rPr>
        <w:t>磋商</w:t>
      </w:r>
      <w:r>
        <w:rPr>
          <w:rFonts w:hint="eastAsia" w:ascii="宋体" w:hAnsi="宋体" w:eastAsia="宋体" w:cs="宋体"/>
          <w:color w:val="000000"/>
          <w:sz w:val="24"/>
          <w:szCs w:val="24"/>
        </w:rPr>
        <w:t>代理费为</w:t>
      </w:r>
      <w:r>
        <w:rPr>
          <w:rFonts w:hint="eastAsia" w:ascii="宋体" w:hAnsi="宋体" w:cs="宋体"/>
          <w:color w:val="000000"/>
          <w:sz w:val="24"/>
          <w:szCs w:val="24"/>
          <w:lang w:val="en-US" w:eastAsia="zh-CN"/>
        </w:rPr>
        <w:t>25</w:t>
      </w:r>
      <w:r>
        <w:rPr>
          <w:rFonts w:hint="eastAsia" w:ascii="宋体" w:hAnsi="宋体" w:eastAsia="宋体" w:cs="宋体"/>
          <w:color w:val="000000"/>
          <w:sz w:val="24"/>
          <w:szCs w:val="24"/>
          <w:lang w:val="en-US" w:eastAsia="zh-CN"/>
        </w:rPr>
        <w:t>00.00</w:t>
      </w:r>
      <w:r>
        <w:rPr>
          <w:rFonts w:hint="eastAsia" w:ascii="宋体" w:hAnsi="宋体" w:eastAsia="宋体" w:cs="宋体"/>
          <w:color w:val="000000"/>
          <w:sz w:val="24"/>
          <w:szCs w:val="24"/>
        </w:rPr>
        <w:t>元。成交通知书发出前，</w:t>
      </w:r>
      <w:r>
        <w:rPr>
          <w:rFonts w:hint="eastAsia" w:ascii="宋体" w:hAnsi="宋体" w:eastAsia="宋体" w:cs="宋体"/>
          <w:color w:val="000000"/>
          <w:sz w:val="24"/>
          <w:szCs w:val="24"/>
          <w:lang w:val="en-US" w:eastAsia="zh-CN"/>
        </w:rPr>
        <w:t>成交人向代理机构一次性缴纳</w:t>
      </w:r>
      <w:r>
        <w:rPr>
          <w:rFonts w:hint="eastAsia" w:ascii="宋体" w:hAnsi="宋体" w:eastAsia="宋体" w:cs="宋体"/>
          <w:color w:val="000000"/>
          <w:sz w:val="24"/>
          <w:szCs w:val="24"/>
        </w:rPr>
        <w:t>。</w:t>
      </w:r>
    </w:p>
    <w:p w14:paraId="4040EFB1">
      <w:pPr>
        <w:spacing w:line="360" w:lineRule="auto"/>
        <w:ind w:firstLine="482" w:firstLineChars="200"/>
        <w:jc w:val="left"/>
        <w:rPr>
          <w:rFonts w:hint="eastAsia" w:ascii="宋体" w:hAnsi="宋体" w:eastAsia="宋体" w:cs="宋体"/>
          <w:color w:val="000000"/>
          <w:sz w:val="24"/>
          <w:szCs w:val="24"/>
        </w:rPr>
      </w:pPr>
      <w:r>
        <w:rPr>
          <w:rFonts w:hint="eastAsia" w:ascii="宋体" w:hAnsi="宋体" w:eastAsia="宋体" w:cs="宋体"/>
          <w:b/>
          <w:color w:val="000000"/>
          <w:sz w:val="24"/>
          <w:szCs w:val="24"/>
        </w:rPr>
        <w:t>十二、无效磋商响应文件：</w:t>
      </w:r>
    </w:p>
    <w:p w14:paraId="2F041CE8">
      <w:pPr>
        <w:widowControl/>
        <w:shd w:val="clear" w:color="auto" w:fill="FFFFFF"/>
        <w:spacing w:line="360" w:lineRule="auto"/>
        <w:ind w:firstLine="48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凡具有下列情形之一的，作无效磋商响应文件：</w:t>
      </w:r>
    </w:p>
    <w:p w14:paraId="19B415A0">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、超出营业执照经营范围报价的；</w:t>
      </w:r>
    </w:p>
    <w:p w14:paraId="082D503D">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2</w:t>
      </w:r>
      <w:r>
        <w:rPr>
          <w:rFonts w:hint="eastAsia" w:ascii="宋体" w:hAnsi="宋体" w:eastAsia="宋体" w:cs="宋体"/>
          <w:color w:val="000000"/>
          <w:kern w:val="0"/>
          <w:sz w:val="24"/>
          <w:szCs w:val="24"/>
        </w:rPr>
        <w:t>、资格证明文件不全的，或者不符合采购文件标明的资格要求的；</w:t>
      </w:r>
    </w:p>
    <w:p w14:paraId="0B310BD2">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、响应文件无法定代表人或响应人代表签字的；</w:t>
      </w:r>
    </w:p>
    <w:p w14:paraId="08484BFC">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、项目完成时间、质保期等商务条款不能满足磋商文件要求的；</w:t>
      </w:r>
    </w:p>
    <w:p w14:paraId="1783B15E">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rPr>
        <w:t>、不响应或者擅自改变采购文件要求或者响应文件有采购人不能接受的附加条件的；</w:t>
      </w:r>
    </w:p>
    <w:p w14:paraId="10E03695">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6</w:t>
      </w:r>
      <w:r>
        <w:rPr>
          <w:rFonts w:hint="eastAsia" w:ascii="宋体" w:hAnsi="宋体" w:eastAsia="宋体" w:cs="宋体"/>
          <w:color w:val="000000"/>
          <w:kern w:val="0"/>
          <w:sz w:val="24"/>
          <w:szCs w:val="24"/>
        </w:rPr>
        <w:t>、未如实提供报价产品的技术参数、或偏离与事实不符或虚假磋商的；</w:t>
      </w:r>
    </w:p>
    <w:p w14:paraId="7E919AFF">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7</w:t>
      </w:r>
      <w:r>
        <w:rPr>
          <w:rFonts w:hint="eastAsia" w:ascii="宋体" w:hAnsi="宋体" w:eastAsia="宋体" w:cs="宋体"/>
          <w:color w:val="000000"/>
          <w:kern w:val="0"/>
          <w:sz w:val="24"/>
          <w:szCs w:val="24"/>
        </w:rPr>
        <w:t>、提供的有关资格、资质证明文件不真实，提供虚假报价材料的；</w:t>
      </w:r>
    </w:p>
    <w:p w14:paraId="0E2D48CF">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8</w:t>
      </w:r>
      <w:r>
        <w:rPr>
          <w:rFonts w:hint="eastAsia" w:ascii="宋体" w:hAnsi="宋体" w:eastAsia="宋体" w:cs="宋体"/>
          <w:color w:val="000000"/>
          <w:kern w:val="0"/>
          <w:sz w:val="24"/>
          <w:szCs w:val="24"/>
        </w:rPr>
        <w:t>、磋商响应方串通报价的；</w:t>
      </w:r>
    </w:p>
    <w:p w14:paraId="702E7377">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9</w:t>
      </w:r>
      <w:r>
        <w:rPr>
          <w:rFonts w:hint="eastAsia" w:ascii="宋体" w:hAnsi="宋体" w:eastAsia="宋体" w:cs="宋体"/>
          <w:color w:val="000000"/>
          <w:kern w:val="0"/>
          <w:sz w:val="24"/>
          <w:szCs w:val="24"/>
        </w:rPr>
        <w:t>、磋商响应方向采购人、代理采购机构、评审专家提供不正当利益的；</w:t>
      </w:r>
    </w:p>
    <w:p w14:paraId="3A43773F">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10</w:t>
      </w:r>
      <w:r>
        <w:rPr>
          <w:rFonts w:hint="eastAsia" w:ascii="宋体" w:hAnsi="宋体" w:eastAsia="宋体" w:cs="宋体"/>
          <w:color w:val="000000"/>
          <w:kern w:val="0"/>
          <w:sz w:val="24"/>
          <w:szCs w:val="24"/>
        </w:rPr>
        <w:t>、磋商响应方报价后，磋商响应方撤回报价，退出磋商的；</w:t>
      </w:r>
    </w:p>
    <w:p w14:paraId="68BEFFE9">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、磋商响应方的初次报价及最终报价超过采购预算的；</w:t>
      </w:r>
    </w:p>
    <w:p w14:paraId="66347642">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en-US" w:eastAsia="zh-CN"/>
        </w:rPr>
        <w:t>2</w:t>
      </w:r>
      <w:r>
        <w:rPr>
          <w:rFonts w:hint="eastAsia" w:ascii="宋体" w:hAnsi="宋体" w:eastAsia="宋体" w:cs="宋体"/>
          <w:color w:val="000000"/>
          <w:kern w:val="0"/>
          <w:sz w:val="24"/>
          <w:szCs w:val="24"/>
        </w:rPr>
        <w:t>、法律、法规规定的其他情况。</w:t>
      </w:r>
    </w:p>
    <w:p w14:paraId="296C17EC">
      <w:pPr>
        <w:widowControl/>
        <w:shd w:val="clear" w:color="auto" w:fill="FFFFFF"/>
        <w:spacing w:line="360" w:lineRule="auto"/>
        <w:ind w:firstLine="482" w:firstLineChars="200"/>
        <w:jc w:val="left"/>
        <w:rPr>
          <w:rFonts w:hint="eastAsia" w:ascii="宋体" w:hAnsi="宋体" w:eastAsia="宋体" w:cs="宋体"/>
          <w:b/>
          <w:color w:val="000000"/>
          <w:sz w:val="24"/>
          <w:szCs w:val="24"/>
        </w:rPr>
      </w:pPr>
      <w:r>
        <w:rPr>
          <w:rFonts w:hint="eastAsia" w:ascii="宋体" w:hAnsi="宋体" w:cs="宋体"/>
          <w:b/>
          <w:color w:val="000000"/>
          <w:sz w:val="24"/>
          <w:szCs w:val="24"/>
          <w:lang w:val="en-US" w:eastAsia="zh-CN"/>
        </w:rPr>
        <w:t>十三、</w:t>
      </w:r>
      <w:r>
        <w:rPr>
          <w:rFonts w:hint="eastAsia" w:ascii="宋体" w:hAnsi="宋体" w:eastAsia="宋体" w:cs="宋体"/>
          <w:b/>
          <w:color w:val="000000"/>
          <w:sz w:val="24"/>
          <w:szCs w:val="24"/>
        </w:rPr>
        <w:t>响应供应商不足三家：</w:t>
      </w:r>
    </w:p>
    <w:p w14:paraId="35A7C372">
      <w:pPr>
        <w:tabs>
          <w:tab w:val="left" w:pos="315"/>
        </w:tabs>
        <w:spacing w:line="360" w:lineRule="auto"/>
        <w:ind w:firstLine="470" w:firstLineChars="196"/>
        <w:rPr>
          <w:rFonts w:hint="eastAsia" w:ascii="宋体" w:hAnsi="宋体" w:eastAsia="宋体" w:cs="宋体"/>
          <w:b/>
          <w:color w:val="000000"/>
          <w:sz w:val="24"/>
          <w:szCs w:val="24"/>
        </w:rPr>
      </w:pPr>
      <w:r>
        <w:rPr>
          <w:rFonts w:hint="eastAsia" w:ascii="宋体" w:hAnsi="宋体" w:eastAsia="宋体" w:cs="宋体"/>
          <w:sz w:val="24"/>
          <w:szCs w:val="24"/>
        </w:rPr>
        <w:t>递交响应文件或对</w:t>
      </w:r>
      <w:r>
        <w:rPr>
          <w:rFonts w:hint="eastAsia" w:ascii="宋体" w:hAnsi="宋体" w:eastAsia="宋体" w:cs="宋体"/>
          <w:sz w:val="24"/>
          <w:szCs w:val="24"/>
          <w:lang w:eastAsia="zh-CN"/>
        </w:rPr>
        <w:t>磋商</w:t>
      </w:r>
      <w:r>
        <w:rPr>
          <w:rFonts w:hint="eastAsia" w:ascii="宋体" w:hAnsi="宋体" w:eastAsia="宋体" w:cs="宋体"/>
          <w:sz w:val="24"/>
          <w:szCs w:val="24"/>
        </w:rPr>
        <w:t>文件做出实质响应的供应商不足三家的，采购人将中止竞争性磋商采购活动，重新组织采购。</w:t>
      </w:r>
    </w:p>
    <w:p w14:paraId="5348D540">
      <w:pPr>
        <w:tabs>
          <w:tab w:val="left" w:pos="315"/>
        </w:tabs>
        <w:spacing w:line="360" w:lineRule="auto"/>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十</w:t>
      </w:r>
      <w:r>
        <w:rPr>
          <w:rFonts w:hint="eastAsia" w:ascii="宋体" w:hAnsi="宋体" w:cs="宋体"/>
          <w:b/>
          <w:color w:val="000000"/>
          <w:sz w:val="24"/>
          <w:szCs w:val="24"/>
          <w:lang w:val="en-US" w:eastAsia="zh-CN"/>
        </w:rPr>
        <w:t>四</w:t>
      </w:r>
      <w:r>
        <w:rPr>
          <w:rFonts w:hint="eastAsia" w:ascii="宋体" w:hAnsi="宋体" w:eastAsia="宋体" w:cs="宋体"/>
          <w:b/>
          <w:color w:val="000000"/>
          <w:sz w:val="24"/>
          <w:szCs w:val="24"/>
        </w:rPr>
        <w:t>、质疑和投诉：</w:t>
      </w:r>
    </w:p>
    <w:p w14:paraId="5239198C">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质疑：参加磋商的供应商认为采购文件、采购过程和成交结果使自己的合法权益受到损害的，有权依法向采购人或采购代理机构提出质疑。</w:t>
      </w:r>
    </w:p>
    <w:p w14:paraId="2C7A5000">
      <w:pPr>
        <w:widowControl/>
        <w:shd w:val="clear" w:color="auto" w:fill="FFFFFF"/>
        <w:spacing w:line="360" w:lineRule="auto"/>
        <w:ind w:firstLine="482"/>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投诉：参加磋商的供应商对采购人的质疑答复不满意，或者采购人未在规定期限内作出答复的，供应商可以在答复期满后可以向相关行政主管部门投诉。</w:t>
      </w:r>
    </w:p>
    <w:p w14:paraId="17E7563C">
      <w:pPr>
        <w:keepNext w:val="0"/>
        <w:keepLines w:val="0"/>
        <w:pageBreakBefore w:val="0"/>
        <w:widowControl w:val="0"/>
        <w:kinsoku/>
        <w:wordWrap/>
        <w:overflowPunct/>
        <w:topLinePunct w:val="0"/>
        <w:bidi w:val="0"/>
        <w:adjustRightInd/>
        <w:snapToGrid/>
        <w:spacing w:line="360" w:lineRule="auto"/>
        <w:ind w:left="0" w:leftChars="0" w:right="0" w:rightChars="0" w:firstLine="480" w:firstLineChars="200"/>
        <w:textAlignment w:val="auto"/>
        <w:rPr>
          <w:rFonts w:hint="eastAsia" w:ascii="宋体" w:hAnsi="宋体" w:eastAsia="宋体" w:cs="宋体"/>
          <w:sz w:val="24"/>
          <w:szCs w:val="24"/>
          <w:highlight w:val="none"/>
          <w:lang w:val="zh-CN"/>
        </w:rPr>
      </w:pPr>
    </w:p>
    <w:bookmarkEnd w:id="14"/>
    <w:bookmarkEnd w:id="15"/>
    <w:bookmarkEnd w:id="16"/>
    <w:bookmarkEnd w:id="17"/>
    <w:p w14:paraId="70FF858B">
      <w:pPr>
        <w:pageBreakBefore w:val="0"/>
        <w:wordWrap/>
        <w:autoSpaceDE w:val="0"/>
        <w:autoSpaceDN w:val="0"/>
        <w:bidi w:val="0"/>
        <w:spacing w:line="360" w:lineRule="auto"/>
        <w:ind w:left="0" w:leftChars="0" w:right="0" w:rightChars="0"/>
        <w:textAlignment w:val="auto"/>
        <w:rPr>
          <w:rFonts w:hint="eastAsia" w:ascii="宋体" w:hAnsi="宋体" w:eastAsia="宋体" w:cs="宋体"/>
          <w:sz w:val="24"/>
          <w:highlight w:val="none"/>
          <w:lang w:val="zh-CN"/>
        </w:rPr>
      </w:pPr>
    </w:p>
    <w:p w14:paraId="0E19026E">
      <w:pPr>
        <w:spacing w:line="360" w:lineRule="auto"/>
        <w:jc w:val="center"/>
        <w:outlineLvl w:val="0"/>
        <w:rPr>
          <w:rFonts w:hint="eastAsia" w:ascii="宋体" w:hAnsi="宋体"/>
          <w:b/>
          <w:color w:val="auto"/>
          <w:sz w:val="32"/>
          <w:szCs w:val="32"/>
          <w:highlight w:val="none"/>
        </w:rPr>
      </w:pPr>
      <w:r>
        <w:rPr>
          <w:rFonts w:hint="eastAsia" w:ascii="宋体" w:hAnsi="宋体" w:eastAsia="宋体" w:cs="宋体"/>
          <w:sz w:val="24"/>
          <w:highlight w:val="none"/>
        </w:rPr>
        <w:br w:type="page"/>
      </w:r>
      <w:bookmarkStart w:id="18" w:name="_Toc19797"/>
      <w:bookmarkStart w:id="19" w:name="_Toc28767"/>
      <w:bookmarkStart w:id="20" w:name="_Toc3656"/>
      <w:r>
        <w:rPr>
          <w:rFonts w:hint="eastAsia" w:ascii="宋体" w:hAnsi="宋体"/>
          <w:b/>
          <w:color w:val="auto"/>
          <w:sz w:val="32"/>
          <w:szCs w:val="32"/>
          <w:highlight w:val="none"/>
        </w:rPr>
        <w:t>第三</w:t>
      </w:r>
      <w:r>
        <w:rPr>
          <w:rFonts w:hint="eastAsia" w:ascii="宋体" w:hAnsi="宋体"/>
          <w:b/>
          <w:color w:val="auto"/>
          <w:sz w:val="32"/>
          <w:szCs w:val="32"/>
          <w:highlight w:val="none"/>
          <w:lang w:val="en-US" w:eastAsia="zh-CN"/>
        </w:rPr>
        <w:t xml:space="preserve">章 </w:t>
      </w:r>
      <w:r>
        <w:rPr>
          <w:rFonts w:hint="eastAsia" w:ascii="宋体" w:hAnsi="宋体"/>
          <w:b/>
          <w:color w:val="auto"/>
          <w:sz w:val="32"/>
          <w:szCs w:val="32"/>
          <w:highlight w:val="none"/>
        </w:rPr>
        <w:t xml:space="preserve">  磋商组织、步骤与评审方法</w:t>
      </w:r>
      <w:bookmarkEnd w:id="18"/>
      <w:bookmarkEnd w:id="19"/>
      <w:bookmarkEnd w:id="20"/>
    </w:p>
    <w:p w14:paraId="242362C0">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一、磋商组织：</w:t>
      </w:r>
    </w:p>
    <w:p w14:paraId="486424ED">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1、采购人在磋商文件规定的时间和地点组织磋商，磋商响应方须派代表参加；</w:t>
      </w:r>
    </w:p>
    <w:p w14:paraId="5A8D64B6">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2、磋商小组由三人（含）以上单数的人员组成，其中专家的人数不少于成员总数的三分之二，磋商小组对磋商响应文件进行审查、质疑、评估和比较。</w:t>
      </w:r>
    </w:p>
    <w:p w14:paraId="3DC56043">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二、磋商步骤：</w:t>
      </w:r>
    </w:p>
    <w:p w14:paraId="5E943228">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1、检查磋商响应文件密封情况：由各磋商响应方对递交的磋商响应文件密封情况进行检查；</w:t>
      </w:r>
    </w:p>
    <w:p w14:paraId="4D7B5076">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2、磋商响应文件初步审核：磋商小组对磋商响应文件进行符合性审核；</w:t>
      </w:r>
    </w:p>
    <w:p w14:paraId="235CCEF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3、磋商小组所有成员集中与单一磋商响应方分别磋商；</w:t>
      </w:r>
    </w:p>
    <w:p w14:paraId="466319D9">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4、磋商结束后，所有参加磋商的磋商响应方进行最终报价；</w:t>
      </w:r>
    </w:p>
    <w:p w14:paraId="40DC26F0">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5、公开唱价：宣读“最终报价表”，记录员将公开报价内容记录并由各响应磋商响应方签字确认；</w:t>
      </w:r>
    </w:p>
    <w:p w14:paraId="4660386B">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6、磋商小组按照如下评审办法确定成交磋商响应方。</w:t>
      </w:r>
    </w:p>
    <w:p w14:paraId="1892FF33">
      <w:pPr>
        <w:keepNext w:val="0"/>
        <w:keepLines w:val="0"/>
        <w:pageBreakBefore w:val="0"/>
        <w:widowControl w:val="0"/>
        <w:kinsoku/>
        <w:wordWrap/>
        <w:overflowPunct/>
        <w:topLinePunct w:val="0"/>
        <w:bidi w:val="0"/>
        <w:snapToGrid/>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w:t>
      </w:r>
      <w:r>
        <w:rPr>
          <w:rFonts w:ascii="宋体" w:hAnsi="宋体" w:eastAsia="宋体" w:cs="宋体"/>
          <w:b/>
          <w:color w:val="auto"/>
          <w:sz w:val="24"/>
          <w:szCs w:val="24"/>
          <w:highlight w:val="none"/>
        </w:rPr>
        <w:t>、评审</w:t>
      </w:r>
      <w:r>
        <w:rPr>
          <w:rFonts w:hint="eastAsia" w:ascii="宋体" w:hAnsi="宋体" w:eastAsia="宋体" w:cs="宋体"/>
          <w:b/>
          <w:color w:val="auto"/>
          <w:sz w:val="24"/>
          <w:szCs w:val="24"/>
          <w:highlight w:val="none"/>
        </w:rPr>
        <w:t>办法：</w:t>
      </w:r>
    </w:p>
    <w:p w14:paraId="43C68CF8">
      <w:pPr>
        <w:keepNext w:val="0"/>
        <w:keepLines w:val="0"/>
        <w:pageBreakBefore w:val="0"/>
        <w:widowControl w:val="0"/>
        <w:tabs>
          <w:tab w:val="left" w:pos="0"/>
          <w:tab w:val="left" w:pos="885"/>
          <w:tab w:val="left" w:pos="990"/>
        </w:tabs>
        <w:kinsoku/>
        <w:wordWrap/>
        <w:overflowPunct/>
        <w:topLinePunct w:val="0"/>
        <w:bidi w:val="0"/>
        <w:snapToGrid/>
        <w:spacing w:line="360" w:lineRule="auto"/>
        <w:ind w:firstLine="566" w:firstLineChars="23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1、本项目采用综合评分法，是指响应文件满足磋商文件全部实质性要求且按评审因素的量化指标评审得分，按照评审得分由高到低顺序推荐成交候选供应商的评审方法。</w:t>
      </w:r>
    </w:p>
    <w:tbl>
      <w:tblPr>
        <w:tblStyle w:val="18"/>
        <w:tblW w:w="9657" w:type="dxa"/>
        <w:tblInd w:w="127"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48"/>
        <w:gridCol w:w="1407"/>
        <w:gridCol w:w="814"/>
        <w:gridCol w:w="5688"/>
      </w:tblGrid>
      <w:tr w14:paraId="3EAE62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48" w:type="dxa"/>
            <w:noWrap w:val="0"/>
            <w:vAlign w:val="center"/>
          </w:tcPr>
          <w:p w14:paraId="102554D9">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评审项目分类</w:t>
            </w:r>
          </w:p>
        </w:tc>
        <w:tc>
          <w:tcPr>
            <w:tcW w:w="1407" w:type="dxa"/>
            <w:noWrap w:val="0"/>
            <w:vAlign w:val="center"/>
          </w:tcPr>
          <w:p w14:paraId="2058B950">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评价指标</w:t>
            </w:r>
          </w:p>
        </w:tc>
        <w:tc>
          <w:tcPr>
            <w:tcW w:w="814" w:type="dxa"/>
            <w:noWrap w:val="0"/>
            <w:vAlign w:val="center"/>
          </w:tcPr>
          <w:p w14:paraId="3B296AB5">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分值</w:t>
            </w:r>
          </w:p>
        </w:tc>
        <w:tc>
          <w:tcPr>
            <w:tcW w:w="5688" w:type="dxa"/>
            <w:noWrap w:val="0"/>
            <w:vAlign w:val="center"/>
          </w:tcPr>
          <w:p w14:paraId="2AA110F8">
            <w:pPr>
              <w:keepNext w:val="0"/>
              <w:keepLines w:val="0"/>
              <w:pageBreakBefore w:val="0"/>
              <w:widowControl w:val="0"/>
              <w:kinsoku/>
              <w:wordWrap/>
              <w:overflowPunct/>
              <w:topLinePunct w:val="0"/>
              <w:autoSpaceDE w:val="0"/>
              <w:autoSpaceDN w:val="0"/>
              <w:bidi w:val="0"/>
              <w:adjustRightInd w:val="0"/>
              <w:snapToGrid/>
              <w:spacing w:line="360" w:lineRule="auto"/>
              <w:ind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评分标准</w:t>
            </w:r>
          </w:p>
        </w:tc>
      </w:tr>
      <w:tr w14:paraId="0AB824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30" w:hRule="atLeast"/>
        </w:trPr>
        <w:tc>
          <w:tcPr>
            <w:tcW w:w="1748" w:type="dxa"/>
            <w:noWrap w:val="0"/>
            <w:vAlign w:val="center"/>
          </w:tcPr>
          <w:p w14:paraId="0473D8FC">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报价</w:t>
            </w:r>
            <w:r>
              <w:rPr>
                <w:rFonts w:hint="eastAsia" w:ascii="宋体" w:hAnsi="宋体" w:eastAsia="宋体" w:cs="宋体"/>
                <w:b/>
                <w:bCs/>
                <w:sz w:val="24"/>
                <w:szCs w:val="24"/>
                <w:highlight w:val="none"/>
                <w:lang w:val="en-US" w:eastAsia="zh-CN"/>
              </w:rPr>
              <w:t>部分</w:t>
            </w:r>
          </w:p>
          <w:p w14:paraId="6FB0FC19">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30</w:t>
            </w:r>
            <w:r>
              <w:rPr>
                <w:rFonts w:hint="eastAsia" w:ascii="宋体" w:hAnsi="宋体" w:eastAsia="宋体" w:cs="宋体"/>
                <w:b/>
                <w:bCs/>
                <w:sz w:val="24"/>
                <w:szCs w:val="24"/>
                <w:highlight w:val="none"/>
              </w:rPr>
              <w:t>分）</w:t>
            </w:r>
          </w:p>
        </w:tc>
        <w:tc>
          <w:tcPr>
            <w:tcW w:w="1407" w:type="dxa"/>
            <w:noWrap w:val="0"/>
            <w:vAlign w:val="center"/>
          </w:tcPr>
          <w:p w14:paraId="18532672">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val="0"/>
                <w:bCs/>
                <w:sz w:val="24"/>
                <w:szCs w:val="24"/>
                <w:highlight w:val="none"/>
              </w:rPr>
            </w:pPr>
          </w:p>
          <w:p w14:paraId="26F47AAF">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价格部分</w:t>
            </w:r>
          </w:p>
          <w:p w14:paraId="43348589">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sz w:val="24"/>
                <w:szCs w:val="24"/>
                <w:highlight w:val="none"/>
              </w:rPr>
            </w:pPr>
          </w:p>
        </w:tc>
        <w:tc>
          <w:tcPr>
            <w:tcW w:w="814" w:type="dxa"/>
            <w:noWrap w:val="0"/>
            <w:vAlign w:val="center"/>
          </w:tcPr>
          <w:p w14:paraId="6CC7F08E">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分</w:t>
            </w:r>
          </w:p>
        </w:tc>
        <w:tc>
          <w:tcPr>
            <w:tcW w:w="5688" w:type="dxa"/>
            <w:noWrap w:val="0"/>
            <w:vAlign w:val="center"/>
          </w:tcPr>
          <w:p w14:paraId="3BF0B768">
            <w:pPr>
              <w:keepNext w:val="0"/>
              <w:keepLines w:val="0"/>
              <w:pageBreakBefore w:val="0"/>
              <w:widowControl w:val="0"/>
              <w:kinsoku/>
              <w:wordWrap/>
              <w:overflowPunct/>
              <w:topLinePunct w:val="0"/>
              <w:bidi w:val="0"/>
              <w:adjustRightInd/>
              <w:snapToGrid/>
              <w:spacing w:line="360" w:lineRule="auto"/>
              <w:ind w:left="0" w:leftChars="0" w:right="0" w:rightChars="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超出招标控制价的投标报价为无效报价。</w:t>
            </w:r>
          </w:p>
          <w:p w14:paraId="33C42CAF">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left"/>
              <w:textAlignment w:val="auto"/>
              <w:rPr>
                <w:rFonts w:hint="eastAsia" w:ascii="宋体" w:hAnsi="宋体" w:eastAsia="宋体" w:cs="宋体"/>
                <w:b/>
                <w:sz w:val="24"/>
                <w:szCs w:val="24"/>
                <w:highlight w:val="none"/>
              </w:rPr>
            </w:pPr>
            <w:r>
              <w:rPr>
                <w:rFonts w:hint="eastAsia" w:ascii="宋体" w:hAnsi="宋体" w:eastAsia="宋体" w:cs="宋体"/>
                <w:color w:val="auto"/>
                <w:sz w:val="24"/>
                <w:szCs w:val="24"/>
              </w:rPr>
              <w:t>供应商的报价得分统一采用最低价优先法计算，即满足磋商文件要求且最终报价最低的供应商的价格为磋商基准价，其报价得分为满分</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分。其他供应商的报价得分统一按照下列公式计算：磋商报价得分=（磋商基准价/最终磋商报价）×</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w:t>
            </w:r>
          </w:p>
        </w:tc>
      </w:tr>
      <w:tr w14:paraId="5A1F91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48" w:type="dxa"/>
            <w:vMerge w:val="restart"/>
            <w:noWrap w:val="0"/>
            <w:vAlign w:val="center"/>
          </w:tcPr>
          <w:p w14:paraId="03D3F0FA">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技术部分</w:t>
            </w:r>
          </w:p>
          <w:p w14:paraId="1708E495">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color w:val="FF0000"/>
                <w:sz w:val="24"/>
                <w:szCs w:val="24"/>
                <w:highlight w:val="none"/>
              </w:rPr>
            </w:pPr>
            <w:r>
              <w:rPr>
                <w:rFonts w:hint="eastAsia" w:ascii="宋体" w:hAnsi="宋体" w:eastAsia="宋体" w:cs="宋体"/>
                <w:b/>
                <w:bCs/>
                <w:color w:val="auto"/>
                <w:sz w:val="24"/>
                <w:szCs w:val="24"/>
                <w:highlight w:val="none"/>
                <w:lang w:val="en-US" w:eastAsia="zh-CN"/>
              </w:rPr>
              <w:t>（65分）</w:t>
            </w:r>
          </w:p>
        </w:tc>
        <w:tc>
          <w:tcPr>
            <w:tcW w:w="1407" w:type="dxa"/>
            <w:noWrap w:val="0"/>
            <w:vAlign w:val="center"/>
          </w:tcPr>
          <w:p w14:paraId="4D3FD1F6">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人员配备</w:t>
            </w:r>
          </w:p>
        </w:tc>
        <w:tc>
          <w:tcPr>
            <w:tcW w:w="814" w:type="dxa"/>
            <w:noWrap w:val="0"/>
            <w:vAlign w:val="center"/>
          </w:tcPr>
          <w:p w14:paraId="6B3CB09D">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9分</w:t>
            </w:r>
          </w:p>
        </w:tc>
        <w:tc>
          <w:tcPr>
            <w:tcW w:w="5688" w:type="dxa"/>
            <w:noWrap w:val="0"/>
            <w:vAlign w:val="center"/>
          </w:tcPr>
          <w:p w14:paraId="284859BC">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lang w:val="en-US" w:eastAsia="zh-CN"/>
              </w:rPr>
            </w:pPr>
            <w:r>
              <w:rPr>
                <w:rFonts w:hint="eastAsia" w:ascii="宋体" w:hAnsi="宋体" w:eastAsia="宋体" w:cs="宋体"/>
                <w:sz w:val="24"/>
                <w:szCs w:val="24"/>
                <w:highlight w:val="none"/>
                <w:lang w:eastAsia="zh-CN"/>
              </w:rPr>
              <w:t>根据供应商拟投入人员配置合理、科学，人员分工和岗位职责等设置科学、合理，安排恰当，可行程度高低进行打分：人员配置非常科学、合理，安排恰当，得</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分；人员配置一般科学、合理，安排恰当得</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分；人员配置不完善、不合理恰当得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分；没有该项内容得0分。</w:t>
            </w:r>
          </w:p>
        </w:tc>
      </w:tr>
      <w:tr w14:paraId="3DAEB1B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824" w:hRule="atLeast"/>
        </w:trPr>
        <w:tc>
          <w:tcPr>
            <w:tcW w:w="1748" w:type="dxa"/>
            <w:vMerge w:val="continue"/>
            <w:noWrap w:val="0"/>
            <w:vAlign w:val="center"/>
          </w:tcPr>
          <w:p w14:paraId="260FC428">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39C2FE62">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val="en-US" w:eastAsia="zh-CN"/>
              </w:rPr>
            </w:pPr>
          </w:p>
          <w:p w14:paraId="47ABEE7F">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药剂</w:t>
            </w:r>
          </w:p>
          <w:p w14:paraId="70089450">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pacing w:val="-2"/>
                <w:sz w:val="24"/>
                <w:szCs w:val="24"/>
                <w:highlight w:val="none"/>
                <w:lang w:eastAsia="zh-CN"/>
              </w:rPr>
            </w:pPr>
          </w:p>
        </w:tc>
        <w:tc>
          <w:tcPr>
            <w:tcW w:w="814" w:type="dxa"/>
            <w:noWrap w:val="0"/>
            <w:vAlign w:val="center"/>
          </w:tcPr>
          <w:p w14:paraId="666AC3EA">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eastAsia" w:ascii="宋体" w:hAnsi="宋体" w:eastAsia="宋体" w:cs="宋体"/>
                <w:spacing w:val="-2"/>
                <w:sz w:val="24"/>
                <w:szCs w:val="24"/>
                <w:highlight w:val="none"/>
                <w:lang w:eastAsia="zh-CN"/>
              </w:rPr>
            </w:pPr>
            <w:r>
              <w:rPr>
                <w:rFonts w:hint="eastAsia" w:ascii="宋体" w:hAnsi="宋体" w:eastAsia="宋体" w:cs="宋体"/>
                <w:sz w:val="24"/>
                <w:szCs w:val="24"/>
                <w:highlight w:val="none"/>
                <w:lang w:val="en-US" w:eastAsia="zh-CN"/>
              </w:rPr>
              <w:t>9分</w:t>
            </w:r>
          </w:p>
        </w:tc>
        <w:tc>
          <w:tcPr>
            <w:tcW w:w="5688" w:type="dxa"/>
            <w:noWrap w:val="0"/>
            <w:vAlign w:val="center"/>
          </w:tcPr>
          <w:p w14:paraId="3FC8EFD3">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根据供应商针对本次磋商拟投入的施用药剂，综合评定打分。内容全面、表述准确、针对性强且具体详细的得9分；内容基本全面、表述基本准确、相对有针对性的得</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分；内容不全或表述差、针对性不强得3分；没有该项内容得0分。</w:t>
            </w:r>
          </w:p>
        </w:tc>
      </w:tr>
      <w:tr w14:paraId="6191D05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75" w:hRule="atLeast"/>
        </w:trPr>
        <w:tc>
          <w:tcPr>
            <w:tcW w:w="1748" w:type="dxa"/>
            <w:vMerge w:val="continue"/>
            <w:noWrap w:val="0"/>
            <w:vAlign w:val="center"/>
          </w:tcPr>
          <w:p w14:paraId="57727878">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7EEAA96F">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有害生物监测</w:t>
            </w:r>
          </w:p>
        </w:tc>
        <w:tc>
          <w:tcPr>
            <w:tcW w:w="814" w:type="dxa"/>
            <w:noWrap w:val="0"/>
            <w:vAlign w:val="center"/>
          </w:tcPr>
          <w:p w14:paraId="72294935">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9分</w:t>
            </w:r>
          </w:p>
        </w:tc>
        <w:tc>
          <w:tcPr>
            <w:tcW w:w="5688" w:type="dxa"/>
            <w:noWrap w:val="0"/>
            <w:vAlign w:val="center"/>
          </w:tcPr>
          <w:p w14:paraId="0C7FBCA8">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根据供应商的监测点设置、监测方案，用于监测的车辆及设备的配备。情况进行打分：监测点、监测方案设置科学得当、监测车辆及设备的配备充足得9分；监测点、监测方案设置一般、监测车辆及设备的配备基本满足得6分；监测点、监测方案设置较差、监测车辆及设备的配备不足得3分；没有该项内容得0分。</w:t>
            </w:r>
          </w:p>
        </w:tc>
      </w:tr>
      <w:tr w14:paraId="6F7AD8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63" w:hRule="atLeast"/>
        </w:trPr>
        <w:tc>
          <w:tcPr>
            <w:tcW w:w="1748" w:type="dxa"/>
            <w:vMerge w:val="continue"/>
            <w:noWrap w:val="0"/>
            <w:vAlign w:val="center"/>
          </w:tcPr>
          <w:p w14:paraId="45AF3C34">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34003F62">
            <w:pPr>
              <w:pStyle w:val="17"/>
              <w:keepNext w:val="0"/>
              <w:keepLines w:val="0"/>
              <w:pageBreakBefore w:val="0"/>
              <w:widowControl w:val="0"/>
              <w:kinsoku/>
              <w:wordWrap/>
              <w:overflowPunct/>
              <w:topLinePunct w:val="0"/>
              <w:bidi w:val="0"/>
              <w:snapToGrid/>
              <w:spacing w:after="0" w:line="360" w:lineRule="auto"/>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Times New Roman"/>
                <w:color w:val="000000"/>
                <w:sz w:val="24"/>
              </w:rPr>
              <w:t>实施方案</w:t>
            </w:r>
          </w:p>
        </w:tc>
        <w:tc>
          <w:tcPr>
            <w:tcW w:w="814" w:type="dxa"/>
            <w:noWrap w:val="0"/>
            <w:vAlign w:val="center"/>
          </w:tcPr>
          <w:p w14:paraId="6CA245BF">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10分</w:t>
            </w:r>
          </w:p>
        </w:tc>
        <w:tc>
          <w:tcPr>
            <w:tcW w:w="5688" w:type="dxa"/>
            <w:noWrap w:val="0"/>
            <w:vAlign w:val="center"/>
          </w:tcPr>
          <w:p w14:paraId="5ED8F6E0">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根据供应商拟投入本项目的防控方案设置情况进行打分：方案完善周到、科学合理、可行性强、设计全面得10分；方案相对完善、相对科学、可行性一般、设计一般得7分；方案不完善、不科学、可行性差、设计不全得3分；没有该项内容得0分。</w:t>
            </w:r>
          </w:p>
        </w:tc>
      </w:tr>
      <w:tr w14:paraId="08B9025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68" w:hRule="atLeast"/>
        </w:trPr>
        <w:tc>
          <w:tcPr>
            <w:tcW w:w="1748" w:type="dxa"/>
            <w:vMerge w:val="continue"/>
            <w:noWrap w:val="0"/>
            <w:vAlign w:val="center"/>
          </w:tcPr>
          <w:p w14:paraId="154B97C5">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64099535">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对应急及突发事件的处理</w:t>
            </w:r>
          </w:p>
          <w:p w14:paraId="287F3B16">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措施</w:t>
            </w:r>
          </w:p>
        </w:tc>
        <w:tc>
          <w:tcPr>
            <w:tcW w:w="814" w:type="dxa"/>
            <w:noWrap w:val="0"/>
            <w:vAlign w:val="center"/>
          </w:tcPr>
          <w:p w14:paraId="056421A0">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10分</w:t>
            </w:r>
          </w:p>
        </w:tc>
        <w:tc>
          <w:tcPr>
            <w:tcW w:w="5688" w:type="dxa"/>
            <w:noWrap w:val="0"/>
            <w:vAlign w:val="center"/>
          </w:tcPr>
          <w:p w14:paraId="1148969F">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eastAsia="zh-CN"/>
              </w:rPr>
              <w:t>根据供应商对应急及突发事件的处理措施方案编制情况进行打分：处理措施非常合理得当，得10分；处理措施一般合理得当，得7分；处理措施不合理不得当，得3分；没有该项内容得0分。</w:t>
            </w:r>
          </w:p>
        </w:tc>
      </w:tr>
      <w:tr w14:paraId="4DC8D1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68" w:hRule="atLeast"/>
        </w:trPr>
        <w:tc>
          <w:tcPr>
            <w:tcW w:w="1748" w:type="dxa"/>
            <w:vMerge w:val="continue"/>
            <w:noWrap w:val="0"/>
            <w:vAlign w:val="center"/>
          </w:tcPr>
          <w:p w14:paraId="06534A77">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68EFEC41">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质量目标和保证</w:t>
            </w:r>
          </w:p>
          <w:p w14:paraId="1E7DB901">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措施</w:t>
            </w:r>
          </w:p>
        </w:tc>
        <w:tc>
          <w:tcPr>
            <w:tcW w:w="814" w:type="dxa"/>
            <w:noWrap w:val="0"/>
            <w:vAlign w:val="center"/>
          </w:tcPr>
          <w:p w14:paraId="6C480F3B">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9分</w:t>
            </w:r>
          </w:p>
        </w:tc>
        <w:tc>
          <w:tcPr>
            <w:tcW w:w="5688" w:type="dxa"/>
            <w:noWrap w:val="0"/>
            <w:vAlign w:val="center"/>
          </w:tcPr>
          <w:p w14:paraId="0F9763D8">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根据各供应商质量控制及保证措施方案编制合理、可行程度</w:t>
            </w:r>
            <w:r>
              <w:rPr>
                <w:rFonts w:hint="eastAsia" w:ascii="宋体" w:hAnsi="宋体" w:eastAsia="宋体" w:cs="宋体"/>
                <w:sz w:val="24"/>
                <w:szCs w:val="24"/>
                <w:highlight w:val="none"/>
                <w:lang w:val="en-US" w:eastAsia="zh-CN"/>
              </w:rPr>
              <w:t>打分</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内容全面、表述准确、针对性强且具体详细的得9分；内容基本全面、表述基本准确、相对有针对性的得6分；内容不全或表述差、针对性不强得3分；没有该项内容得0分。</w:t>
            </w:r>
          </w:p>
        </w:tc>
      </w:tr>
      <w:tr w14:paraId="41D165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68" w:hRule="atLeast"/>
        </w:trPr>
        <w:tc>
          <w:tcPr>
            <w:tcW w:w="1748" w:type="dxa"/>
            <w:vMerge w:val="continue"/>
            <w:noWrap w:val="0"/>
            <w:vAlign w:val="center"/>
          </w:tcPr>
          <w:p w14:paraId="6B381571">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textAlignment w:val="auto"/>
              <w:rPr>
                <w:rFonts w:hint="eastAsia" w:ascii="宋体" w:hAnsi="宋体" w:eastAsia="宋体" w:cs="宋体"/>
                <w:b/>
                <w:sz w:val="24"/>
                <w:szCs w:val="24"/>
                <w:highlight w:val="none"/>
              </w:rPr>
            </w:pPr>
          </w:p>
        </w:tc>
        <w:tc>
          <w:tcPr>
            <w:tcW w:w="1407" w:type="dxa"/>
            <w:noWrap w:val="0"/>
            <w:vAlign w:val="center"/>
          </w:tcPr>
          <w:p w14:paraId="4812AF0B">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安全保障措施</w:t>
            </w:r>
          </w:p>
        </w:tc>
        <w:tc>
          <w:tcPr>
            <w:tcW w:w="814" w:type="dxa"/>
            <w:noWrap w:val="0"/>
            <w:vAlign w:val="center"/>
          </w:tcPr>
          <w:p w14:paraId="5CEAEDBE">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9分</w:t>
            </w:r>
          </w:p>
        </w:tc>
        <w:tc>
          <w:tcPr>
            <w:tcW w:w="5688" w:type="dxa"/>
            <w:noWrap w:val="0"/>
            <w:vAlign w:val="center"/>
          </w:tcPr>
          <w:p w14:paraId="5D358E48">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根据供应商安全保障措施方案编制合理、可行程度</w:t>
            </w:r>
            <w:r>
              <w:rPr>
                <w:rFonts w:hint="eastAsia" w:ascii="宋体" w:hAnsi="宋体" w:eastAsia="宋体" w:cs="宋体"/>
                <w:sz w:val="24"/>
                <w:szCs w:val="24"/>
                <w:highlight w:val="none"/>
                <w:lang w:val="en-US" w:eastAsia="zh-CN"/>
              </w:rPr>
              <w:t>打分</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内容全面、表述准确、针对性强且具体详细的得9分；内容基本全面、表述基本准确、相对有针对性的得6分；内容不全或表述差、针对性不强得3分；没有该项内容得0分。</w:t>
            </w:r>
          </w:p>
        </w:tc>
      </w:tr>
      <w:tr w14:paraId="52EFB32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68" w:hRule="atLeast"/>
        </w:trPr>
        <w:tc>
          <w:tcPr>
            <w:tcW w:w="1748" w:type="dxa"/>
            <w:noWrap w:val="0"/>
            <w:vAlign w:val="center"/>
          </w:tcPr>
          <w:p w14:paraId="0268C9A0">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业绩</w:t>
            </w:r>
          </w:p>
          <w:p w14:paraId="1E86D298">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jc w:val="center"/>
              <w:textAlignment w:val="auto"/>
              <w:rPr>
                <w:rFonts w:hint="eastAsia" w:ascii="宋体" w:hAnsi="宋体" w:eastAsia="宋体" w:cs="宋体"/>
                <w:b/>
                <w:sz w:val="24"/>
                <w:szCs w:val="24"/>
                <w:highlight w:val="none"/>
              </w:rPr>
            </w:pPr>
            <w:r>
              <w:rPr>
                <w:rFonts w:hint="eastAsia" w:ascii="宋体" w:hAnsi="宋体" w:eastAsia="宋体" w:cs="宋体"/>
                <w:b/>
                <w:bCs/>
                <w:color w:val="auto"/>
                <w:sz w:val="24"/>
                <w:szCs w:val="24"/>
                <w:highlight w:val="none"/>
                <w:lang w:val="en-US" w:eastAsia="zh-CN"/>
              </w:rPr>
              <w:t>（5分）</w:t>
            </w:r>
          </w:p>
        </w:tc>
        <w:tc>
          <w:tcPr>
            <w:tcW w:w="1407" w:type="dxa"/>
            <w:noWrap w:val="0"/>
            <w:vAlign w:val="center"/>
          </w:tcPr>
          <w:p w14:paraId="0586F132">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w:t>
            </w:r>
          </w:p>
          <w:p w14:paraId="5FB53D09">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近三年</w:t>
            </w:r>
          </w:p>
          <w:p w14:paraId="13341241">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承担的</w:t>
            </w:r>
          </w:p>
          <w:p w14:paraId="12DE98B8">
            <w:pPr>
              <w:keepNext w:val="0"/>
              <w:keepLines w:val="0"/>
              <w:pageBreakBefore w:val="0"/>
              <w:widowControl w:val="0"/>
              <w:kinsoku/>
              <w:wordWrap/>
              <w:overflowPunct/>
              <w:topLinePunct w:val="0"/>
              <w:bidi w:val="0"/>
              <w:snapToGrid/>
              <w:spacing w:line="360" w:lineRule="auto"/>
              <w:ind w:left="0" w:leftChars="0" w:right="0" w:rightChars="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类似业绩</w:t>
            </w:r>
          </w:p>
        </w:tc>
        <w:tc>
          <w:tcPr>
            <w:tcW w:w="814" w:type="dxa"/>
            <w:noWrap w:val="0"/>
            <w:vAlign w:val="center"/>
          </w:tcPr>
          <w:p w14:paraId="4D4BA62D">
            <w:pPr>
              <w:keepNext w:val="0"/>
              <w:keepLines w:val="0"/>
              <w:pageBreakBefore w:val="0"/>
              <w:widowControl w:val="0"/>
              <w:kinsoku/>
              <w:wordWrap/>
              <w:overflowPunct/>
              <w:topLinePunct w:val="0"/>
              <w:bidi w:val="0"/>
              <w:adjustRightInd/>
              <w:snapToGrid/>
              <w:spacing w:line="360" w:lineRule="auto"/>
              <w:ind w:left="0" w:leftChars="0" w:right="0" w:rightChars="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5分</w:t>
            </w:r>
          </w:p>
        </w:tc>
        <w:tc>
          <w:tcPr>
            <w:tcW w:w="5688" w:type="dxa"/>
            <w:noWrap w:val="0"/>
            <w:vAlign w:val="center"/>
          </w:tcPr>
          <w:p w14:paraId="2B89B84C">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本企业</w:t>
            </w:r>
            <w:r>
              <w:rPr>
                <w:rFonts w:hint="eastAsia" w:ascii="宋体" w:hAnsi="宋体" w:eastAsia="宋体" w:cs="宋体"/>
                <w:sz w:val="24"/>
                <w:szCs w:val="24"/>
                <w:highlight w:val="none"/>
                <w:u w:val="single"/>
                <w:lang w:eastAsia="zh-CN"/>
              </w:rPr>
              <w:t>202</w:t>
            </w:r>
            <w:r>
              <w:rPr>
                <w:rFonts w:hint="eastAsia" w:ascii="宋体" w:hAnsi="宋体" w:cs="宋体"/>
                <w:sz w:val="24"/>
                <w:szCs w:val="24"/>
                <w:highlight w:val="none"/>
                <w:u w:val="single"/>
                <w:lang w:val="en-US" w:eastAsia="zh-CN"/>
              </w:rPr>
              <w:t>2</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u w:val="single"/>
                <w:lang w:val="en-US" w:eastAsia="zh-CN"/>
              </w:rPr>
              <w:t>0</w:t>
            </w:r>
            <w:r>
              <w:rPr>
                <w:rFonts w:hint="eastAsia" w:ascii="宋体" w:hAnsi="宋体" w:eastAsia="宋体" w:cs="宋体"/>
                <w:sz w:val="24"/>
                <w:szCs w:val="24"/>
                <w:highlight w:val="none"/>
                <w:u w:val="single"/>
                <w:lang w:eastAsia="zh-CN"/>
              </w:rPr>
              <w:t>1</w:t>
            </w:r>
            <w:r>
              <w:rPr>
                <w:rFonts w:hint="eastAsia" w:ascii="宋体" w:hAnsi="宋体" w:eastAsia="宋体" w:cs="宋体"/>
                <w:sz w:val="24"/>
                <w:szCs w:val="24"/>
                <w:highlight w:val="none"/>
                <w:lang w:eastAsia="zh-CN"/>
              </w:rPr>
              <w:t>月</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u w:val="single"/>
                <w:lang w:val="en-US" w:eastAsia="zh-CN"/>
              </w:rPr>
              <w:t>0</w:t>
            </w:r>
            <w:r>
              <w:rPr>
                <w:rFonts w:hint="eastAsia" w:ascii="宋体" w:hAnsi="宋体" w:eastAsia="宋体" w:cs="宋体"/>
                <w:sz w:val="24"/>
                <w:szCs w:val="24"/>
                <w:highlight w:val="none"/>
                <w:u w:val="single"/>
                <w:lang w:eastAsia="zh-CN"/>
              </w:rPr>
              <w:t xml:space="preserve">1 </w:t>
            </w:r>
            <w:r>
              <w:rPr>
                <w:rFonts w:hint="eastAsia" w:ascii="宋体" w:hAnsi="宋体" w:eastAsia="宋体" w:cs="宋体"/>
                <w:sz w:val="24"/>
                <w:szCs w:val="24"/>
                <w:highlight w:val="none"/>
                <w:lang w:eastAsia="zh-CN"/>
              </w:rPr>
              <w:t>日以来承担过的类似业绩每项得5分，最高得分5分。</w:t>
            </w:r>
          </w:p>
          <w:p w14:paraId="57CCB39B">
            <w:pPr>
              <w:keepNext w:val="0"/>
              <w:keepLines w:val="0"/>
              <w:pageBreakBefore w:val="0"/>
              <w:widowControl w:val="0"/>
              <w:kinsoku/>
              <w:wordWrap/>
              <w:overflowPunct/>
              <w:topLinePunct w:val="0"/>
              <w:bidi w:val="0"/>
              <w:snapToGrid/>
              <w:spacing w:line="360" w:lineRule="auto"/>
              <w:ind w:left="0" w:leftChars="0" w:right="0" w:rightChars="0"/>
              <w:jc w:val="left"/>
              <w:textAlignment w:val="auto"/>
              <w:rPr>
                <w:rFonts w:hint="eastAsia" w:ascii="宋体" w:hAnsi="宋体" w:eastAsia="宋体" w:cs="宋体"/>
                <w:sz w:val="24"/>
                <w:szCs w:val="24"/>
                <w:highlight w:val="none"/>
                <w:lang w:eastAsia="zh-CN"/>
              </w:rPr>
            </w:pPr>
            <w:r>
              <w:rPr>
                <w:rFonts w:hint="eastAsia" w:ascii="宋体" w:hAnsi="宋体" w:eastAsia="宋体" w:cs="宋体"/>
                <w:b/>
                <w:bCs/>
                <w:sz w:val="24"/>
                <w:szCs w:val="24"/>
                <w:highlight w:val="none"/>
                <w:lang w:eastAsia="zh-CN"/>
              </w:rPr>
              <w:t>备注：①类似业绩的界定：单项合同价在10万元及以上的有害生物防治服务项目；②加分条件：以中标通知书及合同原件为准，验证时间以合同签订时间为准，并需将复印件做入响应文件中，否则不予计分。以上验证原件的复印件须装订在响应文件中，否则不予认可。</w:t>
            </w:r>
          </w:p>
        </w:tc>
      </w:tr>
    </w:tbl>
    <w:p w14:paraId="729C4FA3">
      <w:pPr>
        <w:pageBreakBefore w:val="0"/>
        <w:wordWrap/>
        <w:bidi w:val="0"/>
        <w:spacing w:line="360" w:lineRule="auto"/>
        <w:ind w:right="0" w:rightChars="0"/>
        <w:textAlignment w:val="auto"/>
        <w:rPr>
          <w:rFonts w:hint="eastAsia" w:ascii="宋体" w:hAnsi="宋体" w:eastAsia="宋体" w:cs="宋体"/>
          <w:sz w:val="24"/>
          <w:highlight w:val="none"/>
        </w:rPr>
      </w:pPr>
    </w:p>
    <w:p w14:paraId="0F634881">
      <w:pPr>
        <w:pStyle w:val="17"/>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eastAsia" w:ascii="宋体" w:hAnsi="宋体" w:eastAsia="宋体" w:cs="宋体"/>
          <w:b/>
          <w:bCs/>
          <w:sz w:val="24"/>
          <w:highlight w:val="none"/>
        </w:rPr>
      </w:pPr>
      <w:r>
        <w:rPr>
          <w:rFonts w:hint="eastAsia" w:ascii="宋体" w:hAnsi="宋体" w:eastAsia="宋体" w:cs="宋体"/>
          <w:b/>
          <w:bCs/>
          <w:sz w:val="24"/>
          <w:highlight w:val="none"/>
          <w:lang w:val="en-US" w:eastAsia="zh-CN"/>
        </w:rPr>
        <w:t>备注</w:t>
      </w:r>
      <w:r>
        <w:rPr>
          <w:rFonts w:hint="eastAsia" w:ascii="宋体" w:hAnsi="宋体" w:cs="宋体"/>
          <w:b/>
          <w:bCs/>
          <w:sz w:val="24"/>
          <w:highlight w:val="none"/>
          <w:lang w:val="en-US" w:eastAsia="zh-CN"/>
        </w:rPr>
        <w:t>：</w:t>
      </w:r>
      <w:r>
        <w:rPr>
          <w:rFonts w:hint="eastAsia" w:ascii="宋体" w:hAnsi="宋体" w:eastAsia="宋体" w:cs="宋体"/>
          <w:b/>
          <w:bCs/>
          <w:sz w:val="24"/>
          <w:highlight w:val="none"/>
        </w:rPr>
        <w:t>1、总得分相同者，最终报价低者排名优先；最终报价也相同的，</w:t>
      </w:r>
      <w:r>
        <w:rPr>
          <w:rFonts w:hint="eastAsia" w:ascii="宋体" w:hAnsi="宋体" w:cs="宋体"/>
          <w:b/>
          <w:bCs/>
          <w:sz w:val="24"/>
          <w:highlight w:val="none"/>
          <w:lang w:val="en-US" w:eastAsia="zh-CN"/>
        </w:rPr>
        <w:t>技术部分</w:t>
      </w:r>
      <w:r>
        <w:rPr>
          <w:rFonts w:hint="eastAsia" w:ascii="宋体" w:hAnsi="宋体" w:eastAsia="宋体" w:cs="宋体"/>
          <w:b/>
          <w:bCs/>
          <w:sz w:val="24"/>
          <w:highlight w:val="none"/>
        </w:rPr>
        <w:t>得分高者排名优先；</w:t>
      </w:r>
      <w:r>
        <w:rPr>
          <w:rFonts w:hint="eastAsia" w:ascii="宋体" w:hAnsi="宋体" w:cs="宋体"/>
          <w:b/>
          <w:bCs/>
          <w:sz w:val="24"/>
          <w:highlight w:val="none"/>
          <w:lang w:val="en-US" w:eastAsia="zh-CN"/>
        </w:rPr>
        <w:t>技术部分</w:t>
      </w:r>
      <w:r>
        <w:rPr>
          <w:rFonts w:hint="eastAsia" w:ascii="宋体" w:hAnsi="宋体" w:eastAsia="宋体" w:cs="宋体"/>
          <w:b/>
          <w:bCs/>
          <w:sz w:val="24"/>
          <w:highlight w:val="none"/>
        </w:rPr>
        <w:t xml:space="preserve">得分也相同的，按供应商磋商响应文件递交登记表递交的先后顺序确定成交人，排序在前的为最终成交供应商。  </w:t>
      </w:r>
    </w:p>
    <w:p w14:paraId="52A6A763">
      <w:pPr>
        <w:pStyle w:val="17"/>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2、评分分值计算保留小数点后两位，小数点后第三位“四舍五入”。</w:t>
      </w:r>
    </w:p>
    <w:p w14:paraId="4834E104">
      <w:pPr>
        <w:pStyle w:val="17"/>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注：供应商所提供的材料或填写的内容必须真实、可靠，如有虚假或隐瞒，一经查实将导致投标被拒绝，并按照《中华人民共和国政府采购法》第七十七条第一款“提供虚假材料谋取成交的”进行处罚，给采购人造成损失的应承担赔偿责任。</w:t>
      </w:r>
    </w:p>
    <w:p w14:paraId="61327106">
      <w:pPr>
        <w:pStyle w:val="17"/>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四、成交通知书</w:t>
      </w:r>
    </w:p>
    <w:p w14:paraId="7E945B1F">
      <w:pPr>
        <w:pStyle w:val="17"/>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4"/>
          <w:highlight w:val="none"/>
          <w:lang w:eastAsia="zh-CN"/>
        </w:rPr>
      </w:pPr>
      <w:r>
        <w:rPr>
          <w:rFonts w:hint="eastAsia" w:ascii="宋体" w:hAnsi="宋体" w:eastAsia="宋体" w:cs="宋体"/>
          <w:b/>
          <w:bCs/>
          <w:sz w:val="24"/>
          <w:highlight w:val="none"/>
        </w:rPr>
        <w:t>成交结果公示结束后，采购人向成交供应商签发《成交通知书》</w:t>
      </w:r>
      <w:r>
        <w:rPr>
          <w:rFonts w:hint="eastAsia" w:ascii="宋体" w:hAnsi="宋体" w:cs="宋体"/>
          <w:b/>
          <w:bCs/>
          <w:sz w:val="24"/>
          <w:highlight w:val="none"/>
          <w:lang w:eastAsia="zh-CN"/>
        </w:rPr>
        <w:t>。</w:t>
      </w:r>
    </w:p>
    <w:p w14:paraId="217C718B">
      <w:pPr>
        <w:rPr>
          <w:rFonts w:hint="eastAsia" w:ascii="宋体" w:hAnsi="宋体" w:eastAsia="宋体" w:cs="宋体"/>
          <w:sz w:val="24"/>
          <w:highlight w:val="none"/>
        </w:rPr>
      </w:pPr>
    </w:p>
    <w:p w14:paraId="72F2C083">
      <w:pPr>
        <w:pStyle w:val="17"/>
        <w:rPr>
          <w:rFonts w:hint="eastAsia" w:ascii="宋体" w:hAnsi="宋体" w:eastAsia="宋体" w:cs="宋体"/>
          <w:sz w:val="24"/>
          <w:highlight w:val="none"/>
        </w:rPr>
      </w:pPr>
    </w:p>
    <w:p w14:paraId="11BE10D5">
      <w:pPr>
        <w:rPr>
          <w:rFonts w:hint="eastAsia" w:ascii="宋体" w:hAnsi="宋体" w:eastAsia="宋体" w:cs="宋体"/>
          <w:sz w:val="24"/>
          <w:highlight w:val="none"/>
        </w:rPr>
      </w:pPr>
    </w:p>
    <w:p w14:paraId="02D1197B">
      <w:pPr>
        <w:pStyle w:val="17"/>
        <w:rPr>
          <w:rFonts w:hint="eastAsia" w:ascii="宋体" w:hAnsi="宋体" w:eastAsia="宋体" w:cs="宋体"/>
          <w:sz w:val="24"/>
          <w:highlight w:val="none"/>
        </w:rPr>
      </w:pPr>
    </w:p>
    <w:p w14:paraId="626329E8">
      <w:pPr>
        <w:rPr>
          <w:rFonts w:hint="eastAsia" w:ascii="宋体" w:hAnsi="宋体" w:eastAsia="宋体" w:cs="宋体"/>
          <w:sz w:val="24"/>
          <w:highlight w:val="none"/>
        </w:rPr>
      </w:pPr>
    </w:p>
    <w:p w14:paraId="09E8DCF4">
      <w:pPr>
        <w:pStyle w:val="17"/>
        <w:rPr>
          <w:rFonts w:hint="eastAsia"/>
          <w:highlight w:val="none"/>
        </w:rPr>
      </w:pPr>
    </w:p>
    <w:p w14:paraId="7AA6C4FD">
      <w:pPr>
        <w:pageBreakBefore w:val="0"/>
        <w:wordWrap/>
        <w:bidi w:val="0"/>
        <w:spacing w:line="360" w:lineRule="auto"/>
        <w:ind w:left="0" w:leftChars="0" w:right="0" w:rightChars="0"/>
        <w:jc w:val="center"/>
        <w:textAlignment w:val="auto"/>
        <w:outlineLvl w:val="0"/>
        <w:rPr>
          <w:rFonts w:hint="eastAsia" w:ascii="宋体" w:hAnsi="宋体" w:eastAsia="宋体" w:cs="宋体"/>
          <w:b/>
          <w:sz w:val="24"/>
          <w:szCs w:val="36"/>
          <w:highlight w:val="none"/>
          <w:lang w:eastAsia="zh-CN"/>
        </w:rPr>
      </w:pPr>
      <w:r>
        <w:rPr>
          <w:rFonts w:hint="eastAsia" w:ascii="宋体" w:hAnsi="宋体" w:eastAsia="宋体" w:cs="宋体"/>
          <w:sz w:val="24"/>
          <w:highlight w:val="none"/>
        </w:rPr>
        <w:br w:type="page"/>
      </w:r>
      <w:bookmarkStart w:id="21" w:name="_Toc455751475"/>
      <w:bookmarkStart w:id="22" w:name="_Toc368606651"/>
      <w:bookmarkStart w:id="23" w:name="_Toc455751664"/>
      <w:bookmarkStart w:id="24" w:name="_Toc1873"/>
      <w:r>
        <w:rPr>
          <w:rFonts w:hint="eastAsia" w:ascii="宋体" w:hAnsi="宋体" w:eastAsia="宋体" w:cs="宋体"/>
          <w:b/>
          <w:sz w:val="32"/>
          <w:szCs w:val="32"/>
          <w:highlight w:val="none"/>
        </w:rPr>
        <w:t>第四章</w:t>
      </w:r>
      <w:r>
        <w:rPr>
          <w:rFonts w:hint="eastAsia" w:ascii="宋体" w:hAnsi="宋体" w:eastAsia="宋体" w:cs="宋体"/>
          <w:b/>
          <w:sz w:val="32"/>
          <w:szCs w:val="32"/>
          <w:highlight w:val="none"/>
          <w:lang w:val="en-US" w:eastAsia="zh-CN"/>
        </w:rPr>
        <w:t xml:space="preserve"> </w:t>
      </w:r>
      <w:r>
        <w:rPr>
          <w:rFonts w:hint="eastAsia" w:ascii="宋体" w:hAnsi="宋体" w:eastAsia="宋体" w:cs="宋体"/>
          <w:b/>
          <w:sz w:val="32"/>
          <w:szCs w:val="32"/>
          <w:highlight w:val="none"/>
        </w:rPr>
        <w:t xml:space="preserve">  </w:t>
      </w:r>
      <w:bookmarkEnd w:id="21"/>
      <w:bookmarkEnd w:id="22"/>
      <w:bookmarkEnd w:id="23"/>
      <w:r>
        <w:rPr>
          <w:rFonts w:hint="eastAsia" w:ascii="宋体" w:hAnsi="宋体" w:eastAsia="宋体" w:cs="宋体"/>
          <w:b/>
          <w:sz w:val="32"/>
          <w:szCs w:val="32"/>
          <w:highlight w:val="none"/>
        </w:rPr>
        <w:t>采购</w:t>
      </w:r>
      <w:r>
        <w:rPr>
          <w:rFonts w:hint="eastAsia" w:ascii="宋体" w:hAnsi="宋体" w:eastAsia="宋体" w:cs="宋体"/>
          <w:b/>
          <w:sz w:val="32"/>
          <w:szCs w:val="32"/>
          <w:highlight w:val="none"/>
          <w:lang w:val="en-US" w:eastAsia="zh-CN"/>
        </w:rPr>
        <w:t>内容</w:t>
      </w:r>
      <w:r>
        <w:rPr>
          <w:rFonts w:hint="eastAsia" w:ascii="宋体" w:hAnsi="宋体" w:eastAsia="宋体" w:cs="宋体"/>
          <w:b/>
          <w:sz w:val="32"/>
          <w:szCs w:val="32"/>
          <w:highlight w:val="none"/>
        </w:rPr>
        <w:t>及</w:t>
      </w:r>
      <w:r>
        <w:rPr>
          <w:rFonts w:hint="eastAsia" w:ascii="宋体" w:hAnsi="宋体" w:eastAsia="宋体" w:cs="宋体"/>
          <w:b/>
          <w:sz w:val="32"/>
          <w:szCs w:val="32"/>
          <w:highlight w:val="none"/>
          <w:lang w:val="en-US" w:eastAsia="zh-CN"/>
        </w:rPr>
        <w:t>要求</w:t>
      </w:r>
      <w:bookmarkEnd w:id="24"/>
    </w:p>
    <w:p w14:paraId="6FFFA06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rPr>
      </w:pPr>
      <w:bookmarkStart w:id="25" w:name="_Toc368606652"/>
      <w:bookmarkStart w:id="26" w:name="_Toc455751476"/>
      <w:bookmarkStart w:id="27" w:name="_Toc455751665"/>
      <w:bookmarkStart w:id="28" w:name="_Toc8053"/>
      <w:r>
        <w:rPr>
          <w:rFonts w:hint="eastAsia" w:ascii="宋体" w:hAnsi="宋体" w:eastAsia="宋体" w:cs="宋体"/>
          <w:b/>
          <w:bCs/>
          <w:sz w:val="24"/>
          <w:szCs w:val="24"/>
          <w:highlight w:val="none"/>
          <w:lang w:val="en-US" w:eastAsia="zh-CN"/>
        </w:rPr>
        <w:t>一</w:t>
      </w:r>
      <w:r>
        <w:rPr>
          <w:rFonts w:hint="eastAsia" w:ascii="宋体" w:hAnsi="宋体" w:eastAsia="宋体" w:cs="宋体"/>
          <w:b/>
          <w:bCs/>
          <w:sz w:val="24"/>
          <w:szCs w:val="24"/>
          <w:highlight w:val="none"/>
        </w:rPr>
        <w:t>、项目概况</w:t>
      </w:r>
    </w:p>
    <w:p w14:paraId="4FBAD4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邹城市太平镇</w:t>
      </w:r>
      <w:r>
        <w:rPr>
          <w:rFonts w:hint="eastAsia" w:ascii="宋体" w:hAnsi="宋体" w:cs="宋体"/>
          <w:sz w:val="24"/>
          <w:szCs w:val="24"/>
          <w:highlight w:val="none"/>
          <w:lang w:eastAsia="zh-CN"/>
        </w:rPr>
        <w:t>2025</w:t>
      </w:r>
      <w:r>
        <w:rPr>
          <w:rFonts w:hint="eastAsia" w:ascii="宋体" w:hAnsi="宋体" w:eastAsia="宋体" w:cs="宋体"/>
          <w:sz w:val="24"/>
          <w:szCs w:val="24"/>
          <w:highlight w:val="none"/>
        </w:rPr>
        <w:t>年度林业有害生物防治服务采购项目，采购人对全镇范围内的林业有害生物进行监测，根据监测结果，指定</w:t>
      </w:r>
      <w:r>
        <w:rPr>
          <w:rFonts w:hint="eastAsia" w:ascii="宋体" w:hAnsi="宋体" w:eastAsia="宋体" w:cs="宋体"/>
          <w:sz w:val="24"/>
          <w:szCs w:val="24"/>
          <w:highlight w:val="none"/>
          <w:lang w:val="en-US" w:eastAsia="zh-CN"/>
        </w:rPr>
        <w:t>需</w:t>
      </w:r>
      <w:r>
        <w:rPr>
          <w:rFonts w:hint="eastAsia" w:ascii="宋体" w:hAnsi="宋体" w:eastAsia="宋体" w:cs="宋体"/>
          <w:sz w:val="24"/>
          <w:szCs w:val="24"/>
          <w:highlight w:val="none"/>
        </w:rPr>
        <w:t>防治区域的工作全权承包给成交供应商进行全面防治并对林木有害生物对林木资源危害的后续处理。防治服务</w:t>
      </w:r>
      <w:r>
        <w:rPr>
          <w:rFonts w:hint="eastAsia" w:ascii="宋体" w:hAnsi="宋体" w:cs="宋体"/>
          <w:sz w:val="24"/>
          <w:szCs w:val="24"/>
          <w:highlight w:val="none"/>
          <w:lang w:val="en-US" w:eastAsia="zh-CN"/>
        </w:rPr>
        <w:t>期限</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一</w:t>
      </w:r>
      <w:r>
        <w:rPr>
          <w:rFonts w:hint="eastAsia" w:ascii="宋体" w:hAnsi="宋体" w:eastAsia="宋体" w:cs="宋体"/>
          <w:sz w:val="24"/>
          <w:szCs w:val="24"/>
          <w:highlight w:val="none"/>
        </w:rPr>
        <w:t>年。本项目采购预算18</w:t>
      </w: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val="en-US" w:eastAsia="zh-CN"/>
        </w:rPr>
        <w:t>00.00</w:t>
      </w:r>
      <w:r>
        <w:rPr>
          <w:rFonts w:hint="eastAsia" w:ascii="宋体" w:hAnsi="宋体" w:eastAsia="宋体" w:cs="宋体"/>
          <w:sz w:val="24"/>
          <w:szCs w:val="24"/>
          <w:highlight w:val="none"/>
        </w:rPr>
        <w:t>元。</w:t>
      </w:r>
    </w:p>
    <w:p w14:paraId="1618A7A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二、总体要求</w:t>
      </w:r>
    </w:p>
    <w:p w14:paraId="1C78E0D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防治区域</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太平镇辖区范围内。</w:t>
      </w:r>
    </w:p>
    <w:p w14:paraId="37A0028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防治保障：供应商成立不少于防治工作组2个8人、打药车2辆及充足的防治药物等；喷药机、烟雾机、高枝剪等器械由采购人提供，器械维修由供应商负责。</w:t>
      </w:r>
    </w:p>
    <w:p w14:paraId="35D691E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防治要求：1、承包方必须确保专门的防治工作组不少于2个8人、打药车2辆及充足的防治药物等。按照林业有害生物发生期主要在5月、7月、9月、10月份、11月份，防治周期为5月-11月下旬，采取喷药、人工剪除等方式进行防治。在喷药防治前要积极开展排查工作，特别对放蜂、养蚕、养虾等虫害区域避免药物喷洒，应采取人工剪除网幕并作焚烧处理，防止药害事件发生，如因药害事件造成损失及纠纷，由承包人全部承担并自行解决。</w:t>
      </w:r>
    </w:p>
    <w:p w14:paraId="4EC5B0D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2、承包方保证防治后，</w:t>
      </w:r>
      <w:r>
        <w:rPr>
          <w:rFonts w:hint="eastAsia" w:ascii="宋体" w:hAnsi="宋体" w:cs="宋体"/>
          <w:b w:val="0"/>
          <w:bCs w:val="0"/>
          <w:sz w:val="24"/>
          <w:szCs w:val="24"/>
          <w:highlight w:val="none"/>
          <w:lang w:val="en-US" w:eastAsia="zh-CN"/>
        </w:rPr>
        <w:t>太平</w:t>
      </w:r>
      <w:r>
        <w:rPr>
          <w:rFonts w:hint="eastAsia" w:ascii="宋体" w:hAnsi="宋体" w:eastAsia="宋体" w:cs="宋体"/>
          <w:b w:val="0"/>
          <w:bCs w:val="0"/>
          <w:sz w:val="24"/>
          <w:szCs w:val="24"/>
          <w:highlight w:val="none"/>
        </w:rPr>
        <w:t>镇境内的美国白蛾、杨小舟蛾、法桐方翅网蝽等林业有害生物平均有虫株率控制在1%以下，叶片保存率90%以上，成灾率2‰以下。</w:t>
      </w:r>
    </w:p>
    <w:p w14:paraId="17DB7D3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3、在承包服务期内，确保喷药器械及施工人员用药安全，确保不发生防治事故和防治次生灾害事故。若发生事故，责任由承包方全部承担并赔偿所有损失。</w:t>
      </w:r>
    </w:p>
    <w:p w14:paraId="42D4D23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4、防治期间，发包方将安排一名林业技术人员随时进行作业质量跟踪检查，并及时将作业情况通告承包方，以便不断提高作业质量。承包方负责防治用药应遵循上级及镇林业部门要求，合理制定施药配方，所用林药必须是符合国家防控标准的生物制剂。</w:t>
      </w:r>
    </w:p>
    <w:p w14:paraId="61686A4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5、验收。甲方组织林业技术人员进行验收，2025年8月上旬进行第一次防治目标验收，2025年10月上旬进行第二次防治目标验收，2025年11月中旬组织第三次防治目标验收。甲方有权根据验收结果要求乙方立即防治或者提出索赔要求。验收合格后，由甲方组织的验收小组签署验收报告，作为付款凭据之一。</w:t>
      </w:r>
    </w:p>
    <w:p w14:paraId="26C70FA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防治责任：1、在每个防治周期后，防治目标应符合邹城市人民政府签订的《202</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rPr>
        <w:t>年林业有害生物防控责任书》要求，因防治不力造成灾情扩散蔓延的，发包方有权要求承包方及时整改，否则发包方有权中止并解除合同约定，要求承包方按照合同有关条款予以赔偿。</w:t>
      </w:r>
    </w:p>
    <w:p w14:paraId="73476AB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2、承包方未按承包方案或甲方整改要求防治，因防治不力造成灾情扩散蔓延的，发包方有权要求承包方及时整改，否则发包方有权中止并解除合同约定，由此造成发包方损失的，即视为违约，承包方除向发包方支付已发生的各项费用外，还须赔偿发包方损失，赔偿最高不超过本合同金额的10%。</w:t>
      </w:r>
    </w:p>
    <w:p w14:paraId="7E2908B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3、每次验收虫株率每增加一个百分点、叶片保存率每降低一个百分点、成灾率超过2‰以上每增加一个千分点扣除合同款的1%；被济宁市通报一次扣除合同款的20%；成灾率超过5‰或叶片保存率达不到50%或被省级及以上通报的扣除40%合同款。</w:t>
      </w:r>
    </w:p>
    <w:p w14:paraId="7A152AA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三、其他</w:t>
      </w:r>
    </w:p>
    <w:p w14:paraId="5A8D5CB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除非另有说明，本项目适用所有现行有效的相关国家、行业以及地方规范、规程和标准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上述规范、规程和标准均指它们各自的最新版本。如果上述规范、规程和标准之间出现矛盾或与合同其他内容存在不一致，按其中最高的要求或最严格的标准执行。适用本项目的上述规范、标准和规程的具体编号和名称则在本文件中有意空缺，由成交人依据上述原则自行</w:t>
      </w:r>
      <w:r>
        <w:rPr>
          <w:rFonts w:hint="eastAsia" w:ascii="宋体" w:hAnsi="宋体" w:eastAsia="宋体" w:cs="宋体"/>
          <w:sz w:val="24"/>
          <w:szCs w:val="24"/>
          <w:highlight w:val="none"/>
          <w:lang w:val="en-US" w:eastAsia="zh-CN"/>
        </w:rPr>
        <w:t>收集。</w:t>
      </w:r>
    </w:p>
    <w:p w14:paraId="38CD148E">
      <w:pPr>
        <w:pStyle w:val="6"/>
        <w:pageBreakBefore w:val="0"/>
        <w:tabs>
          <w:tab w:val="left" w:pos="1528"/>
        </w:tabs>
        <w:wordWrap/>
        <w:bidi w:val="0"/>
        <w:spacing w:after="0" w:line="360" w:lineRule="auto"/>
        <w:ind w:left="0" w:leftChars="0" w:right="0" w:rightChars="0" w:firstLine="643" w:firstLineChars="200"/>
        <w:jc w:val="center"/>
        <w:textAlignment w:val="auto"/>
        <w:outlineLvl w:val="0"/>
        <w:rPr>
          <w:rFonts w:hint="eastAsia" w:ascii="宋体" w:hAnsi="宋体" w:eastAsia="宋体" w:cs="宋体"/>
          <w:b/>
          <w:bCs/>
          <w:sz w:val="32"/>
          <w:szCs w:val="32"/>
          <w:highlight w:val="none"/>
        </w:rPr>
      </w:pPr>
    </w:p>
    <w:p w14:paraId="6E335FF5">
      <w:pPr>
        <w:pStyle w:val="6"/>
        <w:pageBreakBefore w:val="0"/>
        <w:tabs>
          <w:tab w:val="left" w:pos="1528"/>
        </w:tabs>
        <w:wordWrap/>
        <w:bidi w:val="0"/>
        <w:spacing w:after="0" w:line="360" w:lineRule="auto"/>
        <w:ind w:left="0" w:leftChars="0" w:right="0" w:rightChars="0" w:firstLine="643" w:firstLineChars="200"/>
        <w:jc w:val="center"/>
        <w:textAlignment w:val="auto"/>
        <w:outlineLvl w:val="0"/>
        <w:rPr>
          <w:rFonts w:hint="eastAsia" w:ascii="宋体" w:hAnsi="宋体" w:eastAsia="宋体" w:cs="宋体"/>
          <w:b/>
          <w:bCs/>
          <w:sz w:val="32"/>
          <w:szCs w:val="32"/>
          <w:highlight w:val="none"/>
        </w:rPr>
      </w:pPr>
    </w:p>
    <w:p w14:paraId="390ED362">
      <w:pPr>
        <w:rPr>
          <w:rFonts w:hint="eastAsia" w:ascii="宋体" w:hAnsi="宋体" w:eastAsia="宋体" w:cs="宋体"/>
          <w:b/>
          <w:bCs/>
          <w:sz w:val="32"/>
          <w:szCs w:val="32"/>
          <w:highlight w:val="none"/>
        </w:rPr>
      </w:pPr>
    </w:p>
    <w:p w14:paraId="46C1245E">
      <w:pPr>
        <w:pStyle w:val="2"/>
        <w:rPr>
          <w:rFonts w:hint="eastAsia" w:ascii="宋体" w:hAnsi="宋体" w:eastAsia="宋体" w:cs="宋体"/>
          <w:b/>
          <w:bCs/>
          <w:sz w:val="32"/>
          <w:szCs w:val="32"/>
          <w:highlight w:val="none"/>
        </w:rPr>
      </w:pPr>
    </w:p>
    <w:p w14:paraId="07B526AB">
      <w:pPr>
        <w:rPr>
          <w:rFonts w:hint="eastAsia" w:ascii="宋体" w:hAnsi="宋体" w:eastAsia="宋体" w:cs="宋体"/>
          <w:b/>
          <w:bCs/>
          <w:sz w:val="32"/>
          <w:szCs w:val="32"/>
          <w:highlight w:val="none"/>
        </w:rPr>
      </w:pPr>
    </w:p>
    <w:p w14:paraId="56EF4521">
      <w:pPr>
        <w:pStyle w:val="2"/>
        <w:rPr>
          <w:rFonts w:hint="eastAsia" w:ascii="宋体" w:hAnsi="宋体" w:eastAsia="宋体" w:cs="宋体"/>
          <w:b/>
          <w:bCs/>
          <w:sz w:val="32"/>
          <w:szCs w:val="32"/>
          <w:highlight w:val="none"/>
        </w:rPr>
      </w:pPr>
    </w:p>
    <w:p w14:paraId="69F02D2C">
      <w:pPr>
        <w:rPr>
          <w:rFonts w:hint="eastAsia" w:ascii="宋体" w:hAnsi="宋体" w:eastAsia="宋体" w:cs="宋体"/>
          <w:b/>
          <w:bCs/>
          <w:sz w:val="32"/>
          <w:szCs w:val="32"/>
          <w:highlight w:val="none"/>
        </w:rPr>
      </w:pPr>
    </w:p>
    <w:p w14:paraId="4FB667AA">
      <w:pPr>
        <w:pStyle w:val="2"/>
        <w:rPr>
          <w:rFonts w:hint="eastAsia" w:ascii="宋体" w:hAnsi="宋体" w:eastAsia="宋体" w:cs="宋体"/>
          <w:b/>
          <w:bCs/>
          <w:sz w:val="32"/>
          <w:szCs w:val="32"/>
          <w:highlight w:val="none"/>
        </w:rPr>
      </w:pPr>
    </w:p>
    <w:p w14:paraId="67FF8273">
      <w:pPr>
        <w:rPr>
          <w:rFonts w:hint="eastAsia" w:ascii="宋体" w:hAnsi="宋体" w:eastAsia="宋体" w:cs="宋体"/>
          <w:b/>
          <w:bCs/>
          <w:sz w:val="32"/>
          <w:szCs w:val="32"/>
          <w:highlight w:val="none"/>
        </w:rPr>
      </w:pPr>
    </w:p>
    <w:p w14:paraId="15F26D2F">
      <w:pPr>
        <w:pStyle w:val="2"/>
        <w:rPr>
          <w:rFonts w:hint="eastAsia" w:ascii="宋体" w:hAnsi="宋体" w:eastAsia="宋体" w:cs="宋体"/>
          <w:b/>
          <w:bCs/>
          <w:sz w:val="32"/>
          <w:szCs w:val="32"/>
          <w:highlight w:val="none"/>
        </w:rPr>
      </w:pPr>
    </w:p>
    <w:p w14:paraId="2155C985">
      <w:pPr>
        <w:pStyle w:val="2"/>
        <w:rPr>
          <w:rFonts w:hint="eastAsia"/>
          <w:highlight w:val="none"/>
        </w:rPr>
      </w:pPr>
    </w:p>
    <w:p w14:paraId="2A9E4DE5">
      <w:pPr>
        <w:rPr>
          <w:rFonts w:hint="eastAsia"/>
          <w:highlight w:val="none"/>
        </w:rPr>
      </w:pPr>
    </w:p>
    <w:p w14:paraId="5B20FA23">
      <w:pPr>
        <w:pStyle w:val="2"/>
        <w:rPr>
          <w:rFonts w:hint="eastAsia"/>
          <w:highlight w:val="none"/>
        </w:rPr>
      </w:pPr>
    </w:p>
    <w:p w14:paraId="73CEF0C8">
      <w:pPr>
        <w:pStyle w:val="6"/>
        <w:pageBreakBefore w:val="0"/>
        <w:tabs>
          <w:tab w:val="left" w:pos="1528"/>
        </w:tabs>
        <w:wordWrap/>
        <w:bidi w:val="0"/>
        <w:spacing w:after="0" w:line="360" w:lineRule="auto"/>
        <w:ind w:right="0" w:rightChars="0"/>
        <w:jc w:val="center"/>
        <w:textAlignment w:val="auto"/>
        <w:outlineLvl w:val="0"/>
        <w:rPr>
          <w:rFonts w:hint="eastAsia" w:ascii="宋体" w:hAnsi="宋体" w:eastAsia="宋体" w:cs="宋体"/>
          <w:b/>
          <w:bCs/>
          <w:sz w:val="32"/>
          <w:szCs w:val="32"/>
          <w:highlight w:val="none"/>
        </w:rPr>
      </w:pPr>
    </w:p>
    <w:p w14:paraId="0604FC3D">
      <w:pPr>
        <w:keepNext w:val="0"/>
        <w:keepLines w:val="0"/>
        <w:pageBreakBefore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b/>
          <w:bCs/>
          <w:color w:val="000000"/>
          <w:sz w:val="32"/>
          <w:szCs w:val="32"/>
          <w:highlight w:val="none"/>
          <w:lang w:val="en-US" w:eastAsia="zh-CN"/>
        </w:rPr>
      </w:pPr>
      <w:r>
        <w:rPr>
          <w:rFonts w:hint="eastAsia" w:ascii="宋体" w:hAnsi="宋体"/>
          <w:b/>
          <w:bCs/>
          <w:color w:val="000000"/>
          <w:sz w:val="32"/>
          <w:szCs w:val="32"/>
          <w:highlight w:val="none"/>
          <w:lang w:val="en-US" w:eastAsia="zh-CN"/>
        </w:rPr>
        <w:t>邹城市太平镇2025年林业有害生物承包防治采购项目清单</w:t>
      </w:r>
    </w:p>
    <w:p w14:paraId="0068A34C">
      <w:pPr>
        <w:pStyle w:val="2"/>
        <w:rPr>
          <w:rFonts w:hint="default"/>
          <w:highlight w:val="none"/>
          <w:lang w:val="en-US" w:eastAsia="zh-CN"/>
        </w:rPr>
      </w:pPr>
    </w:p>
    <w:tbl>
      <w:tblPr>
        <w:tblStyle w:val="18"/>
        <w:tblW w:w="9616" w:type="dxa"/>
        <w:tblInd w:w="93" w:type="dxa"/>
        <w:tblLayout w:type="fixed"/>
        <w:tblCellMar>
          <w:top w:w="0" w:type="dxa"/>
          <w:left w:w="108" w:type="dxa"/>
          <w:bottom w:w="0" w:type="dxa"/>
          <w:right w:w="108" w:type="dxa"/>
        </w:tblCellMar>
      </w:tblPr>
      <w:tblGrid>
        <w:gridCol w:w="478"/>
        <w:gridCol w:w="1876"/>
        <w:gridCol w:w="927"/>
        <w:gridCol w:w="897"/>
        <w:gridCol w:w="1076"/>
        <w:gridCol w:w="927"/>
        <w:gridCol w:w="957"/>
        <w:gridCol w:w="2478"/>
      </w:tblGrid>
      <w:tr w14:paraId="62F0F82B">
        <w:tblPrEx>
          <w:tblCellMar>
            <w:top w:w="0" w:type="dxa"/>
            <w:left w:w="108" w:type="dxa"/>
            <w:bottom w:w="0" w:type="dxa"/>
            <w:right w:w="108" w:type="dxa"/>
          </w:tblCellMar>
        </w:tblPrEx>
        <w:trPr>
          <w:trHeight w:val="1684" w:hRule="atLeast"/>
        </w:trPr>
        <w:tc>
          <w:tcPr>
            <w:tcW w:w="478" w:type="dxa"/>
            <w:tcBorders>
              <w:top w:val="single" w:color="auto" w:sz="4" w:space="0"/>
              <w:left w:val="single" w:color="auto" w:sz="4" w:space="0"/>
              <w:bottom w:val="single" w:color="auto" w:sz="4" w:space="0"/>
              <w:right w:val="single" w:color="auto" w:sz="4" w:space="0"/>
            </w:tcBorders>
            <w:noWrap w:val="0"/>
            <w:vAlign w:val="center"/>
          </w:tcPr>
          <w:p w14:paraId="7377B7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1876" w:type="dxa"/>
            <w:tcBorders>
              <w:top w:val="single" w:color="auto" w:sz="4" w:space="0"/>
              <w:left w:val="nil"/>
              <w:bottom w:val="single" w:color="auto" w:sz="4" w:space="0"/>
              <w:right w:val="single" w:color="auto" w:sz="4" w:space="0"/>
            </w:tcBorders>
            <w:noWrap w:val="0"/>
            <w:vAlign w:val="center"/>
          </w:tcPr>
          <w:p w14:paraId="24779E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名称</w:t>
            </w:r>
          </w:p>
        </w:tc>
        <w:tc>
          <w:tcPr>
            <w:tcW w:w="927" w:type="dxa"/>
            <w:tcBorders>
              <w:top w:val="single" w:color="auto" w:sz="4" w:space="0"/>
              <w:left w:val="nil"/>
              <w:bottom w:val="single" w:color="auto" w:sz="4" w:space="0"/>
              <w:right w:val="single" w:color="auto" w:sz="4" w:space="0"/>
            </w:tcBorders>
            <w:noWrap w:val="0"/>
            <w:vAlign w:val="center"/>
          </w:tcPr>
          <w:p w14:paraId="5ECFA3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单位</w:t>
            </w:r>
          </w:p>
        </w:tc>
        <w:tc>
          <w:tcPr>
            <w:tcW w:w="897" w:type="dxa"/>
            <w:tcBorders>
              <w:top w:val="single" w:color="auto" w:sz="4" w:space="0"/>
              <w:left w:val="nil"/>
              <w:bottom w:val="single" w:color="auto" w:sz="4" w:space="0"/>
              <w:right w:val="single" w:color="auto" w:sz="4" w:space="0"/>
            </w:tcBorders>
            <w:noWrap w:val="0"/>
            <w:vAlign w:val="center"/>
          </w:tcPr>
          <w:p w14:paraId="29D299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cs="宋体"/>
                <w:kern w:val="0"/>
                <w:sz w:val="24"/>
                <w:szCs w:val="24"/>
                <w:highlight w:val="none"/>
                <w:lang w:val="en-US" w:eastAsia="zh-CN"/>
              </w:rPr>
              <w:t>时间</w:t>
            </w:r>
          </w:p>
        </w:tc>
        <w:tc>
          <w:tcPr>
            <w:tcW w:w="1076" w:type="dxa"/>
            <w:tcBorders>
              <w:top w:val="single" w:color="auto" w:sz="4" w:space="0"/>
              <w:left w:val="nil"/>
              <w:bottom w:val="single" w:color="auto" w:sz="4" w:space="0"/>
              <w:right w:val="single" w:color="auto" w:sz="4" w:space="0"/>
            </w:tcBorders>
            <w:noWrap w:val="0"/>
            <w:vAlign w:val="center"/>
          </w:tcPr>
          <w:p w14:paraId="0F0D05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拟投入人员或车辆</w:t>
            </w:r>
          </w:p>
        </w:tc>
        <w:tc>
          <w:tcPr>
            <w:tcW w:w="927" w:type="dxa"/>
            <w:tcBorders>
              <w:top w:val="single" w:color="auto" w:sz="4" w:space="0"/>
              <w:left w:val="nil"/>
              <w:bottom w:val="single" w:color="auto" w:sz="4" w:space="0"/>
              <w:right w:val="single" w:color="auto" w:sz="4" w:space="0"/>
            </w:tcBorders>
            <w:noWrap w:val="0"/>
            <w:vAlign w:val="center"/>
          </w:tcPr>
          <w:p w14:paraId="531B74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单价（元）</w:t>
            </w:r>
          </w:p>
        </w:tc>
        <w:tc>
          <w:tcPr>
            <w:tcW w:w="957" w:type="dxa"/>
            <w:tcBorders>
              <w:top w:val="single" w:color="auto" w:sz="4" w:space="0"/>
              <w:left w:val="nil"/>
              <w:bottom w:val="single" w:color="auto" w:sz="4" w:space="0"/>
              <w:right w:val="single" w:color="auto" w:sz="4" w:space="0"/>
            </w:tcBorders>
            <w:noWrap w:val="0"/>
            <w:vAlign w:val="center"/>
          </w:tcPr>
          <w:p w14:paraId="5FA722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合计（元）</w:t>
            </w:r>
          </w:p>
        </w:tc>
        <w:tc>
          <w:tcPr>
            <w:tcW w:w="2478" w:type="dxa"/>
            <w:tcBorders>
              <w:top w:val="single" w:color="auto" w:sz="4" w:space="0"/>
              <w:left w:val="nil"/>
              <w:bottom w:val="single" w:color="auto" w:sz="4" w:space="0"/>
              <w:right w:val="single" w:color="auto" w:sz="4" w:space="0"/>
            </w:tcBorders>
            <w:noWrap w:val="0"/>
            <w:vAlign w:val="center"/>
          </w:tcPr>
          <w:p w14:paraId="71B8DD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备注</w:t>
            </w:r>
          </w:p>
        </w:tc>
      </w:tr>
      <w:tr w14:paraId="699376A1">
        <w:tblPrEx>
          <w:tblCellMar>
            <w:top w:w="0" w:type="dxa"/>
            <w:left w:w="108" w:type="dxa"/>
            <w:bottom w:w="0" w:type="dxa"/>
            <w:right w:w="108" w:type="dxa"/>
          </w:tblCellMar>
        </w:tblPrEx>
        <w:trPr>
          <w:trHeight w:val="1126" w:hRule="atLeast"/>
        </w:trPr>
        <w:tc>
          <w:tcPr>
            <w:tcW w:w="478" w:type="dxa"/>
            <w:tcBorders>
              <w:top w:val="nil"/>
              <w:left w:val="single" w:color="auto" w:sz="4" w:space="0"/>
              <w:bottom w:val="single" w:color="auto" w:sz="4" w:space="0"/>
              <w:right w:val="single" w:color="auto" w:sz="4" w:space="0"/>
            </w:tcBorders>
            <w:noWrap w:val="0"/>
            <w:vAlign w:val="center"/>
          </w:tcPr>
          <w:p w14:paraId="3C505C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1876" w:type="dxa"/>
            <w:tcBorders>
              <w:top w:val="nil"/>
              <w:left w:val="nil"/>
              <w:bottom w:val="single" w:color="auto" w:sz="4" w:space="0"/>
              <w:right w:val="single" w:color="auto" w:sz="4" w:space="0"/>
            </w:tcBorders>
            <w:noWrap w:val="0"/>
            <w:vAlign w:val="center"/>
          </w:tcPr>
          <w:p w14:paraId="1AC787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服务</w:t>
            </w:r>
            <w:r>
              <w:rPr>
                <w:rFonts w:hint="eastAsia" w:ascii="宋体" w:hAnsi="宋体" w:cs="宋体"/>
                <w:kern w:val="0"/>
                <w:sz w:val="24"/>
                <w:szCs w:val="24"/>
                <w:highlight w:val="none"/>
                <w:lang w:val="en-US" w:eastAsia="zh-CN"/>
              </w:rPr>
              <w:t>期限</w:t>
            </w:r>
          </w:p>
        </w:tc>
        <w:tc>
          <w:tcPr>
            <w:tcW w:w="927" w:type="dxa"/>
            <w:tcBorders>
              <w:top w:val="nil"/>
              <w:left w:val="nil"/>
              <w:bottom w:val="single" w:color="auto" w:sz="4" w:space="0"/>
              <w:right w:val="single" w:color="auto" w:sz="4" w:space="0"/>
            </w:tcBorders>
            <w:noWrap w:val="0"/>
            <w:vAlign w:val="center"/>
          </w:tcPr>
          <w:p w14:paraId="572F76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年</w:t>
            </w:r>
          </w:p>
        </w:tc>
        <w:tc>
          <w:tcPr>
            <w:tcW w:w="1973" w:type="dxa"/>
            <w:gridSpan w:val="2"/>
            <w:tcBorders>
              <w:top w:val="single" w:color="auto" w:sz="4" w:space="0"/>
              <w:left w:val="nil"/>
              <w:bottom w:val="single" w:color="auto" w:sz="4" w:space="0"/>
              <w:right w:val="single" w:color="auto" w:sz="4" w:space="0"/>
            </w:tcBorders>
            <w:noWrap w:val="0"/>
            <w:vAlign w:val="center"/>
          </w:tcPr>
          <w:p w14:paraId="030818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1</w:t>
            </w:r>
          </w:p>
        </w:tc>
        <w:tc>
          <w:tcPr>
            <w:tcW w:w="927" w:type="dxa"/>
            <w:tcBorders>
              <w:top w:val="nil"/>
              <w:left w:val="nil"/>
              <w:bottom w:val="single" w:color="auto" w:sz="4" w:space="0"/>
              <w:right w:val="single" w:color="auto" w:sz="4" w:space="0"/>
            </w:tcBorders>
            <w:noWrap w:val="0"/>
            <w:vAlign w:val="center"/>
          </w:tcPr>
          <w:p w14:paraId="7E32C6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957" w:type="dxa"/>
            <w:tcBorders>
              <w:top w:val="nil"/>
              <w:left w:val="nil"/>
              <w:bottom w:val="single" w:color="auto" w:sz="4" w:space="0"/>
              <w:right w:val="single" w:color="auto" w:sz="4" w:space="0"/>
            </w:tcBorders>
            <w:noWrap w:val="0"/>
            <w:vAlign w:val="center"/>
          </w:tcPr>
          <w:p w14:paraId="044593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2478" w:type="dxa"/>
            <w:tcBorders>
              <w:top w:val="nil"/>
              <w:left w:val="nil"/>
              <w:bottom w:val="single" w:color="auto" w:sz="4" w:space="0"/>
              <w:right w:val="single" w:color="auto" w:sz="4" w:space="0"/>
            </w:tcBorders>
            <w:noWrap w:val="0"/>
            <w:vAlign w:val="center"/>
          </w:tcPr>
          <w:p w14:paraId="2E6928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如遇突发事件，乙方无条件服从甲方调度</w:t>
            </w:r>
          </w:p>
        </w:tc>
      </w:tr>
      <w:tr w14:paraId="5FFE4E94">
        <w:tblPrEx>
          <w:tblCellMar>
            <w:top w:w="0" w:type="dxa"/>
            <w:left w:w="108" w:type="dxa"/>
            <w:bottom w:w="0" w:type="dxa"/>
            <w:right w:w="108" w:type="dxa"/>
          </w:tblCellMar>
        </w:tblPrEx>
        <w:trPr>
          <w:trHeight w:val="619" w:hRule="atLeast"/>
        </w:trPr>
        <w:tc>
          <w:tcPr>
            <w:tcW w:w="478" w:type="dxa"/>
            <w:tcBorders>
              <w:top w:val="nil"/>
              <w:left w:val="single" w:color="auto" w:sz="4" w:space="0"/>
              <w:bottom w:val="single" w:color="auto" w:sz="4" w:space="0"/>
              <w:right w:val="single" w:color="auto" w:sz="4" w:space="0"/>
            </w:tcBorders>
            <w:noWrap w:val="0"/>
            <w:vAlign w:val="center"/>
          </w:tcPr>
          <w:p w14:paraId="641C13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1876" w:type="dxa"/>
            <w:tcBorders>
              <w:top w:val="nil"/>
              <w:left w:val="nil"/>
              <w:bottom w:val="single" w:color="auto" w:sz="4" w:space="0"/>
              <w:right w:val="single" w:color="auto" w:sz="4" w:space="0"/>
            </w:tcBorders>
            <w:noWrap w:val="0"/>
            <w:vAlign w:val="center"/>
          </w:tcPr>
          <w:p w14:paraId="168820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人工费用</w:t>
            </w:r>
          </w:p>
        </w:tc>
        <w:tc>
          <w:tcPr>
            <w:tcW w:w="927" w:type="dxa"/>
            <w:tcBorders>
              <w:top w:val="nil"/>
              <w:left w:val="nil"/>
              <w:bottom w:val="single" w:color="auto" w:sz="4" w:space="0"/>
              <w:right w:val="single" w:color="auto" w:sz="4" w:space="0"/>
            </w:tcBorders>
            <w:noWrap w:val="0"/>
            <w:vAlign w:val="center"/>
          </w:tcPr>
          <w:p w14:paraId="3CE319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天*人</w:t>
            </w:r>
          </w:p>
        </w:tc>
        <w:tc>
          <w:tcPr>
            <w:tcW w:w="897" w:type="dxa"/>
            <w:tcBorders>
              <w:top w:val="nil"/>
              <w:left w:val="nil"/>
              <w:bottom w:val="single" w:color="auto" w:sz="4" w:space="0"/>
              <w:right w:val="single" w:color="auto" w:sz="4" w:space="0"/>
            </w:tcBorders>
            <w:noWrap w:val="0"/>
            <w:vAlign w:val="center"/>
          </w:tcPr>
          <w:p w14:paraId="036777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5</w:t>
            </w:r>
          </w:p>
        </w:tc>
        <w:tc>
          <w:tcPr>
            <w:tcW w:w="1076" w:type="dxa"/>
            <w:tcBorders>
              <w:top w:val="nil"/>
              <w:left w:val="nil"/>
              <w:bottom w:val="single" w:color="auto" w:sz="4" w:space="0"/>
              <w:right w:val="single" w:color="auto" w:sz="4" w:space="0"/>
            </w:tcBorders>
            <w:noWrap w:val="0"/>
            <w:vAlign w:val="center"/>
          </w:tcPr>
          <w:p w14:paraId="78C789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w:t>
            </w:r>
          </w:p>
        </w:tc>
        <w:tc>
          <w:tcPr>
            <w:tcW w:w="927" w:type="dxa"/>
            <w:tcBorders>
              <w:top w:val="nil"/>
              <w:left w:val="nil"/>
              <w:bottom w:val="single" w:color="auto" w:sz="4" w:space="0"/>
              <w:right w:val="single" w:color="auto" w:sz="4" w:space="0"/>
            </w:tcBorders>
            <w:noWrap w:val="0"/>
            <w:vAlign w:val="center"/>
          </w:tcPr>
          <w:p w14:paraId="468C26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2FBB41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p>
        </w:tc>
        <w:tc>
          <w:tcPr>
            <w:tcW w:w="2478" w:type="dxa"/>
            <w:tcBorders>
              <w:top w:val="nil"/>
              <w:left w:val="nil"/>
              <w:bottom w:val="single" w:color="auto" w:sz="4" w:space="0"/>
              <w:right w:val="single" w:color="auto" w:sz="4" w:space="0"/>
            </w:tcBorders>
            <w:noWrap w:val="0"/>
            <w:vAlign w:val="center"/>
          </w:tcPr>
          <w:p w14:paraId="46EEA5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0AFCFDCB">
        <w:tblPrEx>
          <w:tblCellMar>
            <w:top w:w="0" w:type="dxa"/>
            <w:left w:w="108" w:type="dxa"/>
            <w:bottom w:w="0" w:type="dxa"/>
            <w:right w:w="108" w:type="dxa"/>
          </w:tblCellMar>
        </w:tblPrEx>
        <w:trPr>
          <w:trHeight w:val="619" w:hRule="atLeast"/>
        </w:trPr>
        <w:tc>
          <w:tcPr>
            <w:tcW w:w="478" w:type="dxa"/>
            <w:tcBorders>
              <w:top w:val="nil"/>
              <w:left w:val="single" w:color="auto" w:sz="4" w:space="0"/>
              <w:bottom w:val="single" w:color="auto" w:sz="4" w:space="0"/>
              <w:right w:val="single" w:color="auto" w:sz="4" w:space="0"/>
            </w:tcBorders>
            <w:noWrap w:val="0"/>
            <w:vAlign w:val="center"/>
          </w:tcPr>
          <w:p w14:paraId="71D82F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1876" w:type="dxa"/>
            <w:tcBorders>
              <w:top w:val="nil"/>
              <w:left w:val="nil"/>
              <w:bottom w:val="single" w:color="auto" w:sz="4" w:space="0"/>
              <w:right w:val="single" w:color="auto" w:sz="4" w:space="0"/>
            </w:tcBorders>
            <w:noWrap w:val="0"/>
            <w:vAlign w:val="center"/>
          </w:tcPr>
          <w:p w14:paraId="2EC06E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车辆费用</w:t>
            </w:r>
          </w:p>
        </w:tc>
        <w:tc>
          <w:tcPr>
            <w:tcW w:w="927" w:type="dxa"/>
            <w:tcBorders>
              <w:top w:val="nil"/>
              <w:left w:val="nil"/>
              <w:bottom w:val="single" w:color="auto" w:sz="4" w:space="0"/>
              <w:right w:val="single" w:color="auto" w:sz="4" w:space="0"/>
            </w:tcBorders>
            <w:noWrap w:val="0"/>
            <w:vAlign w:val="center"/>
          </w:tcPr>
          <w:p w14:paraId="5117B8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天*辆</w:t>
            </w:r>
          </w:p>
        </w:tc>
        <w:tc>
          <w:tcPr>
            <w:tcW w:w="897" w:type="dxa"/>
            <w:tcBorders>
              <w:top w:val="nil"/>
              <w:left w:val="nil"/>
              <w:bottom w:val="single" w:color="auto" w:sz="4" w:space="0"/>
              <w:right w:val="single" w:color="auto" w:sz="4" w:space="0"/>
            </w:tcBorders>
            <w:noWrap w:val="0"/>
            <w:vAlign w:val="center"/>
          </w:tcPr>
          <w:p w14:paraId="314C78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5</w:t>
            </w:r>
          </w:p>
        </w:tc>
        <w:tc>
          <w:tcPr>
            <w:tcW w:w="1076" w:type="dxa"/>
            <w:tcBorders>
              <w:top w:val="nil"/>
              <w:left w:val="nil"/>
              <w:bottom w:val="single" w:color="auto" w:sz="4" w:space="0"/>
              <w:right w:val="single" w:color="auto" w:sz="4" w:space="0"/>
            </w:tcBorders>
            <w:noWrap w:val="0"/>
            <w:vAlign w:val="center"/>
          </w:tcPr>
          <w:p w14:paraId="5465D9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927" w:type="dxa"/>
            <w:tcBorders>
              <w:top w:val="nil"/>
              <w:left w:val="nil"/>
              <w:bottom w:val="single" w:color="auto" w:sz="4" w:space="0"/>
              <w:right w:val="single" w:color="auto" w:sz="4" w:space="0"/>
            </w:tcBorders>
            <w:noWrap w:val="0"/>
            <w:vAlign w:val="center"/>
          </w:tcPr>
          <w:p w14:paraId="1BEB05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4BB4A1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2478" w:type="dxa"/>
            <w:tcBorders>
              <w:top w:val="nil"/>
              <w:left w:val="nil"/>
              <w:bottom w:val="single" w:color="auto" w:sz="4" w:space="0"/>
              <w:right w:val="single" w:color="auto" w:sz="4" w:space="0"/>
            </w:tcBorders>
            <w:noWrap w:val="0"/>
            <w:vAlign w:val="center"/>
          </w:tcPr>
          <w:p w14:paraId="2D58EB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46BE0389">
        <w:tblPrEx>
          <w:tblCellMar>
            <w:top w:w="0" w:type="dxa"/>
            <w:left w:w="108" w:type="dxa"/>
            <w:bottom w:w="0" w:type="dxa"/>
            <w:right w:w="108" w:type="dxa"/>
          </w:tblCellMar>
        </w:tblPrEx>
        <w:trPr>
          <w:trHeight w:val="619" w:hRule="atLeast"/>
        </w:trPr>
        <w:tc>
          <w:tcPr>
            <w:tcW w:w="478" w:type="dxa"/>
            <w:tcBorders>
              <w:top w:val="nil"/>
              <w:left w:val="single" w:color="auto" w:sz="4" w:space="0"/>
              <w:bottom w:val="single" w:color="auto" w:sz="4" w:space="0"/>
              <w:right w:val="single" w:color="auto" w:sz="4" w:space="0"/>
            </w:tcBorders>
            <w:noWrap w:val="0"/>
            <w:vAlign w:val="center"/>
          </w:tcPr>
          <w:p w14:paraId="294F56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w:t>
            </w:r>
          </w:p>
        </w:tc>
        <w:tc>
          <w:tcPr>
            <w:tcW w:w="1876" w:type="dxa"/>
            <w:tcBorders>
              <w:top w:val="nil"/>
              <w:left w:val="nil"/>
              <w:bottom w:val="single" w:color="auto" w:sz="4" w:space="0"/>
              <w:right w:val="single" w:color="auto" w:sz="4" w:space="0"/>
            </w:tcBorders>
            <w:noWrap w:val="0"/>
            <w:vAlign w:val="center"/>
          </w:tcPr>
          <w:p w14:paraId="15F505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高压管</w:t>
            </w:r>
          </w:p>
        </w:tc>
        <w:tc>
          <w:tcPr>
            <w:tcW w:w="927" w:type="dxa"/>
            <w:tcBorders>
              <w:top w:val="nil"/>
              <w:left w:val="nil"/>
              <w:bottom w:val="single" w:color="auto" w:sz="4" w:space="0"/>
              <w:right w:val="single" w:color="auto" w:sz="4" w:space="0"/>
            </w:tcBorders>
            <w:noWrap w:val="0"/>
            <w:vAlign w:val="center"/>
          </w:tcPr>
          <w:p w14:paraId="5ADCA1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盘</w:t>
            </w:r>
          </w:p>
        </w:tc>
        <w:tc>
          <w:tcPr>
            <w:tcW w:w="1973" w:type="dxa"/>
            <w:gridSpan w:val="2"/>
            <w:tcBorders>
              <w:top w:val="single" w:color="auto" w:sz="4" w:space="0"/>
              <w:left w:val="nil"/>
              <w:bottom w:val="single" w:color="auto" w:sz="4" w:space="0"/>
              <w:right w:val="single" w:color="auto" w:sz="4" w:space="0"/>
            </w:tcBorders>
            <w:noWrap w:val="0"/>
            <w:vAlign w:val="center"/>
          </w:tcPr>
          <w:p w14:paraId="793E36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10</w:t>
            </w:r>
          </w:p>
        </w:tc>
        <w:tc>
          <w:tcPr>
            <w:tcW w:w="927" w:type="dxa"/>
            <w:tcBorders>
              <w:top w:val="nil"/>
              <w:left w:val="nil"/>
              <w:bottom w:val="single" w:color="auto" w:sz="4" w:space="0"/>
              <w:right w:val="single" w:color="auto" w:sz="4" w:space="0"/>
            </w:tcBorders>
            <w:noWrap w:val="0"/>
            <w:vAlign w:val="center"/>
          </w:tcPr>
          <w:p w14:paraId="2DF105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p>
        </w:tc>
        <w:tc>
          <w:tcPr>
            <w:tcW w:w="957" w:type="dxa"/>
            <w:tcBorders>
              <w:top w:val="nil"/>
              <w:left w:val="nil"/>
              <w:bottom w:val="single" w:color="auto" w:sz="4" w:space="0"/>
              <w:right w:val="single" w:color="auto" w:sz="4" w:space="0"/>
            </w:tcBorders>
            <w:noWrap w:val="0"/>
            <w:vAlign w:val="center"/>
          </w:tcPr>
          <w:p w14:paraId="0402EB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p>
        </w:tc>
        <w:tc>
          <w:tcPr>
            <w:tcW w:w="2478" w:type="dxa"/>
            <w:tcBorders>
              <w:top w:val="nil"/>
              <w:left w:val="nil"/>
              <w:bottom w:val="single" w:color="auto" w:sz="4" w:space="0"/>
              <w:right w:val="single" w:color="auto" w:sz="4" w:space="0"/>
            </w:tcBorders>
            <w:noWrap w:val="0"/>
            <w:vAlign w:val="center"/>
          </w:tcPr>
          <w:p w14:paraId="0749EC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r>
      <w:tr w14:paraId="769AD416">
        <w:tblPrEx>
          <w:tblCellMar>
            <w:top w:w="0" w:type="dxa"/>
            <w:left w:w="108" w:type="dxa"/>
            <w:bottom w:w="0" w:type="dxa"/>
            <w:right w:w="108" w:type="dxa"/>
          </w:tblCellMar>
        </w:tblPrEx>
        <w:trPr>
          <w:trHeight w:val="619" w:hRule="atLeast"/>
        </w:trPr>
        <w:tc>
          <w:tcPr>
            <w:tcW w:w="478" w:type="dxa"/>
            <w:tcBorders>
              <w:top w:val="nil"/>
              <w:left w:val="single" w:color="auto" w:sz="4" w:space="0"/>
              <w:bottom w:val="single" w:color="auto" w:sz="4" w:space="0"/>
              <w:right w:val="single" w:color="auto" w:sz="4" w:space="0"/>
            </w:tcBorders>
            <w:noWrap w:val="0"/>
            <w:vAlign w:val="center"/>
          </w:tcPr>
          <w:p w14:paraId="4C54F3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5</w:t>
            </w:r>
          </w:p>
        </w:tc>
        <w:tc>
          <w:tcPr>
            <w:tcW w:w="1876" w:type="dxa"/>
            <w:tcBorders>
              <w:top w:val="nil"/>
              <w:left w:val="nil"/>
              <w:bottom w:val="single" w:color="auto" w:sz="4" w:space="0"/>
              <w:right w:val="single" w:color="auto" w:sz="4" w:space="0"/>
            </w:tcBorders>
            <w:noWrap w:val="0"/>
            <w:vAlign w:val="center"/>
          </w:tcPr>
          <w:p w14:paraId="4AC2F8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防治药物</w:t>
            </w:r>
          </w:p>
        </w:tc>
        <w:tc>
          <w:tcPr>
            <w:tcW w:w="927" w:type="dxa"/>
            <w:tcBorders>
              <w:top w:val="nil"/>
              <w:left w:val="nil"/>
              <w:bottom w:val="single" w:color="auto" w:sz="4" w:space="0"/>
              <w:right w:val="single" w:color="auto" w:sz="4" w:space="0"/>
            </w:tcBorders>
            <w:noWrap w:val="0"/>
            <w:vAlign w:val="center"/>
          </w:tcPr>
          <w:p w14:paraId="4DA46D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周期</w:t>
            </w:r>
          </w:p>
        </w:tc>
        <w:tc>
          <w:tcPr>
            <w:tcW w:w="1973" w:type="dxa"/>
            <w:gridSpan w:val="2"/>
            <w:tcBorders>
              <w:top w:val="single" w:color="auto" w:sz="4" w:space="0"/>
              <w:left w:val="nil"/>
              <w:bottom w:val="single" w:color="auto" w:sz="4" w:space="0"/>
              <w:right w:val="single" w:color="auto" w:sz="4" w:space="0"/>
            </w:tcBorders>
            <w:noWrap w:val="0"/>
            <w:vAlign w:val="center"/>
          </w:tcPr>
          <w:p w14:paraId="1501AC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3</w:t>
            </w:r>
          </w:p>
        </w:tc>
        <w:tc>
          <w:tcPr>
            <w:tcW w:w="927" w:type="dxa"/>
            <w:tcBorders>
              <w:top w:val="nil"/>
              <w:left w:val="nil"/>
              <w:bottom w:val="single" w:color="auto" w:sz="4" w:space="0"/>
              <w:right w:val="single" w:color="auto" w:sz="4" w:space="0"/>
            </w:tcBorders>
            <w:noWrap w:val="0"/>
            <w:vAlign w:val="center"/>
          </w:tcPr>
          <w:p w14:paraId="182815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212F52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2478" w:type="dxa"/>
            <w:tcBorders>
              <w:top w:val="nil"/>
              <w:left w:val="nil"/>
              <w:bottom w:val="single" w:color="auto" w:sz="4" w:space="0"/>
              <w:right w:val="single" w:color="auto" w:sz="4" w:space="0"/>
            </w:tcBorders>
            <w:noWrap w:val="0"/>
            <w:vAlign w:val="center"/>
          </w:tcPr>
          <w:p w14:paraId="1640CE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6EEC33B1">
        <w:tblPrEx>
          <w:tblCellMar>
            <w:top w:w="0" w:type="dxa"/>
            <w:left w:w="108" w:type="dxa"/>
            <w:bottom w:w="0" w:type="dxa"/>
            <w:right w:w="108" w:type="dxa"/>
          </w:tblCellMar>
        </w:tblPrEx>
        <w:trPr>
          <w:trHeight w:val="1126" w:hRule="atLeast"/>
        </w:trPr>
        <w:tc>
          <w:tcPr>
            <w:tcW w:w="478" w:type="dxa"/>
            <w:tcBorders>
              <w:top w:val="nil"/>
              <w:left w:val="single" w:color="auto" w:sz="4" w:space="0"/>
              <w:bottom w:val="single" w:color="auto" w:sz="4" w:space="0"/>
              <w:right w:val="single" w:color="auto" w:sz="4" w:space="0"/>
            </w:tcBorders>
            <w:noWrap w:val="0"/>
            <w:vAlign w:val="center"/>
          </w:tcPr>
          <w:p w14:paraId="11651E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w:t>
            </w:r>
          </w:p>
        </w:tc>
        <w:tc>
          <w:tcPr>
            <w:tcW w:w="1876" w:type="dxa"/>
            <w:tcBorders>
              <w:top w:val="nil"/>
              <w:left w:val="nil"/>
              <w:bottom w:val="single" w:color="auto" w:sz="4" w:space="0"/>
              <w:right w:val="single" w:color="auto" w:sz="4" w:space="0"/>
            </w:tcBorders>
            <w:noWrap w:val="0"/>
            <w:vAlign w:val="center"/>
          </w:tcPr>
          <w:p w14:paraId="183F0D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高压喷雾机汽油费用</w:t>
            </w:r>
          </w:p>
        </w:tc>
        <w:tc>
          <w:tcPr>
            <w:tcW w:w="927" w:type="dxa"/>
            <w:tcBorders>
              <w:top w:val="nil"/>
              <w:left w:val="nil"/>
              <w:bottom w:val="single" w:color="auto" w:sz="4" w:space="0"/>
              <w:right w:val="single" w:color="auto" w:sz="4" w:space="0"/>
            </w:tcBorders>
            <w:noWrap w:val="0"/>
            <w:vAlign w:val="center"/>
          </w:tcPr>
          <w:p w14:paraId="338B85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天</w:t>
            </w:r>
            <w:r>
              <w:rPr>
                <w:rFonts w:hint="eastAsia" w:ascii="宋体" w:hAnsi="宋体" w:eastAsia="宋体" w:cs="宋体"/>
                <w:kern w:val="0"/>
                <w:sz w:val="24"/>
                <w:szCs w:val="24"/>
                <w:highlight w:val="none"/>
                <w:lang w:val="en-US" w:eastAsia="zh-CN"/>
              </w:rPr>
              <w:t>*台</w:t>
            </w:r>
          </w:p>
        </w:tc>
        <w:tc>
          <w:tcPr>
            <w:tcW w:w="897" w:type="dxa"/>
            <w:tcBorders>
              <w:top w:val="single" w:color="auto" w:sz="4" w:space="0"/>
              <w:left w:val="nil"/>
              <w:bottom w:val="single" w:color="auto" w:sz="4" w:space="0"/>
              <w:right w:val="single" w:color="auto" w:sz="4" w:space="0"/>
            </w:tcBorders>
            <w:noWrap w:val="0"/>
            <w:vAlign w:val="center"/>
          </w:tcPr>
          <w:p w14:paraId="00ACB5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85</w:t>
            </w:r>
          </w:p>
        </w:tc>
        <w:tc>
          <w:tcPr>
            <w:tcW w:w="1076" w:type="dxa"/>
            <w:tcBorders>
              <w:top w:val="single" w:color="auto" w:sz="4" w:space="0"/>
              <w:left w:val="nil"/>
              <w:bottom w:val="single" w:color="auto" w:sz="4" w:space="0"/>
              <w:right w:val="single" w:color="auto" w:sz="4" w:space="0"/>
            </w:tcBorders>
            <w:noWrap w:val="0"/>
            <w:vAlign w:val="center"/>
          </w:tcPr>
          <w:p w14:paraId="3CAB4C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w:t>
            </w:r>
          </w:p>
        </w:tc>
        <w:tc>
          <w:tcPr>
            <w:tcW w:w="927" w:type="dxa"/>
            <w:tcBorders>
              <w:top w:val="nil"/>
              <w:left w:val="nil"/>
              <w:bottom w:val="single" w:color="auto" w:sz="4" w:space="0"/>
              <w:right w:val="single" w:color="auto" w:sz="4" w:space="0"/>
            </w:tcBorders>
            <w:noWrap w:val="0"/>
            <w:vAlign w:val="center"/>
          </w:tcPr>
          <w:p w14:paraId="64E6CA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7C585A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2478" w:type="dxa"/>
            <w:tcBorders>
              <w:top w:val="nil"/>
              <w:left w:val="nil"/>
              <w:bottom w:val="single" w:color="auto" w:sz="4" w:space="0"/>
              <w:right w:val="single" w:color="auto" w:sz="4" w:space="0"/>
            </w:tcBorders>
            <w:noWrap w:val="0"/>
            <w:vAlign w:val="center"/>
          </w:tcPr>
          <w:p w14:paraId="52A18A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r>
      <w:tr w14:paraId="1594AECE">
        <w:tblPrEx>
          <w:tblCellMar>
            <w:top w:w="0" w:type="dxa"/>
            <w:left w:w="108" w:type="dxa"/>
            <w:bottom w:w="0" w:type="dxa"/>
            <w:right w:w="108" w:type="dxa"/>
          </w:tblCellMar>
        </w:tblPrEx>
        <w:trPr>
          <w:trHeight w:val="2241" w:hRule="atLeast"/>
        </w:trPr>
        <w:tc>
          <w:tcPr>
            <w:tcW w:w="478" w:type="dxa"/>
            <w:tcBorders>
              <w:top w:val="nil"/>
              <w:left w:val="single" w:color="auto" w:sz="4" w:space="0"/>
              <w:bottom w:val="single" w:color="auto" w:sz="4" w:space="0"/>
              <w:right w:val="single" w:color="auto" w:sz="4" w:space="0"/>
            </w:tcBorders>
            <w:noWrap w:val="0"/>
            <w:vAlign w:val="center"/>
          </w:tcPr>
          <w:p w14:paraId="658623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w:t>
            </w:r>
          </w:p>
        </w:tc>
        <w:tc>
          <w:tcPr>
            <w:tcW w:w="1876" w:type="dxa"/>
            <w:tcBorders>
              <w:top w:val="nil"/>
              <w:left w:val="nil"/>
              <w:bottom w:val="single" w:color="auto" w:sz="4" w:space="0"/>
              <w:right w:val="single" w:color="auto" w:sz="4" w:space="0"/>
            </w:tcBorders>
            <w:noWrap w:val="0"/>
            <w:vAlign w:val="center"/>
          </w:tcPr>
          <w:p w14:paraId="744374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烟雾机喷药配用柴油</w:t>
            </w:r>
          </w:p>
        </w:tc>
        <w:tc>
          <w:tcPr>
            <w:tcW w:w="927" w:type="dxa"/>
            <w:tcBorders>
              <w:top w:val="nil"/>
              <w:left w:val="nil"/>
              <w:bottom w:val="single" w:color="auto" w:sz="4" w:space="0"/>
              <w:right w:val="single" w:color="auto" w:sz="4" w:space="0"/>
            </w:tcBorders>
            <w:noWrap w:val="0"/>
            <w:vAlign w:val="center"/>
          </w:tcPr>
          <w:p w14:paraId="162CA4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w:t>
            </w:r>
          </w:p>
        </w:tc>
        <w:tc>
          <w:tcPr>
            <w:tcW w:w="1973" w:type="dxa"/>
            <w:gridSpan w:val="2"/>
            <w:tcBorders>
              <w:top w:val="single" w:color="auto" w:sz="4" w:space="0"/>
              <w:left w:val="nil"/>
              <w:bottom w:val="single" w:color="auto" w:sz="4" w:space="0"/>
              <w:right w:val="single" w:color="auto" w:sz="4" w:space="0"/>
            </w:tcBorders>
            <w:noWrap w:val="0"/>
            <w:vAlign w:val="center"/>
          </w:tcPr>
          <w:p w14:paraId="6C92F3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927" w:type="dxa"/>
            <w:tcBorders>
              <w:top w:val="nil"/>
              <w:left w:val="nil"/>
              <w:bottom w:val="single" w:color="auto" w:sz="4" w:space="0"/>
              <w:right w:val="single" w:color="auto" w:sz="4" w:space="0"/>
            </w:tcBorders>
            <w:noWrap w:val="0"/>
            <w:vAlign w:val="center"/>
          </w:tcPr>
          <w:p w14:paraId="040C19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288C59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2478" w:type="dxa"/>
            <w:tcBorders>
              <w:top w:val="nil"/>
              <w:left w:val="nil"/>
              <w:bottom w:val="single" w:color="auto" w:sz="4" w:space="0"/>
              <w:right w:val="single" w:color="auto" w:sz="4" w:space="0"/>
            </w:tcBorders>
            <w:noWrap w:val="0"/>
            <w:vAlign w:val="center"/>
          </w:tcPr>
          <w:p w14:paraId="207F29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一台机一次配药用柴油5升、敌敌畏1</w:t>
            </w:r>
            <w:r>
              <w:rPr>
                <w:rFonts w:hint="eastAsia" w:ascii="宋体" w:hAnsi="宋体" w:eastAsia="宋体" w:cs="宋体"/>
                <w:kern w:val="0"/>
                <w:sz w:val="24"/>
                <w:szCs w:val="24"/>
                <w:highlight w:val="none"/>
                <w:lang w:eastAsia="zh-CN"/>
              </w:rPr>
              <w:t>升</w:t>
            </w:r>
            <w:r>
              <w:rPr>
                <w:rFonts w:hint="eastAsia" w:ascii="宋体" w:hAnsi="宋体" w:eastAsia="宋体" w:cs="宋体"/>
                <w:kern w:val="0"/>
                <w:sz w:val="24"/>
                <w:szCs w:val="24"/>
                <w:highlight w:val="none"/>
              </w:rPr>
              <w:t>，一次用烟雾机次及用药不确定</w:t>
            </w:r>
          </w:p>
        </w:tc>
      </w:tr>
      <w:tr w14:paraId="44EA04B9">
        <w:tblPrEx>
          <w:tblCellMar>
            <w:top w:w="0" w:type="dxa"/>
            <w:left w:w="108" w:type="dxa"/>
            <w:bottom w:w="0" w:type="dxa"/>
            <w:right w:w="108" w:type="dxa"/>
          </w:tblCellMar>
        </w:tblPrEx>
        <w:trPr>
          <w:trHeight w:val="637" w:hRule="atLeast"/>
        </w:trPr>
        <w:tc>
          <w:tcPr>
            <w:tcW w:w="478" w:type="dxa"/>
            <w:tcBorders>
              <w:top w:val="nil"/>
              <w:left w:val="single" w:color="auto" w:sz="4" w:space="0"/>
              <w:bottom w:val="single" w:color="auto" w:sz="4" w:space="0"/>
              <w:right w:val="single" w:color="auto" w:sz="4" w:space="0"/>
            </w:tcBorders>
            <w:noWrap w:val="0"/>
            <w:vAlign w:val="center"/>
          </w:tcPr>
          <w:p w14:paraId="7916C4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w:t>
            </w:r>
          </w:p>
        </w:tc>
        <w:tc>
          <w:tcPr>
            <w:tcW w:w="1876" w:type="dxa"/>
            <w:tcBorders>
              <w:top w:val="nil"/>
              <w:left w:val="nil"/>
              <w:bottom w:val="single" w:color="auto" w:sz="4" w:space="0"/>
              <w:right w:val="single" w:color="auto" w:sz="4" w:space="0"/>
            </w:tcBorders>
            <w:noWrap w:val="0"/>
            <w:vAlign w:val="center"/>
          </w:tcPr>
          <w:p w14:paraId="7CC5FF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机油</w:t>
            </w:r>
          </w:p>
        </w:tc>
        <w:tc>
          <w:tcPr>
            <w:tcW w:w="927" w:type="dxa"/>
            <w:tcBorders>
              <w:top w:val="nil"/>
              <w:left w:val="nil"/>
              <w:bottom w:val="single" w:color="auto" w:sz="4" w:space="0"/>
              <w:right w:val="single" w:color="auto" w:sz="4" w:space="0"/>
            </w:tcBorders>
            <w:noWrap w:val="0"/>
            <w:vAlign w:val="center"/>
          </w:tcPr>
          <w:p w14:paraId="7A7DA8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箱</w:t>
            </w:r>
          </w:p>
        </w:tc>
        <w:tc>
          <w:tcPr>
            <w:tcW w:w="1973" w:type="dxa"/>
            <w:gridSpan w:val="2"/>
            <w:tcBorders>
              <w:top w:val="single" w:color="auto" w:sz="4" w:space="0"/>
              <w:left w:val="nil"/>
              <w:bottom w:val="single" w:color="auto" w:sz="4" w:space="0"/>
              <w:right w:val="single" w:color="auto" w:sz="4" w:space="0"/>
            </w:tcBorders>
            <w:noWrap w:val="0"/>
            <w:vAlign w:val="center"/>
          </w:tcPr>
          <w:p w14:paraId="7E234E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w:t>
            </w:r>
          </w:p>
        </w:tc>
        <w:tc>
          <w:tcPr>
            <w:tcW w:w="927" w:type="dxa"/>
            <w:tcBorders>
              <w:top w:val="nil"/>
              <w:left w:val="nil"/>
              <w:bottom w:val="single" w:color="auto" w:sz="4" w:space="0"/>
              <w:right w:val="single" w:color="auto" w:sz="4" w:space="0"/>
            </w:tcBorders>
            <w:noWrap w:val="0"/>
            <w:vAlign w:val="center"/>
          </w:tcPr>
          <w:p w14:paraId="35CB24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p>
        </w:tc>
        <w:tc>
          <w:tcPr>
            <w:tcW w:w="957" w:type="dxa"/>
            <w:tcBorders>
              <w:top w:val="nil"/>
              <w:left w:val="nil"/>
              <w:bottom w:val="single" w:color="auto" w:sz="4" w:space="0"/>
              <w:right w:val="single" w:color="auto" w:sz="4" w:space="0"/>
            </w:tcBorders>
            <w:noWrap w:val="0"/>
            <w:vAlign w:val="center"/>
          </w:tcPr>
          <w:p w14:paraId="237BAF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val="en-US" w:eastAsia="zh-CN"/>
              </w:rPr>
            </w:pPr>
          </w:p>
        </w:tc>
        <w:tc>
          <w:tcPr>
            <w:tcW w:w="2478" w:type="dxa"/>
            <w:tcBorders>
              <w:top w:val="nil"/>
              <w:left w:val="nil"/>
              <w:bottom w:val="single" w:color="auto" w:sz="4" w:space="0"/>
              <w:right w:val="single" w:color="auto" w:sz="4" w:space="0"/>
            </w:tcBorders>
            <w:noWrap w:val="0"/>
            <w:vAlign w:val="center"/>
          </w:tcPr>
          <w:p w14:paraId="1051B6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r>
      <w:tr w14:paraId="4405C5D7">
        <w:tblPrEx>
          <w:tblCellMar>
            <w:top w:w="0" w:type="dxa"/>
            <w:left w:w="108" w:type="dxa"/>
            <w:bottom w:w="0" w:type="dxa"/>
            <w:right w:w="108" w:type="dxa"/>
          </w:tblCellMar>
        </w:tblPrEx>
        <w:trPr>
          <w:trHeight w:val="2241" w:hRule="atLeast"/>
        </w:trPr>
        <w:tc>
          <w:tcPr>
            <w:tcW w:w="478" w:type="dxa"/>
            <w:tcBorders>
              <w:top w:val="nil"/>
              <w:left w:val="single" w:color="auto" w:sz="4" w:space="0"/>
              <w:bottom w:val="single" w:color="auto" w:sz="4" w:space="0"/>
              <w:right w:val="single" w:color="auto" w:sz="4" w:space="0"/>
            </w:tcBorders>
            <w:noWrap w:val="0"/>
            <w:vAlign w:val="center"/>
          </w:tcPr>
          <w:p w14:paraId="7CC9FE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9</w:t>
            </w:r>
          </w:p>
        </w:tc>
        <w:tc>
          <w:tcPr>
            <w:tcW w:w="1876" w:type="dxa"/>
            <w:tcBorders>
              <w:top w:val="nil"/>
              <w:left w:val="nil"/>
              <w:bottom w:val="single" w:color="auto" w:sz="4" w:space="0"/>
              <w:right w:val="single" w:color="auto" w:sz="4" w:space="0"/>
            </w:tcBorders>
            <w:noWrap w:val="0"/>
            <w:vAlign w:val="center"/>
          </w:tcPr>
          <w:p w14:paraId="7E0051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其他</w:t>
            </w:r>
          </w:p>
        </w:tc>
        <w:tc>
          <w:tcPr>
            <w:tcW w:w="927" w:type="dxa"/>
            <w:tcBorders>
              <w:top w:val="nil"/>
              <w:left w:val="nil"/>
              <w:bottom w:val="single" w:color="auto" w:sz="4" w:space="0"/>
              <w:right w:val="single" w:color="auto" w:sz="4" w:space="0"/>
            </w:tcBorders>
            <w:noWrap w:val="0"/>
            <w:vAlign w:val="center"/>
          </w:tcPr>
          <w:p w14:paraId="2F0B59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w:t>
            </w:r>
          </w:p>
        </w:tc>
        <w:tc>
          <w:tcPr>
            <w:tcW w:w="1973" w:type="dxa"/>
            <w:gridSpan w:val="2"/>
            <w:tcBorders>
              <w:top w:val="single" w:color="auto" w:sz="4" w:space="0"/>
              <w:left w:val="nil"/>
              <w:bottom w:val="single" w:color="auto" w:sz="4" w:space="0"/>
              <w:right w:val="single" w:color="auto" w:sz="4" w:space="0"/>
            </w:tcBorders>
            <w:noWrap w:val="0"/>
            <w:vAlign w:val="center"/>
          </w:tcPr>
          <w:p w14:paraId="08AD91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927" w:type="dxa"/>
            <w:tcBorders>
              <w:top w:val="nil"/>
              <w:left w:val="nil"/>
              <w:bottom w:val="single" w:color="auto" w:sz="4" w:space="0"/>
              <w:right w:val="single" w:color="auto" w:sz="4" w:space="0"/>
            </w:tcBorders>
            <w:noWrap w:val="0"/>
            <w:vAlign w:val="center"/>
          </w:tcPr>
          <w:p w14:paraId="338274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957" w:type="dxa"/>
            <w:tcBorders>
              <w:top w:val="nil"/>
              <w:left w:val="nil"/>
              <w:bottom w:val="single" w:color="auto" w:sz="4" w:space="0"/>
              <w:right w:val="single" w:color="auto" w:sz="4" w:space="0"/>
            </w:tcBorders>
            <w:noWrap w:val="0"/>
            <w:vAlign w:val="center"/>
          </w:tcPr>
          <w:p w14:paraId="01F6B6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c>
          <w:tcPr>
            <w:tcW w:w="2478" w:type="dxa"/>
            <w:tcBorders>
              <w:top w:val="nil"/>
              <w:left w:val="nil"/>
              <w:bottom w:val="single" w:color="auto" w:sz="4" w:space="0"/>
              <w:right w:val="single" w:color="auto" w:sz="4" w:space="0"/>
            </w:tcBorders>
            <w:noWrap w:val="0"/>
            <w:vAlign w:val="center"/>
          </w:tcPr>
          <w:p w14:paraId="332798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0"/>
                <w:sz w:val="24"/>
                <w:szCs w:val="24"/>
                <w:highlight w:val="none"/>
              </w:rPr>
            </w:pPr>
          </w:p>
        </w:tc>
      </w:tr>
      <w:tr w14:paraId="386D9457">
        <w:tblPrEx>
          <w:tblCellMar>
            <w:top w:w="0" w:type="dxa"/>
            <w:left w:w="108" w:type="dxa"/>
            <w:bottom w:w="0" w:type="dxa"/>
            <w:right w:w="108" w:type="dxa"/>
          </w:tblCellMar>
        </w:tblPrEx>
        <w:trPr>
          <w:trHeight w:val="708" w:hRule="atLeast"/>
        </w:trPr>
        <w:tc>
          <w:tcPr>
            <w:tcW w:w="478" w:type="dxa"/>
            <w:tcBorders>
              <w:top w:val="nil"/>
              <w:left w:val="single" w:color="auto" w:sz="4" w:space="0"/>
              <w:bottom w:val="single" w:color="auto" w:sz="4" w:space="0"/>
              <w:right w:val="single" w:color="auto" w:sz="4" w:space="0"/>
            </w:tcBorders>
            <w:noWrap w:val="0"/>
            <w:vAlign w:val="center"/>
          </w:tcPr>
          <w:p w14:paraId="4E7C33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lang w:val="en-US" w:eastAsia="zh-CN"/>
              </w:rPr>
            </w:pPr>
            <w:r>
              <w:rPr>
                <w:rFonts w:hint="eastAsia" w:ascii="宋体" w:hAnsi="宋体" w:eastAsia="宋体" w:cs="宋体"/>
                <w:b/>
                <w:bCs/>
                <w:kern w:val="0"/>
                <w:sz w:val="24"/>
                <w:szCs w:val="24"/>
                <w:highlight w:val="none"/>
                <w:lang w:val="en-US" w:eastAsia="zh-CN"/>
              </w:rPr>
              <w:t>10</w:t>
            </w:r>
          </w:p>
        </w:tc>
        <w:tc>
          <w:tcPr>
            <w:tcW w:w="1876" w:type="dxa"/>
            <w:tcBorders>
              <w:top w:val="nil"/>
              <w:left w:val="nil"/>
              <w:bottom w:val="single" w:color="auto" w:sz="4" w:space="0"/>
              <w:right w:val="single" w:color="auto" w:sz="4" w:space="0"/>
            </w:tcBorders>
            <w:noWrap w:val="0"/>
            <w:vAlign w:val="center"/>
          </w:tcPr>
          <w:p w14:paraId="544177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合计总价</w:t>
            </w:r>
          </w:p>
        </w:tc>
        <w:tc>
          <w:tcPr>
            <w:tcW w:w="2900" w:type="dxa"/>
            <w:gridSpan w:val="3"/>
            <w:tcBorders>
              <w:top w:val="single" w:color="auto" w:sz="4" w:space="0"/>
              <w:left w:val="nil"/>
              <w:bottom w:val="single" w:color="auto" w:sz="4" w:space="0"/>
              <w:right w:val="single" w:color="auto" w:sz="4" w:space="0"/>
            </w:tcBorders>
            <w:noWrap w:val="0"/>
            <w:vAlign w:val="center"/>
          </w:tcPr>
          <w:p w14:paraId="33F9BF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　</w:t>
            </w:r>
          </w:p>
        </w:tc>
        <w:tc>
          <w:tcPr>
            <w:tcW w:w="927" w:type="dxa"/>
            <w:tcBorders>
              <w:top w:val="nil"/>
              <w:left w:val="nil"/>
              <w:bottom w:val="single" w:color="auto" w:sz="4" w:space="0"/>
              <w:right w:val="single" w:color="auto" w:sz="4" w:space="0"/>
            </w:tcBorders>
            <w:noWrap w:val="0"/>
            <w:vAlign w:val="center"/>
          </w:tcPr>
          <w:p w14:paraId="134268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　</w:t>
            </w:r>
          </w:p>
        </w:tc>
        <w:tc>
          <w:tcPr>
            <w:tcW w:w="957" w:type="dxa"/>
            <w:tcBorders>
              <w:top w:val="nil"/>
              <w:left w:val="nil"/>
              <w:bottom w:val="single" w:color="auto" w:sz="4" w:space="0"/>
              <w:right w:val="single" w:color="auto" w:sz="4" w:space="0"/>
            </w:tcBorders>
            <w:noWrap w:val="0"/>
            <w:vAlign w:val="center"/>
          </w:tcPr>
          <w:p w14:paraId="7B47D9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lang w:val="en-US" w:eastAsia="zh-CN"/>
              </w:rPr>
            </w:pPr>
          </w:p>
        </w:tc>
        <w:tc>
          <w:tcPr>
            <w:tcW w:w="2478" w:type="dxa"/>
            <w:tcBorders>
              <w:top w:val="nil"/>
              <w:left w:val="nil"/>
              <w:bottom w:val="single" w:color="auto" w:sz="4" w:space="0"/>
              <w:right w:val="single" w:color="auto" w:sz="4" w:space="0"/>
            </w:tcBorders>
            <w:noWrap w:val="0"/>
            <w:vAlign w:val="center"/>
          </w:tcPr>
          <w:p w14:paraId="3AB186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　</w:t>
            </w:r>
          </w:p>
        </w:tc>
      </w:tr>
    </w:tbl>
    <w:p w14:paraId="0812ECE7">
      <w:pPr>
        <w:pStyle w:val="6"/>
        <w:pageBreakBefore w:val="0"/>
        <w:tabs>
          <w:tab w:val="left" w:pos="1528"/>
        </w:tabs>
        <w:wordWrap/>
        <w:bidi w:val="0"/>
        <w:spacing w:after="0" w:line="360" w:lineRule="auto"/>
        <w:ind w:right="0" w:rightChars="0"/>
        <w:jc w:val="center"/>
        <w:textAlignment w:val="auto"/>
        <w:outlineLvl w:val="0"/>
        <w:rPr>
          <w:rFonts w:hint="eastAsia" w:ascii="宋体" w:hAnsi="宋体" w:eastAsia="宋体" w:cs="宋体"/>
          <w:b/>
          <w:bCs/>
          <w:sz w:val="32"/>
          <w:szCs w:val="32"/>
          <w:highlight w:val="none"/>
        </w:rPr>
      </w:pPr>
    </w:p>
    <w:p w14:paraId="478FE0BF">
      <w:pPr>
        <w:pStyle w:val="6"/>
        <w:pageBreakBefore w:val="0"/>
        <w:tabs>
          <w:tab w:val="left" w:pos="1528"/>
        </w:tabs>
        <w:wordWrap/>
        <w:bidi w:val="0"/>
        <w:spacing w:after="0" w:line="360" w:lineRule="auto"/>
        <w:ind w:right="0" w:rightChars="0"/>
        <w:jc w:val="center"/>
        <w:textAlignment w:val="auto"/>
        <w:outlineLvl w:val="0"/>
        <w:rPr>
          <w:rFonts w:hint="eastAsia" w:ascii="宋体" w:hAnsi="宋体" w:eastAsia="宋体" w:cs="宋体"/>
          <w:b/>
          <w:bCs/>
          <w:sz w:val="24"/>
          <w:szCs w:val="36"/>
          <w:highlight w:val="none"/>
        </w:rPr>
      </w:pPr>
      <w:r>
        <w:rPr>
          <w:rFonts w:hint="eastAsia" w:ascii="宋体" w:hAnsi="宋体" w:eastAsia="宋体" w:cs="宋体"/>
          <w:b/>
          <w:bCs/>
          <w:sz w:val="32"/>
          <w:szCs w:val="32"/>
          <w:highlight w:val="none"/>
        </w:rPr>
        <w:t>第五章</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 xml:space="preserve">  合同条款及格式</w:t>
      </w:r>
      <w:bookmarkEnd w:id="25"/>
      <w:bookmarkEnd w:id="26"/>
      <w:bookmarkEnd w:id="27"/>
      <w:bookmarkEnd w:id="28"/>
    </w:p>
    <w:p w14:paraId="0B5E40CF">
      <w:pPr>
        <w:keepNext w:val="0"/>
        <w:keepLines w:val="0"/>
        <w:pageBreakBefore w:val="0"/>
        <w:widowControl/>
        <w:kinsoku/>
        <w:wordWrap/>
        <w:overflowPunct/>
        <w:topLinePunct w:val="0"/>
        <w:autoSpaceDE/>
        <w:autoSpaceDN/>
        <w:bidi w:val="0"/>
        <w:adjustRightInd w:val="0"/>
        <w:snapToGrid/>
        <w:spacing w:line="360" w:lineRule="auto"/>
        <w:ind w:right="0" w:rightChars="0" w:firstLine="482" w:firstLineChars="200"/>
        <w:jc w:val="left"/>
        <w:textAlignment w:val="auto"/>
        <w:rPr>
          <w:rFonts w:hint="eastAsia" w:ascii="宋体" w:hAnsi="宋体" w:eastAsia="宋体" w:cs="宋体"/>
          <w:sz w:val="24"/>
          <w:szCs w:val="24"/>
          <w:highlight w:val="none"/>
          <w:u w:val="none"/>
          <w:lang w:val="en-US" w:eastAsia="zh-CN"/>
        </w:rPr>
      </w:pPr>
      <w:r>
        <w:rPr>
          <w:rFonts w:hint="eastAsia" w:ascii="宋体" w:hAnsi="宋体" w:eastAsia="宋体" w:cs="宋体"/>
          <w:b/>
          <w:bCs/>
          <w:sz w:val="24"/>
          <w:szCs w:val="24"/>
          <w:highlight w:val="none"/>
          <w:u w:val="none"/>
          <w:lang w:val="en-US" w:eastAsia="zh-CN"/>
        </w:rPr>
        <w:t>一、签订合同：</w:t>
      </w:r>
    </w:p>
    <w:p w14:paraId="3CD2C0EF">
      <w:pPr>
        <w:keepNext w:val="0"/>
        <w:keepLines w:val="0"/>
        <w:pageBreakBefore w:val="0"/>
        <w:widowControl/>
        <w:kinsoku/>
        <w:wordWrap/>
        <w:overflowPunct/>
        <w:topLinePunct w:val="0"/>
        <w:autoSpaceDE/>
        <w:autoSpaceDN/>
        <w:bidi w:val="0"/>
        <w:adjustRightInd w:val="0"/>
        <w:snapToGrid/>
        <w:spacing w:line="360" w:lineRule="auto"/>
        <w:ind w:right="0" w:rightChars="0" w:firstLine="480" w:firstLineChars="200"/>
        <w:jc w:val="left"/>
        <w:textAlignment w:val="auto"/>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磋商结果公示截止后，由采购人和成交供应商签订合同，合同签订的内容不能超出磋商文件、成交供应商的响应文件、磋商过程中的补充承诺、最终书面报价等的实质性内容。因供应商原因不能与采购人签订合同的，视为供应商放弃成交资格。</w:t>
      </w:r>
    </w:p>
    <w:p w14:paraId="640EE2F1">
      <w:pPr>
        <w:keepNext w:val="0"/>
        <w:keepLines w:val="0"/>
        <w:pageBreakBefore w:val="0"/>
        <w:widowControl/>
        <w:kinsoku/>
        <w:wordWrap/>
        <w:overflowPunct/>
        <w:topLinePunct w:val="0"/>
        <w:autoSpaceDE/>
        <w:autoSpaceDN/>
        <w:bidi w:val="0"/>
        <w:adjustRightInd w:val="0"/>
        <w:snapToGrid/>
        <w:spacing w:line="360" w:lineRule="auto"/>
        <w:ind w:right="0" w:rightChars="0" w:firstLine="482" w:firstLineChars="200"/>
        <w:jc w:val="left"/>
        <w:textAlignment w:val="auto"/>
        <w:rPr>
          <w:rFonts w:hint="eastAsia" w:ascii="宋体" w:hAnsi="宋体" w:eastAsia="宋体" w:cs="宋体"/>
          <w:b/>
          <w:bCs/>
          <w:sz w:val="24"/>
          <w:szCs w:val="24"/>
          <w:highlight w:val="none"/>
          <w:u w:val="none"/>
          <w:lang w:val="en-US" w:eastAsia="zh-CN"/>
        </w:rPr>
      </w:pPr>
      <w:r>
        <w:rPr>
          <w:rFonts w:hint="eastAsia" w:ascii="宋体" w:hAnsi="宋体" w:eastAsia="宋体" w:cs="宋体"/>
          <w:b/>
          <w:bCs/>
          <w:sz w:val="24"/>
          <w:szCs w:val="24"/>
          <w:highlight w:val="none"/>
          <w:u w:val="none"/>
          <w:lang w:val="en-US" w:eastAsia="zh-CN"/>
        </w:rPr>
        <w:t>二、合同格式：</w:t>
      </w:r>
    </w:p>
    <w:p w14:paraId="227B0403">
      <w:pPr>
        <w:keepNext w:val="0"/>
        <w:keepLines w:val="0"/>
        <w:pageBreakBefore w:val="0"/>
        <w:widowControl/>
        <w:kinsoku/>
        <w:wordWrap/>
        <w:overflowPunct/>
        <w:topLinePunct w:val="0"/>
        <w:autoSpaceDE/>
        <w:autoSpaceDN/>
        <w:bidi w:val="0"/>
        <w:adjustRightInd w:val="0"/>
        <w:snapToGrid/>
        <w:spacing w:line="360" w:lineRule="auto"/>
        <w:ind w:right="0" w:rightChars="0" w:firstLine="480" w:firstLineChars="200"/>
        <w:jc w:val="left"/>
        <w:textAlignment w:val="auto"/>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 xml:space="preserve">本合同格式为参考格式，具体内容以采购人和成交供应商双方最终协商确定的为准。合同格式中的发包人系指采购人，承包人系指成交供应商。  </w:t>
      </w:r>
    </w:p>
    <w:p w14:paraId="61596D79">
      <w:pPr>
        <w:pStyle w:val="2"/>
        <w:rPr>
          <w:rFonts w:hint="eastAsia" w:ascii="宋体" w:hAnsi="宋体" w:eastAsia="宋体" w:cs="宋体"/>
          <w:sz w:val="24"/>
          <w:szCs w:val="24"/>
          <w:highlight w:val="none"/>
          <w:u w:val="none"/>
          <w:lang w:val="en-US" w:eastAsia="zh-CN"/>
        </w:rPr>
      </w:pPr>
    </w:p>
    <w:p w14:paraId="77C220F5">
      <w:pPr>
        <w:rPr>
          <w:rFonts w:hint="eastAsia" w:ascii="宋体" w:hAnsi="宋体" w:eastAsia="宋体" w:cs="宋体"/>
          <w:sz w:val="24"/>
          <w:szCs w:val="24"/>
          <w:highlight w:val="none"/>
          <w:u w:val="none"/>
          <w:lang w:val="en-US" w:eastAsia="zh-CN"/>
        </w:rPr>
      </w:pPr>
    </w:p>
    <w:p w14:paraId="6CE776D3">
      <w:pPr>
        <w:pStyle w:val="2"/>
        <w:rPr>
          <w:rFonts w:hint="eastAsia" w:ascii="宋体" w:hAnsi="宋体" w:eastAsia="宋体" w:cs="宋体"/>
          <w:sz w:val="24"/>
          <w:szCs w:val="24"/>
          <w:highlight w:val="none"/>
          <w:u w:val="none"/>
          <w:lang w:val="en-US" w:eastAsia="zh-CN"/>
        </w:rPr>
      </w:pPr>
    </w:p>
    <w:p w14:paraId="20E9DE7E">
      <w:pPr>
        <w:rPr>
          <w:rFonts w:hint="eastAsia" w:ascii="宋体" w:hAnsi="宋体" w:eastAsia="宋体" w:cs="宋体"/>
          <w:sz w:val="24"/>
          <w:szCs w:val="24"/>
          <w:highlight w:val="none"/>
          <w:u w:val="none"/>
          <w:lang w:val="en-US" w:eastAsia="zh-CN"/>
        </w:rPr>
      </w:pPr>
    </w:p>
    <w:p w14:paraId="288FC99D">
      <w:pPr>
        <w:pStyle w:val="2"/>
        <w:rPr>
          <w:rFonts w:hint="eastAsia" w:ascii="宋体" w:hAnsi="宋体" w:eastAsia="宋体" w:cs="宋体"/>
          <w:sz w:val="24"/>
          <w:szCs w:val="24"/>
          <w:highlight w:val="none"/>
          <w:u w:val="none"/>
          <w:lang w:val="en-US" w:eastAsia="zh-CN"/>
        </w:rPr>
      </w:pPr>
    </w:p>
    <w:p w14:paraId="5CAA1A81">
      <w:pPr>
        <w:rPr>
          <w:rFonts w:hint="eastAsia" w:ascii="宋体" w:hAnsi="宋体" w:eastAsia="宋体" w:cs="宋体"/>
          <w:sz w:val="24"/>
          <w:szCs w:val="24"/>
          <w:highlight w:val="none"/>
          <w:u w:val="none"/>
          <w:lang w:val="en-US" w:eastAsia="zh-CN"/>
        </w:rPr>
      </w:pPr>
    </w:p>
    <w:p w14:paraId="3B002CE1">
      <w:pPr>
        <w:pStyle w:val="2"/>
        <w:rPr>
          <w:rFonts w:hint="eastAsia" w:ascii="宋体" w:hAnsi="宋体" w:eastAsia="宋体" w:cs="宋体"/>
          <w:sz w:val="24"/>
          <w:szCs w:val="24"/>
          <w:highlight w:val="none"/>
          <w:u w:val="none"/>
          <w:lang w:val="en-US" w:eastAsia="zh-CN"/>
        </w:rPr>
      </w:pPr>
    </w:p>
    <w:p w14:paraId="482C1613">
      <w:pPr>
        <w:rPr>
          <w:rFonts w:hint="eastAsia" w:ascii="宋体" w:hAnsi="宋体" w:eastAsia="宋体" w:cs="宋体"/>
          <w:sz w:val="24"/>
          <w:szCs w:val="24"/>
          <w:highlight w:val="none"/>
          <w:u w:val="none"/>
          <w:lang w:val="en-US" w:eastAsia="zh-CN"/>
        </w:rPr>
      </w:pPr>
    </w:p>
    <w:p w14:paraId="302C1E2A">
      <w:pPr>
        <w:pStyle w:val="2"/>
        <w:rPr>
          <w:rFonts w:hint="eastAsia" w:ascii="宋体" w:hAnsi="宋体" w:eastAsia="宋体" w:cs="宋体"/>
          <w:sz w:val="24"/>
          <w:szCs w:val="24"/>
          <w:highlight w:val="none"/>
          <w:u w:val="none"/>
          <w:lang w:val="en-US" w:eastAsia="zh-CN"/>
        </w:rPr>
      </w:pPr>
    </w:p>
    <w:p w14:paraId="6D292794">
      <w:pPr>
        <w:rPr>
          <w:rFonts w:hint="eastAsia" w:ascii="宋体" w:hAnsi="宋体" w:eastAsia="宋体" w:cs="宋体"/>
          <w:sz w:val="24"/>
          <w:szCs w:val="24"/>
          <w:highlight w:val="none"/>
          <w:u w:val="none"/>
          <w:lang w:val="en-US" w:eastAsia="zh-CN"/>
        </w:rPr>
      </w:pPr>
    </w:p>
    <w:p w14:paraId="1562358F">
      <w:pPr>
        <w:pStyle w:val="2"/>
        <w:rPr>
          <w:rFonts w:hint="eastAsia" w:ascii="宋体" w:hAnsi="宋体" w:eastAsia="宋体" w:cs="宋体"/>
          <w:sz w:val="24"/>
          <w:szCs w:val="24"/>
          <w:highlight w:val="none"/>
          <w:u w:val="none"/>
          <w:lang w:val="en-US" w:eastAsia="zh-CN"/>
        </w:rPr>
      </w:pPr>
    </w:p>
    <w:p w14:paraId="561405A0">
      <w:pPr>
        <w:rPr>
          <w:rFonts w:hint="eastAsia" w:ascii="宋体" w:hAnsi="宋体" w:eastAsia="宋体" w:cs="宋体"/>
          <w:sz w:val="24"/>
          <w:szCs w:val="24"/>
          <w:highlight w:val="none"/>
          <w:u w:val="none"/>
          <w:lang w:val="en-US" w:eastAsia="zh-CN"/>
        </w:rPr>
      </w:pPr>
    </w:p>
    <w:p w14:paraId="44B6F233">
      <w:pPr>
        <w:pStyle w:val="2"/>
        <w:rPr>
          <w:rFonts w:hint="eastAsia" w:ascii="宋体" w:hAnsi="宋体" w:eastAsia="宋体" w:cs="宋体"/>
          <w:sz w:val="24"/>
          <w:szCs w:val="24"/>
          <w:highlight w:val="none"/>
          <w:u w:val="none"/>
          <w:lang w:val="en-US" w:eastAsia="zh-CN"/>
        </w:rPr>
      </w:pPr>
    </w:p>
    <w:p w14:paraId="6BCB33CA">
      <w:pPr>
        <w:rPr>
          <w:rFonts w:hint="eastAsia" w:ascii="宋体" w:hAnsi="宋体" w:eastAsia="宋体" w:cs="宋体"/>
          <w:sz w:val="24"/>
          <w:szCs w:val="24"/>
          <w:highlight w:val="none"/>
          <w:u w:val="none"/>
          <w:lang w:val="en-US" w:eastAsia="zh-CN"/>
        </w:rPr>
      </w:pPr>
    </w:p>
    <w:p w14:paraId="06A581FA">
      <w:pPr>
        <w:pStyle w:val="2"/>
        <w:rPr>
          <w:rFonts w:hint="eastAsia" w:ascii="宋体" w:hAnsi="宋体" w:eastAsia="宋体" w:cs="宋体"/>
          <w:sz w:val="24"/>
          <w:szCs w:val="24"/>
          <w:highlight w:val="none"/>
          <w:u w:val="none"/>
          <w:lang w:val="en-US" w:eastAsia="zh-CN"/>
        </w:rPr>
      </w:pPr>
    </w:p>
    <w:p w14:paraId="0428051F">
      <w:pPr>
        <w:rPr>
          <w:rFonts w:hint="eastAsia" w:ascii="宋体" w:hAnsi="宋体" w:eastAsia="宋体" w:cs="宋体"/>
          <w:sz w:val="24"/>
          <w:szCs w:val="24"/>
          <w:highlight w:val="none"/>
          <w:u w:val="none"/>
          <w:lang w:val="en-US" w:eastAsia="zh-CN"/>
        </w:rPr>
      </w:pPr>
    </w:p>
    <w:p w14:paraId="40CA8849">
      <w:pPr>
        <w:pStyle w:val="2"/>
        <w:rPr>
          <w:rFonts w:hint="eastAsia" w:ascii="宋体" w:hAnsi="宋体" w:eastAsia="宋体" w:cs="宋体"/>
          <w:sz w:val="24"/>
          <w:szCs w:val="24"/>
          <w:highlight w:val="none"/>
          <w:u w:val="none"/>
          <w:lang w:val="en-US" w:eastAsia="zh-CN"/>
        </w:rPr>
      </w:pPr>
    </w:p>
    <w:p w14:paraId="66BE0059">
      <w:pPr>
        <w:rPr>
          <w:rFonts w:hint="eastAsia" w:ascii="宋体" w:hAnsi="宋体" w:eastAsia="宋体" w:cs="宋体"/>
          <w:sz w:val="24"/>
          <w:szCs w:val="24"/>
          <w:highlight w:val="none"/>
          <w:u w:val="none"/>
          <w:lang w:val="en-US" w:eastAsia="zh-CN"/>
        </w:rPr>
      </w:pPr>
    </w:p>
    <w:p w14:paraId="11B7E7AB">
      <w:pPr>
        <w:pStyle w:val="2"/>
        <w:rPr>
          <w:rFonts w:hint="eastAsia" w:ascii="宋体" w:hAnsi="宋体" w:eastAsia="宋体" w:cs="宋体"/>
          <w:sz w:val="24"/>
          <w:szCs w:val="24"/>
          <w:highlight w:val="none"/>
          <w:u w:val="none"/>
          <w:lang w:val="en-US" w:eastAsia="zh-CN"/>
        </w:rPr>
      </w:pPr>
    </w:p>
    <w:p w14:paraId="17282E79">
      <w:pPr>
        <w:rPr>
          <w:rFonts w:hint="eastAsia" w:ascii="宋体" w:hAnsi="宋体" w:eastAsia="宋体" w:cs="宋体"/>
          <w:sz w:val="24"/>
          <w:szCs w:val="24"/>
          <w:highlight w:val="none"/>
          <w:u w:val="none"/>
          <w:lang w:val="en-US" w:eastAsia="zh-CN"/>
        </w:rPr>
      </w:pPr>
    </w:p>
    <w:p w14:paraId="757B177C">
      <w:pPr>
        <w:pStyle w:val="2"/>
        <w:rPr>
          <w:rFonts w:hint="eastAsia" w:ascii="宋体" w:hAnsi="宋体" w:eastAsia="宋体" w:cs="宋体"/>
          <w:sz w:val="24"/>
          <w:szCs w:val="24"/>
          <w:highlight w:val="none"/>
          <w:u w:val="none"/>
          <w:lang w:val="en-US" w:eastAsia="zh-CN"/>
        </w:rPr>
      </w:pPr>
    </w:p>
    <w:p w14:paraId="0E82BC66">
      <w:pPr>
        <w:rPr>
          <w:rFonts w:hint="eastAsia" w:ascii="宋体" w:hAnsi="宋体" w:eastAsia="宋体" w:cs="宋体"/>
          <w:sz w:val="24"/>
          <w:szCs w:val="24"/>
          <w:highlight w:val="none"/>
          <w:u w:val="none"/>
          <w:lang w:val="en-US" w:eastAsia="zh-CN"/>
        </w:rPr>
      </w:pPr>
    </w:p>
    <w:p w14:paraId="01D683AE">
      <w:pPr>
        <w:pStyle w:val="2"/>
        <w:rPr>
          <w:rFonts w:hint="eastAsia" w:ascii="宋体" w:hAnsi="宋体" w:eastAsia="宋体" w:cs="宋体"/>
          <w:sz w:val="24"/>
          <w:szCs w:val="24"/>
          <w:highlight w:val="none"/>
          <w:u w:val="none"/>
          <w:lang w:val="en-US" w:eastAsia="zh-CN"/>
        </w:rPr>
      </w:pPr>
    </w:p>
    <w:p w14:paraId="47020C08">
      <w:pPr>
        <w:rPr>
          <w:rFonts w:hint="eastAsia" w:ascii="宋体" w:hAnsi="宋体" w:eastAsia="宋体" w:cs="宋体"/>
          <w:sz w:val="24"/>
          <w:szCs w:val="24"/>
          <w:highlight w:val="none"/>
          <w:u w:val="none"/>
          <w:lang w:val="en-US" w:eastAsia="zh-CN"/>
        </w:rPr>
      </w:pPr>
    </w:p>
    <w:p w14:paraId="7A9FA970">
      <w:pPr>
        <w:pStyle w:val="2"/>
        <w:rPr>
          <w:rFonts w:hint="eastAsia" w:ascii="宋体" w:hAnsi="宋体" w:eastAsia="宋体" w:cs="宋体"/>
          <w:sz w:val="24"/>
          <w:szCs w:val="24"/>
          <w:highlight w:val="none"/>
          <w:u w:val="none"/>
          <w:lang w:val="en-US" w:eastAsia="zh-CN"/>
        </w:rPr>
      </w:pPr>
    </w:p>
    <w:p w14:paraId="0A2014D1">
      <w:pPr>
        <w:rPr>
          <w:rFonts w:hint="eastAsia" w:ascii="宋体" w:hAnsi="宋体" w:eastAsia="宋体" w:cs="宋体"/>
          <w:sz w:val="24"/>
          <w:szCs w:val="24"/>
          <w:highlight w:val="none"/>
          <w:u w:val="none"/>
          <w:lang w:val="en-US" w:eastAsia="zh-CN"/>
        </w:rPr>
      </w:pPr>
    </w:p>
    <w:p w14:paraId="302015D8">
      <w:pPr>
        <w:pStyle w:val="2"/>
        <w:rPr>
          <w:rFonts w:hint="eastAsia" w:ascii="宋体" w:hAnsi="宋体" w:eastAsia="宋体" w:cs="宋体"/>
          <w:sz w:val="24"/>
          <w:szCs w:val="24"/>
          <w:highlight w:val="none"/>
          <w:u w:val="none"/>
          <w:lang w:val="en-US" w:eastAsia="zh-CN"/>
        </w:rPr>
      </w:pPr>
    </w:p>
    <w:p w14:paraId="4773D835">
      <w:pPr>
        <w:rPr>
          <w:rFonts w:hint="eastAsia" w:ascii="宋体" w:hAnsi="宋体" w:eastAsia="宋体" w:cs="宋体"/>
          <w:sz w:val="24"/>
          <w:szCs w:val="24"/>
          <w:highlight w:val="none"/>
          <w:u w:val="none"/>
          <w:lang w:val="en-US" w:eastAsia="zh-CN"/>
        </w:rPr>
      </w:pPr>
    </w:p>
    <w:p w14:paraId="4A1F3B3C">
      <w:pPr>
        <w:pStyle w:val="6"/>
        <w:jc w:val="center"/>
        <w:rPr>
          <w:rFonts w:hint="eastAsia"/>
          <w:color w:val="000000"/>
          <w:sz w:val="44"/>
          <w:szCs w:val="44"/>
        </w:rPr>
      </w:pPr>
    </w:p>
    <w:p w14:paraId="32814DE6">
      <w:pPr>
        <w:pStyle w:val="6"/>
        <w:jc w:val="center"/>
        <w:rPr>
          <w:rFonts w:hint="eastAsia"/>
          <w:color w:val="000000"/>
          <w:sz w:val="44"/>
          <w:szCs w:val="44"/>
        </w:rPr>
      </w:pPr>
      <w:r>
        <w:rPr>
          <w:rFonts w:hint="eastAsia"/>
          <w:color w:val="000000"/>
          <w:sz w:val="44"/>
          <w:szCs w:val="44"/>
        </w:rPr>
        <w:t>采购合同</w:t>
      </w:r>
    </w:p>
    <w:p w14:paraId="57C69AFC">
      <w:pPr>
        <w:pStyle w:val="6"/>
        <w:jc w:val="center"/>
        <w:rPr>
          <w:rFonts w:hint="eastAsia"/>
          <w:color w:val="000000"/>
        </w:rPr>
      </w:pPr>
    </w:p>
    <w:p w14:paraId="5AA59EC8">
      <w:pPr>
        <w:pStyle w:val="6"/>
        <w:jc w:val="center"/>
        <w:rPr>
          <w:rFonts w:hint="eastAsia"/>
          <w:color w:val="000000"/>
        </w:rPr>
      </w:pPr>
    </w:p>
    <w:p w14:paraId="34836C98">
      <w:pPr>
        <w:pStyle w:val="6"/>
        <w:jc w:val="center"/>
        <w:rPr>
          <w:rFonts w:hint="eastAsia"/>
          <w:color w:val="000000"/>
        </w:rPr>
      </w:pPr>
    </w:p>
    <w:p w14:paraId="493CEAF4">
      <w:pPr>
        <w:pStyle w:val="6"/>
        <w:rPr>
          <w:rFonts w:hint="eastAsia"/>
          <w:color w:val="000000"/>
          <w:u w:val="single"/>
        </w:rPr>
      </w:pPr>
      <w:r>
        <w:rPr>
          <w:rFonts w:hint="eastAsia"/>
          <w:color w:val="000000"/>
        </w:rPr>
        <w:t xml:space="preserve">          项目名称：</w:t>
      </w:r>
      <w:r>
        <w:rPr>
          <w:rFonts w:hint="eastAsia"/>
          <w:color w:val="000000"/>
          <w:u w:val="single"/>
        </w:rPr>
        <w:t xml:space="preserve">                               </w:t>
      </w:r>
    </w:p>
    <w:p w14:paraId="28DAC502">
      <w:pPr>
        <w:pStyle w:val="6"/>
        <w:rPr>
          <w:rFonts w:hint="eastAsia"/>
          <w:color w:val="000000"/>
        </w:rPr>
      </w:pPr>
    </w:p>
    <w:p w14:paraId="65BD1F16">
      <w:pPr>
        <w:pStyle w:val="6"/>
        <w:rPr>
          <w:rFonts w:hint="eastAsia"/>
          <w:color w:val="000000"/>
          <w:u w:val="single"/>
        </w:rPr>
      </w:pPr>
      <w:r>
        <w:rPr>
          <w:rFonts w:hint="eastAsia"/>
          <w:color w:val="000000"/>
        </w:rPr>
        <w:t xml:space="preserve">          项目编号：</w:t>
      </w:r>
      <w:r>
        <w:rPr>
          <w:rFonts w:hint="eastAsia"/>
          <w:color w:val="000000"/>
          <w:u w:val="single"/>
        </w:rPr>
        <w:t xml:space="preserve">                                </w:t>
      </w:r>
    </w:p>
    <w:p w14:paraId="2747476C">
      <w:pPr>
        <w:pStyle w:val="6"/>
        <w:jc w:val="center"/>
        <w:rPr>
          <w:rFonts w:hint="eastAsia"/>
          <w:bCs/>
          <w:color w:val="000000"/>
        </w:rPr>
      </w:pPr>
    </w:p>
    <w:p w14:paraId="6C193A0E">
      <w:pPr>
        <w:pStyle w:val="6"/>
        <w:jc w:val="center"/>
        <w:rPr>
          <w:rFonts w:hint="eastAsia"/>
          <w:bCs/>
          <w:color w:val="000000"/>
        </w:rPr>
      </w:pPr>
    </w:p>
    <w:p w14:paraId="1105856E">
      <w:pPr>
        <w:pStyle w:val="6"/>
        <w:jc w:val="center"/>
        <w:rPr>
          <w:rFonts w:hint="eastAsia"/>
          <w:bCs/>
          <w:color w:val="000000"/>
        </w:rPr>
      </w:pPr>
    </w:p>
    <w:p w14:paraId="51166E1D">
      <w:pPr>
        <w:pStyle w:val="6"/>
        <w:jc w:val="center"/>
        <w:rPr>
          <w:rFonts w:hint="eastAsia"/>
          <w:bCs/>
          <w:color w:val="000000"/>
        </w:rPr>
      </w:pPr>
    </w:p>
    <w:p w14:paraId="6DA73BB7">
      <w:pPr>
        <w:pStyle w:val="6"/>
        <w:jc w:val="center"/>
        <w:rPr>
          <w:rFonts w:hint="eastAsia"/>
          <w:bCs/>
          <w:color w:val="000000"/>
        </w:rPr>
      </w:pPr>
    </w:p>
    <w:p w14:paraId="051E57D8">
      <w:pPr>
        <w:pStyle w:val="6"/>
        <w:jc w:val="both"/>
        <w:rPr>
          <w:rFonts w:hint="eastAsia"/>
          <w:bCs/>
          <w:color w:val="000000"/>
        </w:rPr>
      </w:pPr>
    </w:p>
    <w:p w14:paraId="3140698F">
      <w:pPr>
        <w:pStyle w:val="6"/>
        <w:jc w:val="center"/>
        <w:rPr>
          <w:rFonts w:hint="eastAsia"/>
          <w:bCs/>
          <w:color w:val="000000"/>
        </w:rPr>
      </w:pPr>
    </w:p>
    <w:p w14:paraId="59975123">
      <w:pPr>
        <w:pStyle w:val="6"/>
        <w:jc w:val="center"/>
        <w:rPr>
          <w:rFonts w:hint="eastAsia"/>
          <w:bCs/>
          <w:color w:val="000000"/>
        </w:rPr>
      </w:pPr>
    </w:p>
    <w:p w14:paraId="3F47E4D3">
      <w:pPr>
        <w:pStyle w:val="6"/>
        <w:jc w:val="both"/>
        <w:rPr>
          <w:rFonts w:hint="eastAsia"/>
          <w:bCs/>
          <w:color w:val="000000"/>
        </w:rPr>
      </w:pPr>
    </w:p>
    <w:p w14:paraId="64DD501E">
      <w:pPr>
        <w:pStyle w:val="6"/>
        <w:jc w:val="center"/>
        <w:rPr>
          <w:rFonts w:hint="eastAsia"/>
          <w:bCs/>
          <w:color w:val="000000"/>
        </w:rPr>
      </w:pPr>
    </w:p>
    <w:p w14:paraId="20B9681C">
      <w:pPr>
        <w:pStyle w:val="6"/>
        <w:rPr>
          <w:rFonts w:hint="eastAsia"/>
          <w:bCs/>
          <w:color w:val="000000"/>
          <w:u w:val="single"/>
        </w:rPr>
      </w:pPr>
      <w:r>
        <w:rPr>
          <w:rFonts w:hint="eastAsia"/>
          <w:bCs/>
          <w:color w:val="000000"/>
        </w:rPr>
        <w:t xml:space="preserve">       采购人：</w:t>
      </w:r>
      <w:r>
        <w:rPr>
          <w:rFonts w:hint="eastAsia"/>
          <w:bCs/>
          <w:color w:val="000000"/>
          <w:u w:val="single"/>
        </w:rPr>
        <w:t xml:space="preserve">                                  </w:t>
      </w:r>
    </w:p>
    <w:p w14:paraId="067FC896">
      <w:pPr>
        <w:pStyle w:val="6"/>
        <w:rPr>
          <w:rFonts w:hint="eastAsia"/>
          <w:color w:val="000000"/>
        </w:rPr>
      </w:pPr>
      <w:r>
        <w:rPr>
          <w:rFonts w:hint="eastAsia"/>
          <w:color w:val="000000"/>
        </w:rPr>
        <w:t xml:space="preserve">    </w:t>
      </w:r>
    </w:p>
    <w:p w14:paraId="4279A99F">
      <w:pPr>
        <w:pStyle w:val="6"/>
        <w:rPr>
          <w:rFonts w:hint="eastAsia"/>
          <w:color w:val="000000"/>
          <w:u w:val="single"/>
        </w:rPr>
      </w:pPr>
      <w:r>
        <w:rPr>
          <w:rFonts w:hint="eastAsia"/>
          <w:color w:val="000000"/>
        </w:rPr>
        <w:t xml:space="preserve">       供货商：</w:t>
      </w:r>
      <w:r>
        <w:rPr>
          <w:rFonts w:hint="eastAsia"/>
          <w:color w:val="000000"/>
          <w:u w:val="single"/>
        </w:rPr>
        <w:t xml:space="preserve">                                  </w:t>
      </w:r>
    </w:p>
    <w:p w14:paraId="431442C3">
      <w:pPr>
        <w:pStyle w:val="6"/>
        <w:jc w:val="center"/>
        <w:rPr>
          <w:rFonts w:hint="eastAsia"/>
          <w:color w:val="000000"/>
        </w:rPr>
      </w:pPr>
    </w:p>
    <w:p w14:paraId="5B231EB4">
      <w:pPr>
        <w:spacing w:line="360" w:lineRule="auto"/>
        <w:rPr>
          <w:rFonts w:hint="eastAsia" w:ascii="宋体" w:hAnsi="宋体"/>
          <w:color w:val="000000"/>
          <w:sz w:val="24"/>
        </w:rPr>
      </w:pPr>
    </w:p>
    <w:p w14:paraId="498FEDC9">
      <w:pPr>
        <w:keepNext w:val="0"/>
        <w:keepLines w:val="0"/>
        <w:pageBreakBefore w:val="0"/>
        <w:widowControl w:val="0"/>
        <w:kinsoku/>
        <w:wordWrap/>
        <w:overflowPunct/>
        <w:topLinePunct w:val="0"/>
        <w:bidi w:val="0"/>
        <w:spacing w:line="360" w:lineRule="auto"/>
        <w:jc w:val="center"/>
        <w:textAlignment w:val="auto"/>
        <w:rPr>
          <w:rFonts w:hint="eastAsia" w:ascii="宋体" w:hAnsi="宋体" w:cs="宋体"/>
          <w:color w:val="000000"/>
          <w:sz w:val="24"/>
        </w:rPr>
      </w:pPr>
      <w:r>
        <w:rPr>
          <w:rFonts w:hint="eastAsia" w:ascii="宋体" w:hAnsi="宋体" w:cs="宋体"/>
          <w:color w:val="000000"/>
          <w:sz w:val="24"/>
        </w:rPr>
        <w:t>合 同 书</w:t>
      </w:r>
    </w:p>
    <w:p w14:paraId="7BCD6B9A">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s="宋体"/>
          <w:color w:val="000000"/>
          <w:sz w:val="24"/>
        </w:rPr>
      </w:pPr>
    </w:p>
    <w:p w14:paraId="7FE80ED1">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eastAsia="宋体"/>
          <w:color w:val="000000"/>
          <w:sz w:val="24"/>
          <w:lang w:eastAsia="zh-CN"/>
        </w:rPr>
      </w:pPr>
      <w:r>
        <w:rPr>
          <w:rFonts w:hint="eastAsia" w:ascii="宋体" w:hAnsi="宋体" w:cs="宋体"/>
          <w:color w:val="000000"/>
          <w:sz w:val="24"/>
        </w:rPr>
        <w:t>甲</w:t>
      </w:r>
      <w:r>
        <w:rPr>
          <w:rFonts w:hint="eastAsia" w:ascii="宋体" w:hAnsi="宋体"/>
          <w:color w:val="000000"/>
          <w:sz w:val="24"/>
        </w:rPr>
        <w:t>方：</w:t>
      </w:r>
      <w:r>
        <w:rPr>
          <w:rFonts w:hint="eastAsia" w:ascii="宋体" w:hAnsi="宋体"/>
          <w:color w:val="000000"/>
          <w:sz w:val="24"/>
          <w:lang w:eastAsia="zh-CN"/>
        </w:rPr>
        <w:t>邹城市</w:t>
      </w:r>
      <w:r>
        <w:rPr>
          <w:rFonts w:hint="eastAsia" w:ascii="宋体" w:hAnsi="宋体"/>
          <w:color w:val="000000"/>
          <w:sz w:val="24"/>
          <w:lang w:val="en-US" w:eastAsia="zh-CN"/>
        </w:rPr>
        <w:t>太平</w:t>
      </w:r>
      <w:r>
        <w:rPr>
          <w:rFonts w:hint="eastAsia" w:ascii="宋体" w:hAnsi="宋体"/>
          <w:color w:val="000000"/>
          <w:sz w:val="24"/>
          <w:lang w:eastAsia="zh-CN"/>
        </w:rPr>
        <w:t>镇人民政府</w:t>
      </w:r>
    </w:p>
    <w:p w14:paraId="3D7F34AE">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 xml:space="preserve">乙方：                     </w:t>
      </w:r>
    </w:p>
    <w:p w14:paraId="1452BB8D">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为切实做好今年我镇美国白蛾、杨小舟蛾和法桐方翅网蝽等林业有害生物防控工作，确保全镇森林资源和生态安全，甲乙双方根据有关法律法规和合同法规定，对</w:t>
      </w:r>
      <w:r>
        <w:rPr>
          <w:rFonts w:hint="eastAsia" w:ascii="宋体" w:hAnsi="宋体"/>
          <w:color w:val="000000"/>
          <w:sz w:val="24"/>
          <w:lang w:eastAsia="zh-CN"/>
        </w:rPr>
        <w:t>邹城市太平镇2025年度林业有害生物防治服务采购项目</w:t>
      </w:r>
      <w:r>
        <w:rPr>
          <w:rFonts w:hint="eastAsia" w:ascii="宋体" w:hAnsi="宋体"/>
          <w:color w:val="000000"/>
          <w:sz w:val="24"/>
        </w:rPr>
        <w:t>对外承包，订立本合同。</w:t>
      </w:r>
    </w:p>
    <w:p w14:paraId="2D88F1E9">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240" w:firstLineChars="100"/>
        <w:textAlignment w:val="auto"/>
        <w:rPr>
          <w:rFonts w:hint="eastAsia" w:ascii="宋体" w:hAnsi="宋体"/>
          <w:color w:val="000000"/>
          <w:sz w:val="24"/>
        </w:rPr>
      </w:pPr>
      <w:r>
        <w:rPr>
          <w:rFonts w:hint="eastAsia" w:ascii="宋体" w:hAnsi="宋体"/>
          <w:color w:val="000000"/>
          <w:sz w:val="24"/>
        </w:rPr>
        <w:t xml:space="preserve">  一、承包范围：采购人对全镇范围内的林业有害生物进行监测，根据监测结果，指定需防治区域的工作全权承包给成交供应商进行全面防治并对林木有害生物对林木资源危害的后续处理。</w:t>
      </w:r>
    </w:p>
    <w:p w14:paraId="37FC61AD">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360" w:firstLineChars="150"/>
        <w:textAlignment w:val="auto"/>
        <w:rPr>
          <w:rFonts w:hint="eastAsia" w:ascii="宋体" w:hAnsi="宋体"/>
          <w:color w:val="000000"/>
          <w:sz w:val="24"/>
          <w:lang w:val="en-US" w:eastAsia="zh-CN"/>
        </w:rPr>
      </w:pPr>
      <w:r>
        <w:rPr>
          <w:rFonts w:hint="eastAsia" w:ascii="宋体" w:hAnsi="宋体"/>
          <w:color w:val="000000"/>
          <w:sz w:val="24"/>
        </w:rPr>
        <w:t xml:space="preserve"> 二、</w:t>
      </w:r>
      <w:r>
        <w:rPr>
          <w:rFonts w:hint="eastAsia" w:ascii="宋体" w:hAnsi="宋体"/>
          <w:color w:val="000000"/>
          <w:sz w:val="24"/>
          <w:lang w:val="en-US" w:eastAsia="zh-CN"/>
        </w:rPr>
        <w:t>服务地点：邹城市太平镇。</w:t>
      </w:r>
    </w:p>
    <w:p w14:paraId="4CC5DC5F">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default" w:ascii="宋体" w:hAnsi="宋体" w:eastAsia="宋体"/>
          <w:color w:val="000000"/>
          <w:sz w:val="24"/>
          <w:lang w:val="en-US" w:eastAsia="zh-CN"/>
        </w:rPr>
      </w:pPr>
      <w:r>
        <w:rPr>
          <w:rFonts w:hint="eastAsia" w:ascii="宋体" w:hAnsi="宋体"/>
          <w:color w:val="000000"/>
          <w:sz w:val="24"/>
          <w:lang w:val="en-US" w:eastAsia="zh-CN"/>
        </w:rPr>
        <w:t>防治服务期：一年。</w:t>
      </w:r>
    </w:p>
    <w:p w14:paraId="72629F01">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三、承包金额：金额为(大写)           元，（小写）      元。 价格为含税全包价，包括药品的采购、防治人工、喷药器械维修、验收等有害生物防治所需一切费用。</w:t>
      </w:r>
    </w:p>
    <w:p w14:paraId="20BF0E52">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360" w:firstLineChars="150"/>
        <w:textAlignment w:val="auto"/>
        <w:rPr>
          <w:rFonts w:hint="eastAsia" w:ascii="宋体" w:hAnsi="宋体"/>
          <w:color w:val="000000"/>
          <w:sz w:val="24"/>
          <w:highlight w:val="none"/>
        </w:rPr>
      </w:pPr>
      <w:r>
        <w:rPr>
          <w:rFonts w:hint="eastAsia" w:ascii="宋体" w:hAnsi="宋体"/>
          <w:color w:val="000000"/>
          <w:sz w:val="24"/>
        </w:rPr>
        <w:t xml:space="preserve"> 四、验收时间</w:t>
      </w:r>
      <w:r>
        <w:rPr>
          <w:rFonts w:hint="eastAsia" w:ascii="宋体" w:hAnsi="宋体"/>
          <w:color w:val="000000"/>
          <w:sz w:val="24"/>
          <w:highlight w:val="none"/>
        </w:rPr>
        <w:t>和方式：甲方组织林业技术人员进行验收，</w:t>
      </w:r>
      <w:r>
        <w:rPr>
          <w:rFonts w:hint="eastAsia" w:ascii="宋体" w:hAnsi="宋体"/>
          <w:color w:val="000000"/>
          <w:sz w:val="24"/>
          <w:highlight w:val="none"/>
          <w:lang w:eastAsia="zh-CN"/>
        </w:rPr>
        <w:t>2025年</w:t>
      </w:r>
      <w:r>
        <w:rPr>
          <w:rFonts w:hint="eastAsia" w:ascii="宋体" w:hAnsi="宋体"/>
          <w:color w:val="000000"/>
          <w:sz w:val="24"/>
          <w:highlight w:val="none"/>
          <w:lang w:val="en-US" w:eastAsia="zh-CN"/>
        </w:rPr>
        <w:t>8</w:t>
      </w:r>
      <w:r>
        <w:rPr>
          <w:rFonts w:hint="eastAsia" w:ascii="宋体" w:hAnsi="宋体"/>
          <w:color w:val="000000"/>
          <w:sz w:val="24"/>
          <w:highlight w:val="none"/>
        </w:rPr>
        <w:t>月</w:t>
      </w:r>
      <w:r>
        <w:rPr>
          <w:rFonts w:hint="eastAsia" w:ascii="宋体" w:hAnsi="宋体"/>
          <w:color w:val="000000"/>
          <w:sz w:val="24"/>
          <w:highlight w:val="none"/>
          <w:lang w:val="en-US" w:eastAsia="zh-CN"/>
        </w:rPr>
        <w:t>上</w:t>
      </w:r>
      <w:r>
        <w:rPr>
          <w:rFonts w:hint="eastAsia" w:ascii="宋体" w:hAnsi="宋体"/>
          <w:color w:val="000000"/>
          <w:sz w:val="24"/>
          <w:highlight w:val="none"/>
        </w:rPr>
        <w:t>旬进行第一次防治目标验收，</w:t>
      </w:r>
      <w:r>
        <w:rPr>
          <w:rFonts w:hint="eastAsia" w:ascii="宋体" w:hAnsi="宋体"/>
          <w:color w:val="000000"/>
          <w:sz w:val="24"/>
          <w:highlight w:val="none"/>
          <w:lang w:eastAsia="zh-CN"/>
        </w:rPr>
        <w:t>2025年</w:t>
      </w:r>
      <w:r>
        <w:rPr>
          <w:rFonts w:hint="eastAsia" w:ascii="宋体" w:hAnsi="宋体"/>
          <w:color w:val="000000"/>
          <w:sz w:val="24"/>
          <w:highlight w:val="none"/>
          <w:lang w:val="en-US" w:eastAsia="zh-CN"/>
        </w:rPr>
        <w:t>10</w:t>
      </w:r>
      <w:r>
        <w:rPr>
          <w:rFonts w:hint="eastAsia" w:ascii="宋体" w:hAnsi="宋体"/>
          <w:color w:val="000000"/>
          <w:sz w:val="24"/>
          <w:highlight w:val="none"/>
        </w:rPr>
        <w:t>月</w:t>
      </w:r>
      <w:r>
        <w:rPr>
          <w:rFonts w:hint="eastAsia" w:ascii="宋体" w:hAnsi="宋体"/>
          <w:color w:val="000000"/>
          <w:sz w:val="24"/>
          <w:highlight w:val="none"/>
          <w:lang w:val="en-US" w:eastAsia="zh-CN"/>
        </w:rPr>
        <w:t>上</w:t>
      </w:r>
      <w:r>
        <w:rPr>
          <w:rFonts w:hint="eastAsia" w:ascii="宋体" w:hAnsi="宋体"/>
          <w:color w:val="000000"/>
          <w:sz w:val="24"/>
          <w:highlight w:val="none"/>
        </w:rPr>
        <w:t>旬进行第二次防治目标验收，</w:t>
      </w:r>
      <w:r>
        <w:rPr>
          <w:rFonts w:hint="eastAsia" w:ascii="宋体" w:hAnsi="宋体"/>
          <w:color w:val="000000"/>
          <w:sz w:val="24"/>
          <w:highlight w:val="none"/>
          <w:lang w:eastAsia="zh-CN"/>
        </w:rPr>
        <w:t>2025年</w:t>
      </w:r>
      <w:r>
        <w:rPr>
          <w:rFonts w:hint="eastAsia" w:ascii="宋体" w:hAnsi="宋体"/>
          <w:color w:val="000000"/>
          <w:sz w:val="24"/>
          <w:highlight w:val="none"/>
        </w:rPr>
        <w:t>1</w:t>
      </w:r>
      <w:r>
        <w:rPr>
          <w:rFonts w:hint="eastAsia" w:ascii="宋体" w:hAnsi="宋体"/>
          <w:color w:val="000000"/>
          <w:sz w:val="24"/>
          <w:highlight w:val="none"/>
          <w:lang w:val="en-US" w:eastAsia="zh-CN"/>
        </w:rPr>
        <w:t>1</w:t>
      </w:r>
      <w:r>
        <w:rPr>
          <w:rFonts w:hint="eastAsia" w:ascii="宋体" w:hAnsi="宋体"/>
          <w:color w:val="000000"/>
          <w:sz w:val="24"/>
          <w:highlight w:val="none"/>
        </w:rPr>
        <w:t>月</w:t>
      </w:r>
      <w:r>
        <w:rPr>
          <w:rFonts w:hint="eastAsia" w:ascii="宋体" w:hAnsi="宋体"/>
          <w:color w:val="000000"/>
          <w:sz w:val="24"/>
          <w:highlight w:val="none"/>
          <w:lang w:val="en-US" w:eastAsia="zh-CN"/>
        </w:rPr>
        <w:t>中</w:t>
      </w:r>
      <w:r>
        <w:rPr>
          <w:rFonts w:hint="eastAsia" w:ascii="宋体" w:hAnsi="宋体"/>
          <w:color w:val="000000"/>
          <w:sz w:val="24"/>
          <w:highlight w:val="none"/>
        </w:rPr>
        <w:t>旬组织第</w:t>
      </w:r>
      <w:r>
        <w:rPr>
          <w:rFonts w:hint="eastAsia" w:ascii="宋体" w:hAnsi="宋体"/>
          <w:color w:val="000000"/>
          <w:sz w:val="24"/>
          <w:highlight w:val="none"/>
          <w:lang w:eastAsia="zh-CN"/>
        </w:rPr>
        <w:t>三</w:t>
      </w:r>
      <w:r>
        <w:rPr>
          <w:rFonts w:hint="eastAsia" w:ascii="宋体" w:hAnsi="宋体"/>
          <w:color w:val="000000"/>
          <w:sz w:val="24"/>
          <w:highlight w:val="none"/>
        </w:rPr>
        <w:t>次防治目标验收。甲方有权根据验收结果要求乙方立即防治或者提出索赔要求。验收合格后，由甲方组织的验收小组签署验收报告，作为付款凭据之一。</w:t>
      </w:r>
    </w:p>
    <w:p w14:paraId="21EB5F5B">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s="宋体"/>
          <w:b/>
          <w:color w:val="000000"/>
          <w:sz w:val="24"/>
          <w:highlight w:val="none"/>
        </w:rPr>
      </w:pPr>
      <w:r>
        <w:rPr>
          <w:rFonts w:hint="eastAsia" w:ascii="宋体" w:hAnsi="宋体"/>
          <w:color w:val="000000"/>
          <w:sz w:val="24"/>
          <w:highlight w:val="none"/>
        </w:rPr>
        <w:t xml:space="preserve">五、货款支付: </w:t>
      </w:r>
      <w:r>
        <w:rPr>
          <w:rFonts w:hint="eastAsia" w:ascii="宋体" w:hAnsi="宋体" w:cs="宋体"/>
          <w:b/>
          <w:color w:val="000000"/>
          <w:sz w:val="24"/>
          <w:highlight w:val="none"/>
        </w:rPr>
        <w:t>本项目无预付款，</w:t>
      </w:r>
      <w:r>
        <w:rPr>
          <w:rFonts w:hint="eastAsia" w:ascii="宋体" w:hAnsi="宋体" w:cs="宋体"/>
          <w:b/>
          <w:color w:val="000000"/>
          <w:sz w:val="24"/>
          <w:highlight w:val="none"/>
          <w:lang w:eastAsia="zh-CN"/>
        </w:rPr>
        <w:t>2025</w:t>
      </w:r>
      <w:r>
        <w:rPr>
          <w:rFonts w:hint="eastAsia" w:ascii="宋体" w:hAnsi="宋体" w:cs="宋体"/>
          <w:b/>
          <w:color w:val="000000"/>
          <w:sz w:val="24"/>
          <w:highlight w:val="none"/>
        </w:rPr>
        <w:t>年8月上旬进行第一次验收，验收合格后</w:t>
      </w:r>
      <w:r>
        <w:rPr>
          <w:rFonts w:hint="eastAsia" w:ascii="宋体" w:hAnsi="宋体" w:cs="宋体"/>
          <w:b/>
          <w:color w:val="000000"/>
          <w:sz w:val="24"/>
          <w:highlight w:val="none"/>
          <w:lang w:eastAsia="zh-CN"/>
        </w:rPr>
        <w:t>2025</w:t>
      </w:r>
      <w:r>
        <w:rPr>
          <w:rFonts w:hint="eastAsia" w:ascii="宋体" w:hAnsi="宋体" w:cs="宋体"/>
          <w:b/>
          <w:color w:val="000000"/>
          <w:sz w:val="24"/>
          <w:highlight w:val="none"/>
        </w:rPr>
        <w:t>年10月上旬付合同价的40%，</w:t>
      </w:r>
      <w:r>
        <w:rPr>
          <w:rFonts w:hint="eastAsia" w:ascii="宋体" w:hAnsi="宋体" w:cs="宋体"/>
          <w:b/>
          <w:color w:val="000000"/>
          <w:sz w:val="24"/>
          <w:highlight w:val="none"/>
          <w:lang w:eastAsia="zh-CN"/>
        </w:rPr>
        <w:t>2025</w:t>
      </w:r>
      <w:r>
        <w:rPr>
          <w:rFonts w:hint="eastAsia" w:ascii="宋体" w:hAnsi="宋体" w:cs="宋体"/>
          <w:b/>
          <w:color w:val="000000"/>
          <w:sz w:val="24"/>
          <w:highlight w:val="none"/>
        </w:rPr>
        <w:t>年11月中旬最终验收合格后，一次性无息付清剩余款项。</w:t>
      </w:r>
    </w:p>
    <w:p w14:paraId="55F3F346">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highlight w:val="none"/>
        </w:rPr>
      </w:pPr>
      <w:r>
        <w:rPr>
          <w:rFonts w:hint="eastAsia" w:ascii="宋体" w:hAnsi="宋体"/>
          <w:color w:val="000000"/>
          <w:sz w:val="24"/>
          <w:highlight w:val="none"/>
        </w:rPr>
        <w:t>六、甲方责任</w:t>
      </w:r>
    </w:p>
    <w:p w14:paraId="1E503E4B">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1、防治期间，甲方将安排一名林业技术人员随时进行作业质量跟踪检查，并及时将作业情况通告乙方，以便不断提高作业质量。</w:t>
      </w:r>
    </w:p>
    <w:p w14:paraId="79FDFCD9">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2、因防治不力造成灾情扩散蔓延的，甲方有权要求乙方及时整改，否则甲方有权中止并解除合同约定，要求乙方按照合同有关条款予以赔偿。</w:t>
      </w:r>
    </w:p>
    <w:p w14:paraId="3849FDCB">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七、乙方责任</w:t>
      </w:r>
    </w:p>
    <w:p w14:paraId="1829D7B9">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1、乙方必须确保专门的防治工作组不少于2个8人、打药车2辆及充足的防治药物等。在喷药防治前要积极开展排查工作，特别对放蜂、养蚕、养虾等虫害区域避免药物喷洒，应采取人工剪除网幕并作焚烧处理，防止药害事件发生，如因药害事件造成损失及纠纷，由承包人全部承担并自行解决。</w:t>
      </w:r>
    </w:p>
    <w:p w14:paraId="463AEAD0">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2、乙方保证防治后，甲方境内的美国白蛾、杨小舟蛾和法桐方翅网蝽等林业有害生物平均有虫株率控制在1%以下，叶片保存率90%以上，成灾率2‰以下。</w:t>
      </w:r>
    </w:p>
    <w:p w14:paraId="56E96CAB">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3、在承包服务期内，确保喷药器械及施工人员用药安全，确保不发生防治事故和防治次生灾害事故。若发生事故，责任由乙方全部承担并赔偿所有损失。</w:t>
      </w:r>
    </w:p>
    <w:p w14:paraId="2B4374A2">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4、乙方防治用药应遵循上级及镇林业部门要求，合理制定施药配方，所用林药必须是符合国家防控标准的生物制剂。</w:t>
      </w:r>
    </w:p>
    <w:p w14:paraId="42D98CDC">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八、违约和赔偿</w:t>
      </w:r>
    </w:p>
    <w:p w14:paraId="05EE9678">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1、本合同生效后，甲、乙双方不得私自无故中途毁约，否则视为违约，违约方除向对方支付已发生的各项费用外，还须支付违约金，违约金为本合同金额的10%。</w:t>
      </w:r>
    </w:p>
    <w:p w14:paraId="028FDB00">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2、甲方逾期不支付服务费即视为违约，甲方除补交应付服务费外，另赔偿乙方损失，赔偿最高不超过本合同金额的10%。</w:t>
      </w:r>
    </w:p>
    <w:p w14:paraId="6F1001CC">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3、乙方未按承包方案或甲方整改要求防治并因防治不力造成灾情扩散蔓延的，甲方有权要求乙方及时整改，否则甲方有权中止并解除合同约定，由此造成甲方损失的，即视为违约，乙方除向甲方支付已发生的各项费用外，还须赔偿甲方损失，赔偿最高不超过本合同金额的10%。</w:t>
      </w:r>
    </w:p>
    <w:p w14:paraId="10C4ABFC">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rPr>
        <w:t>4、每次验收虫株率每增加一个百分点、叶片保存率每降低一个百分点、成灾率超过2‰以上每增加一个千分点扣除合同款的1%；被济宁市通报一次扣除合同款的20%；成灾率超过5‰或叶片保存率达不到50%或被省级及以上通报的扣除50%合同款。</w:t>
      </w:r>
    </w:p>
    <w:p w14:paraId="6CD56E19">
      <w:pPr>
        <w:keepNext w:val="0"/>
        <w:keepLines w:val="0"/>
        <w:pageBreakBefore w:val="0"/>
        <w:widowControl w:val="0"/>
        <w:tabs>
          <w:tab w:val="left" w:pos="0"/>
          <w:tab w:val="left" w:pos="540"/>
          <w:tab w:val="left" w:pos="720"/>
          <w:tab w:val="left" w:pos="1080"/>
          <w:tab w:val="left" w:pos="1440"/>
          <w:tab w:val="left" w:pos="2160"/>
          <w:tab w:val="left" w:pos="2880"/>
          <w:tab w:val="left" w:pos="3600"/>
          <w:tab w:val="left" w:pos="4320"/>
        </w:tabs>
        <w:kinsoku/>
        <w:wordWrap/>
        <w:overflowPunct/>
        <w:topLinePunct w:val="0"/>
        <w:autoSpaceDE w:val="0"/>
        <w:autoSpaceDN w:val="0"/>
        <w:bidi w:val="0"/>
        <w:snapToGrid w:val="0"/>
        <w:spacing w:line="360" w:lineRule="auto"/>
        <w:ind w:firstLine="480" w:firstLineChars="200"/>
        <w:textAlignment w:val="auto"/>
        <w:rPr>
          <w:rFonts w:hint="eastAsia" w:ascii="宋体" w:hAnsi="宋体"/>
          <w:color w:val="000000"/>
          <w:sz w:val="24"/>
        </w:rPr>
      </w:pPr>
      <w:r>
        <w:rPr>
          <w:rFonts w:hint="eastAsia" w:ascii="宋体" w:hAnsi="宋体"/>
          <w:color w:val="000000"/>
          <w:sz w:val="24"/>
          <w:lang w:eastAsia="zh-CN"/>
        </w:rPr>
        <w:t>九、</w:t>
      </w:r>
      <w:r>
        <w:rPr>
          <w:rFonts w:hint="eastAsia" w:ascii="宋体" w:hAnsi="宋体"/>
          <w:color w:val="000000"/>
          <w:sz w:val="24"/>
        </w:rPr>
        <w:t>其他:本合同经甲方、乙方法定代表人或其委托人签字并加盖公章后生效。本合同一式五份，甲方、乙方各执两份，</w:t>
      </w:r>
      <w:r>
        <w:rPr>
          <w:rFonts w:hint="eastAsia" w:ascii="宋体" w:hAnsi="宋体"/>
          <w:color w:val="000000"/>
          <w:sz w:val="24"/>
          <w:lang w:eastAsia="zh-CN"/>
        </w:rPr>
        <w:t>邹城市</w:t>
      </w:r>
      <w:r>
        <w:rPr>
          <w:rFonts w:hint="eastAsia" w:ascii="宋体" w:hAnsi="宋体"/>
          <w:color w:val="000000"/>
          <w:sz w:val="24"/>
          <w:lang w:val="en-US" w:eastAsia="zh-CN"/>
        </w:rPr>
        <w:t>太平</w:t>
      </w:r>
      <w:r>
        <w:rPr>
          <w:rFonts w:hint="eastAsia" w:ascii="宋体" w:hAnsi="宋体"/>
          <w:color w:val="000000"/>
          <w:sz w:val="24"/>
          <w:lang w:eastAsia="zh-CN"/>
        </w:rPr>
        <w:t>镇</w:t>
      </w:r>
      <w:r>
        <w:rPr>
          <w:rFonts w:hint="eastAsia" w:ascii="宋体" w:hAnsi="宋体"/>
          <w:color w:val="000000"/>
          <w:sz w:val="24"/>
        </w:rPr>
        <w:t>公共资源交易监督管理办公室备案一份。</w:t>
      </w:r>
    </w:p>
    <w:p w14:paraId="53D9E363">
      <w:pPr>
        <w:keepNext w:val="0"/>
        <w:keepLines w:val="0"/>
        <w:pageBreakBefore w:val="0"/>
        <w:widowControl w:val="0"/>
        <w:kinsoku/>
        <w:wordWrap/>
        <w:overflowPunct/>
        <w:topLinePunct w:val="0"/>
        <w:bidi w:val="0"/>
        <w:spacing w:line="360" w:lineRule="auto"/>
        <w:textAlignment w:val="auto"/>
        <w:rPr>
          <w:rFonts w:hint="eastAsia" w:ascii="宋体" w:hAnsi="宋体" w:cs="宋体"/>
          <w:color w:val="000000"/>
          <w:sz w:val="24"/>
        </w:rPr>
      </w:pPr>
    </w:p>
    <w:p w14:paraId="7F28F3D9">
      <w:pPr>
        <w:keepNext w:val="0"/>
        <w:keepLines w:val="0"/>
        <w:pageBreakBefore w:val="0"/>
        <w:widowControl w:val="0"/>
        <w:kinsoku/>
        <w:wordWrap/>
        <w:overflowPunct/>
        <w:topLinePunct w:val="0"/>
        <w:bidi w:val="0"/>
        <w:spacing w:line="360" w:lineRule="auto"/>
        <w:ind w:firstLine="640"/>
        <w:textAlignment w:val="auto"/>
        <w:rPr>
          <w:rFonts w:hint="eastAsia" w:ascii="宋体" w:hAnsi="宋体" w:cs="宋体"/>
          <w:color w:val="000000"/>
          <w:sz w:val="24"/>
        </w:rPr>
      </w:pPr>
      <w:r>
        <w:rPr>
          <w:rFonts w:hint="eastAsia" w:ascii="宋体" w:hAnsi="宋体" w:cs="宋体"/>
          <w:color w:val="000000"/>
          <w:sz w:val="24"/>
        </w:rPr>
        <w:t>甲方（章）：</w:t>
      </w:r>
      <w:r>
        <w:rPr>
          <w:rFonts w:hint="eastAsia" w:ascii="宋体" w:hAnsi="宋体" w:cs="宋体"/>
          <w:color w:val="000000"/>
          <w:sz w:val="24"/>
          <w:lang w:eastAsia="zh-CN"/>
        </w:rPr>
        <w:t>邹城市</w:t>
      </w:r>
      <w:r>
        <w:rPr>
          <w:rFonts w:hint="eastAsia" w:ascii="宋体" w:hAnsi="宋体" w:cs="宋体"/>
          <w:color w:val="000000"/>
          <w:sz w:val="24"/>
          <w:lang w:val="en-US" w:eastAsia="zh-CN"/>
        </w:rPr>
        <w:t>太平</w:t>
      </w:r>
      <w:r>
        <w:rPr>
          <w:rFonts w:hint="eastAsia" w:ascii="宋体" w:hAnsi="宋体" w:cs="宋体"/>
          <w:color w:val="000000"/>
          <w:sz w:val="24"/>
          <w:lang w:eastAsia="zh-CN"/>
        </w:rPr>
        <w:t>镇人民政府</w:t>
      </w:r>
      <w:r>
        <w:rPr>
          <w:rFonts w:hint="eastAsia" w:ascii="宋体" w:hAnsi="宋体" w:cs="宋体"/>
          <w:color w:val="000000"/>
          <w:sz w:val="24"/>
        </w:rPr>
        <w:t xml:space="preserve">             乙方（章）：</w:t>
      </w:r>
    </w:p>
    <w:p w14:paraId="3152A70C">
      <w:pPr>
        <w:keepNext w:val="0"/>
        <w:keepLines w:val="0"/>
        <w:pageBreakBefore w:val="0"/>
        <w:widowControl w:val="0"/>
        <w:kinsoku/>
        <w:wordWrap/>
        <w:overflowPunct/>
        <w:topLinePunct w:val="0"/>
        <w:bidi w:val="0"/>
        <w:spacing w:line="360" w:lineRule="auto"/>
        <w:ind w:firstLine="640"/>
        <w:textAlignment w:val="auto"/>
        <w:rPr>
          <w:rFonts w:hint="eastAsia" w:ascii="宋体" w:hAnsi="宋体" w:cs="宋体"/>
          <w:color w:val="000000"/>
          <w:sz w:val="24"/>
        </w:rPr>
      </w:pPr>
      <w:r>
        <w:rPr>
          <w:rFonts w:hint="eastAsia" w:ascii="宋体" w:hAnsi="宋体" w:cs="宋体"/>
          <w:color w:val="000000"/>
          <w:sz w:val="24"/>
        </w:rPr>
        <w:t xml:space="preserve">         </w:t>
      </w:r>
    </w:p>
    <w:p w14:paraId="21B06DB3">
      <w:pPr>
        <w:keepNext w:val="0"/>
        <w:keepLines w:val="0"/>
        <w:pageBreakBefore w:val="0"/>
        <w:widowControl w:val="0"/>
        <w:kinsoku/>
        <w:wordWrap/>
        <w:overflowPunct/>
        <w:topLinePunct w:val="0"/>
        <w:bidi w:val="0"/>
        <w:spacing w:line="360" w:lineRule="auto"/>
        <w:ind w:firstLine="640"/>
        <w:textAlignment w:val="auto"/>
        <w:rPr>
          <w:rFonts w:hint="eastAsia" w:ascii="宋体" w:hAnsi="宋体" w:cs="宋体"/>
          <w:color w:val="000000"/>
          <w:sz w:val="24"/>
        </w:rPr>
      </w:pPr>
      <w:r>
        <w:rPr>
          <w:rFonts w:hint="eastAsia" w:ascii="宋体" w:hAnsi="宋体" w:cs="宋体"/>
          <w:color w:val="000000"/>
          <w:sz w:val="24"/>
        </w:rPr>
        <w:t>法定代表人：            　　                 法定代表人：</w:t>
      </w:r>
    </w:p>
    <w:p w14:paraId="63FB8713">
      <w:pPr>
        <w:keepNext w:val="0"/>
        <w:keepLines w:val="0"/>
        <w:pageBreakBefore w:val="0"/>
        <w:widowControl w:val="0"/>
        <w:kinsoku/>
        <w:wordWrap/>
        <w:overflowPunct/>
        <w:topLinePunct w:val="0"/>
        <w:bidi w:val="0"/>
        <w:spacing w:line="360" w:lineRule="auto"/>
        <w:ind w:firstLine="240" w:firstLineChars="100"/>
        <w:textAlignment w:val="auto"/>
        <w:rPr>
          <w:rFonts w:hint="eastAsia" w:ascii="宋体" w:hAnsi="宋体" w:cs="宋体"/>
          <w:color w:val="000000"/>
          <w:sz w:val="24"/>
        </w:rPr>
      </w:pPr>
      <w:r>
        <w:rPr>
          <w:rFonts w:hint="eastAsia" w:ascii="宋体" w:hAnsi="宋体" w:cs="宋体"/>
          <w:color w:val="000000"/>
          <w:sz w:val="24"/>
          <w:lang w:eastAsia="zh-CN"/>
        </w:rPr>
        <w:t>（或</w:t>
      </w:r>
      <w:r>
        <w:rPr>
          <w:rFonts w:hint="eastAsia" w:ascii="宋体" w:hAnsi="宋体" w:cs="宋体"/>
          <w:color w:val="000000"/>
          <w:sz w:val="24"/>
        </w:rPr>
        <w:t>委托代理人</w:t>
      </w:r>
      <w:r>
        <w:rPr>
          <w:rFonts w:hint="eastAsia" w:ascii="宋体" w:hAnsi="宋体" w:cs="宋体"/>
          <w:color w:val="000000"/>
          <w:sz w:val="24"/>
          <w:lang w:eastAsia="zh-CN"/>
        </w:rPr>
        <w:t>）</w:t>
      </w:r>
      <w:r>
        <w:rPr>
          <w:rFonts w:hint="eastAsia" w:ascii="宋体" w:hAnsi="宋体" w:cs="宋体"/>
          <w:color w:val="000000"/>
          <w:sz w:val="24"/>
        </w:rPr>
        <w:t xml:space="preserve">                              </w:t>
      </w:r>
      <w:r>
        <w:rPr>
          <w:rFonts w:hint="eastAsia" w:ascii="宋体" w:hAnsi="宋体" w:cs="宋体"/>
          <w:color w:val="000000"/>
          <w:sz w:val="24"/>
          <w:lang w:eastAsia="zh-CN"/>
        </w:rPr>
        <w:t>（或</w:t>
      </w:r>
      <w:r>
        <w:rPr>
          <w:rFonts w:hint="eastAsia" w:ascii="宋体" w:hAnsi="宋体" w:cs="宋体"/>
          <w:color w:val="000000"/>
          <w:sz w:val="24"/>
        </w:rPr>
        <w:t>委托代理人</w:t>
      </w:r>
      <w:r>
        <w:rPr>
          <w:rFonts w:hint="eastAsia" w:ascii="宋体" w:hAnsi="宋体" w:cs="宋体"/>
          <w:color w:val="000000"/>
          <w:sz w:val="24"/>
          <w:lang w:eastAsia="zh-CN"/>
        </w:rPr>
        <w:t>）</w:t>
      </w:r>
    </w:p>
    <w:p w14:paraId="6691F1B9">
      <w:pPr>
        <w:keepNext w:val="0"/>
        <w:keepLines w:val="0"/>
        <w:pageBreakBefore w:val="0"/>
        <w:widowControl w:val="0"/>
        <w:kinsoku/>
        <w:wordWrap/>
        <w:overflowPunct/>
        <w:topLinePunct w:val="0"/>
        <w:bidi w:val="0"/>
        <w:spacing w:line="360" w:lineRule="auto"/>
        <w:ind w:firstLine="640"/>
        <w:textAlignment w:val="auto"/>
        <w:rPr>
          <w:rFonts w:hint="eastAsia" w:ascii="宋体" w:hAnsi="宋体" w:cs="宋体"/>
          <w:color w:val="000000"/>
          <w:sz w:val="24"/>
        </w:rPr>
      </w:pPr>
    </w:p>
    <w:p w14:paraId="5E88C0A1">
      <w:pPr>
        <w:keepNext w:val="0"/>
        <w:keepLines w:val="0"/>
        <w:pageBreakBefore w:val="0"/>
        <w:widowControl w:val="0"/>
        <w:kinsoku/>
        <w:wordWrap/>
        <w:overflowPunct/>
        <w:topLinePunct w:val="0"/>
        <w:bidi w:val="0"/>
        <w:spacing w:line="360" w:lineRule="auto"/>
        <w:ind w:firstLine="640"/>
        <w:textAlignment w:val="auto"/>
        <w:rPr>
          <w:rFonts w:hint="eastAsia" w:ascii="宋体" w:hAnsi="宋体" w:cs="宋体"/>
          <w:color w:val="000000"/>
          <w:sz w:val="24"/>
        </w:rPr>
      </w:pPr>
      <w:r>
        <w:rPr>
          <w:rFonts w:hint="eastAsia" w:ascii="宋体" w:hAnsi="宋体" w:cs="宋体"/>
          <w:color w:val="000000"/>
          <w:sz w:val="24"/>
        </w:rPr>
        <w:t>　　　　                       　　　　　　　　　</w:t>
      </w:r>
    </w:p>
    <w:p w14:paraId="091D5D36">
      <w:pPr>
        <w:keepNext w:val="0"/>
        <w:keepLines w:val="0"/>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pacing w:line="360" w:lineRule="auto"/>
        <w:jc w:val="center"/>
        <w:textAlignment w:val="auto"/>
        <w:rPr>
          <w:rFonts w:hint="eastAsia" w:ascii="宋体" w:hAnsi="宋体" w:cs="宋体"/>
          <w:color w:val="000000"/>
          <w:sz w:val="24"/>
        </w:rPr>
      </w:pPr>
      <w:r>
        <w:rPr>
          <w:rFonts w:hint="eastAsia" w:ascii="宋体" w:hAnsi="宋体" w:cs="宋体"/>
          <w:color w:val="000000"/>
          <w:sz w:val="24"/>
        </w:rPr>
        <w:t xml:space="preserve">                                      年   月   日</w:t>
      </w:r>
    </w:p>
    <w:p w14:paraId="07D711EC">
      <w:pPr>
        <w:pStyle w:val="2"/>
        <w:rPr>
          <w:rFonts w:hint="eastAsia"/>
        </w:rPr>
      </w:pPr>
    </w:p>
    <w:p w14:paraId="4694BC0A">
      <w:pPr>
        <w:pStyle w:val="2"/>
        <w:rPr>
          <w:rFonts w:hint="eastAsia"/>
          <w:lang w:val="en-US" w:eastAsia="zh-CN"/>
        </w:rPr>
      </w:pPr>
    </w:p>
    <w:p w14:paraId="23B28ACC">
      <w:pPr>
        <w:spacing w:line="360" w:lineRule="auto"/>
        <w:jc w:val="center"/>
        <w:outlineLvl w:val="0"/>
        <w:rPr>
          <w:rFonts w:hint="eastAsia" w:ascii="宋体" w:hAnsi="宋体"/>
          <w:color w:val="auto"/>
          <w:sz w:val="32"/>
          <w:szCs w:val="32"/>
          <w:highlight w:val="none"/>
        </w:rPr>
      </w:pPr>
      <w:bookmarkStart w:id="29" w:name="_Toc15400"/>
      <w:bookmarkStart w:id="30" w:name="_Toc13610"/>
      <w:bookmarkStart w:id="31" w:name="_Toc368606665"/>
      <w:bookmarkStart w:id="32" w:name="_Toc455751669"/>
      <w:bookmarkStart w:id="33" w:name="_Toc455751480"/>
      <w:r>
        <w:rPr>
          <w:rFonts w:hint="eastAsia" w:ascii="宋体" w:hAnsi="宋体"/>
          <w:b/>
          <w:color w:val="auto"/>
          <w:sz w:val="32"/>
          <w:szCs w:val="32"/>
          <w:highlight w:val="none"/>
        </w:rPr>
        <w:br w:type="page"/>
      </w:r>
      <w:bookmarkStart w:id="34" w:name="_Toc18855"/>
      <w:r>
        <w:rPr>
          <w:rFonts w:hint="eastAsia" w:ascii="宋体" w:hAnsi="宋体"/>
          <w:b/>
          <w:color w:val="auto"/>
          <w:sz w:val="32"/>
          <w:szCs w:val="32"/>
          <w:highlight w:val="none"/>
        </w:rPr>
        <w:t>第六</w:t>
      </w:r>
      <w:r>
        <w:rPr>
          <w:rFonts w:hint="eastAsia" w:ascii="宋体" w:hAnsi="宋体"/>
          <w:b/>
          <w:color w:val="auto"/>
          <w:sz w:val="32"/>
          <w:szCs w:val="32"/>
          <w:highlight w:val="none"/>
          <w:lang w:val="en-US" w:eastAsia="zh-CN"/>
        </w:rPr>
        <w:t xml:space="preserve">章   </w:t>
      </w:r>
      <w:r>
        <w:rPr>
          <w:rFonts w:hint="eastAsia" w:ascii="宋体" w:hAnsi="宋体"/>
          <w:b/>
          <w:color w:val="auto"/>
          <w:sz w:val="32"/>
          <w:szCs w:val="32"/>
          <w:highlight w:val="none"/>
        </w:rPr>
        <w:t>响应文件格式</w:t>
      </w:r>
      <w:bookmarkEnd w:id="29"/>
      <w:bookmarkEnd w:id="30"/>
      <w:bookmarkEnd w:id="34"/>
    </w:p>
    <w:p w14:paraId="091E81AD">
      <w:pPr>
        <w:pStyle w:val="2"/>
        <w:tabs>
          <w:tab w:val="left" w:pos="0"/>
          <w:tab w:val="left" w:pos="720"/>
          <w:tab w:val="left" w:pos="1440"/>
          <w:tab w:val="left" w:pos="2160"/>
          <w:tab w:val="left" w:pos="2880"/>
          <w:tab w:val="left" w:pos="3600"/>
          <w:tab w:val="left" w:pos="4320"/>
        </w:tabs>
        <w:autoSpaceDE w:val="0"/>
        <w:autoSpaceDN w:val="0"/>
        <w:adjustRightInd w:val="0"/>
        <w:spacing w:before="0" w:line="360" w:lineRule="auto"/>
        <w:rPr>
          <w:rFonts w:hint="eastAsia" w:ascii="宋体" w:hAnsi="宋体"/>
          <w:bCs/>
          <w:color w:val="auto"/>
          <w:sz w:val="21"/>
          <w:szCs w:val="21"/>
          <w:highlight w:val="none"/>
        </w:rPr>
      </w:pPr>
    </w:p>
    <w:p w14:paraId="66AB6C5C">
      <w:pPr>
        <w:rPr>
          <w:rFonts w:hint="eastAsia"/>
          <w:color w:val="auto"/>
          <w:highlight w:val="none"/>
        </w:rPr>
      </w:pPr>
    </w:p>
    <w:p w14:paraId="0FE74296">
      <w:pPr>
        <w:spacing w:line="360" w:lineRule="auto"/>
        <w:jc w:val="center"/>
        <w:rPr>
          <w:rFonts w:hint="eastAsia" w:ascii="宋体" w:hAnsi="宋体" w:cs="宋体"/>
          <w:b/>
          <w:color w:val="auto"/>
          <w:w w:val="90"/>
          <w:kern w:val="16"/>
          <w:sz w:val="44"/>
          <w:szCs w:val="44"/>
          <w:highlight w:val="none"/>
          <w:lang w:eastAsia="zh-CN"/>
        </w:rPr>
      </w:pPr>
      <w:r>
        <w:rPr>
          <w:rFonts w:hint="eastAsia" w:ascii="宋体" w:hAnsi="宋体" w:cs="宋体"/>
          <w:b/>
          <w:color w:val="auto"/>
          <w:w w:val="90"/>
          <w:kern w:val="16"/>
          <w:sz w:val="44"/>
          <w:szCs w:val="44"/>
          <w:highlight w:val="none"/>
          <w:lang w:eastAsia="zh-CN"/>
        </w:rPr>
        <w:t>邹城市太平镇2025年度林业有害生物防治</w:t>
      </w:r>
    </w:p>
    <w:p w14:paraId="6F4175E1">
      <w:pPr>
        <w:spacing w:line="360" w:lineRule="auto"/>
        <w:jc w:val="center"/>
        <w:rPr>
          <w:color w:val="auto"/>
          <w:sz w:val="36"/>
          <w:szCs w:val="36"/>
          <w:highlight w:val="none"/>
        </w:rPr>
      </w:pPr>
      <w:r>
        <w:rPr>
          <w:rFonts w:hint="eastAsia" w:ascii="宋体" w:hAnsi="宋体" w:cs="宋体"/>
          <w:b/>
          <w:color w:val="auto"/>
          <w:w w:val="90"/>
          <w:kern w:val="16"/>
          <w:sz w:val="44"/>
          <w:szCs w:val="44"/>
          <w:highlight w:val="none"/>
          <w:lang w:eastAsia="zh-CN"/>
        </w:rPr>
        <w:t>服务采购项目</w:t>
      </w:r>
    </w:p>
    <w:p w14:paraId="3A70F231">
      <w:pPr>
        <w:spacing w:line="360" w:lineRule="auto"/>
        <w:jc w:val="center"/>
        <w:rPr>
          <w:color w:val="auto"/>
          <w:sz w:val="36"/>
          <w:szCs w:val="36"/>
          <w:highlight w:val="none"/>
        </w:rPr>
      </w:pPr>
    </w:p>
    <w:p w14:paraId="3588B16A">
      <w:pPr>
        <w:spacing w:line="360" w:lineRule="auto"/>
        <w:jc w:val="center"/>
        <w:outlineLvl w:val="9"/>
        <w:rPr>
          <w:rFonts w:hint="eastAsia" w:cs="宋体"/>
          <w:b/>
          <w:bCs/>
          <w:color w:val="auto"/>
          <w:sz w:val="84"/>
          <w:szCs w:val="84"/>
          <w:highlight w:val="none"/>
        </w:rPr>
      </w:pPr>
      <w:bookmarkStart w:id="35" w:name="_Toc16243"/>
    </w:p>
    <w:p w14:paraId="0DFECF5B">
      <w:pPr>
        <w:spacing w:line="360" w:lineRule="auto"/>
        <w:jc w:val="center"/>
        <w:outlineLvl w:val="9"/>
        <w:rPr>
          <w:rFonts w:hint="eastAsia" w:cs="宋体"/>
          <w:b/>
          <w:bCs/>
          <w:color w:val="auto"/>
          <w:sz w:val="84"/>
          <w:szCs w:val="84"/>
          <w:highlight w:val="none"/>
        </w:rPr>
      </w:pPr>
    </w:p>
    <w:p w14:paraId="1FE2CA95">
      <w:pPr>
        <w:spacing w:line="360" w:lineRule="auto"/>
        <w:jc w:val="center"/>
        <w:outlineLvl w:val="9"/>
        <w:rPr>
          <w:b/>
          <w:bCs/>
          <w:color w:val="auto"/>
          <w:szCs w:val="21"/>
          <w:highlight w:val="none"/>
        </w:rPr>
      </w:pPr>
      <w:r>
        <w:rPr>
          <w:rFonts w:hint="eastAsia" w:cs="宋体"/>
          <w:b/>
          <w:bCs/>
          <w:color w:val="auto"/>
          <w:sz w:val="84"/>
          <w:szCs w:val="84"/>
          <w:highlight w:val="none"/>
        </w:rPr>
        <w:t>响 应 文 件</w:t>
      </w:r>
      <w:bookmarkEnd w:id="35"/>
    </w:p>
    <w:p w14:paraId="6DA544B8">
      <w:pPr>
        <w:spacing w:line="360" w:lineRule="auto"/>
        <w:jc w:val="center"/>
        <w:rPr>
          <w:color w:val="auto"/>
          <w:sz w:val="28"/>
          <w:szCs w:val="28"/>
          <w:highlight w:val="none"/>
        </w:rPr>
      </w:pPr>
    </w:p>
    <w:p w14:paraId="691E0148">
      <w:pPr>
        <w:spacing w:line="360" w:lineRule="auto"/>
        <w:jc w:val="center"/>
        <w:rPr>
          <w:color w:val="auto"/>
          <w:sz w:val="28"/>
          <w:szCs w:val="28"/>
          <w:highlight w:val="none"/>
        </w:rPr>
      </w:pPr>
    </w:p>
    <w:p w14:paraId="2A8393DB">
      <w:pPr>
        <w:spacing w:line="360" w:lineRule="auto"/>
        <w:rPr>
          <w:color w:val="auto"/>
          <w:szCs w:val="21"/>
          <w:highlight w:val="none"/>
        </w:rPr>
      </w:pPr>
    </w:p>
    <w:p w14:paraId="6A727876">
      <w:pPr>
        <w:spacing w:line="360" w:lineRule="auto"/>
        <w:rPr>
          <w:color w:val="auto"/>
          <w:szCs w:val="21"/>
          <w:highlight w:val="none"/>
        </w:rPr>
      </w:pPr>
    </w:p>
    <w:p w14:paraId="7A54ACA9">
      <w:pPr>
        <w:spacing w:line="360" w:lineRule="auto"/>
        <w:rPr>
          <w:color w:val="auto"/>
          <w:szCs w:val="21"/>
          <w:highlight w:val="none"/>
        </w:rPr>
      </w:pPr>
    </w:p>
    <w:p w14:paraId="719AA123">
      <w:pPr>
        <w:spacing w:line="360" w:lineRule="auto"/>
        <w:rPr>
          <w:color w:val="auto"/>
          <w:szCs w:val="21"/>
          <w:highlight w:val="none"/>
        </w:rPr>
      </w:pPr>
    </w:p>
    <w:p w14:paraId="39F6D3B8">
      <w:pPr>
        <w:spacing w:line="360" w:lineRule="auto"/>
        <w:rPr>
          <w:color w:val="auto"/>
          <w:szCs w:val="21"/>
          <w:highlight w:val="none"/>
        </w:rPr>
      </w:pPr>
    </w:p>
    <w:p w14:paraId="722AE3FE">
      <w:pPr>
        <w:spacing w:line="360" w:lineRule="auto"/>
        <w:rPr>
          <w:color w:val="auto"/>
          <w:szCs w:val="21"/>
          <w:highlight w:val="none"/>
        </w:rPr>
      </w:pPr>
    </w:p>
    <w:p w14:paraId="15876B59">
      <w:pPr>
        <w:spacing w:line="360" w:lineRule="auto"/>
        <w:rPr>
          <w:color w:val="auto"/>
          <w:szCs w:val="21"/>
          <w:highlight w:val="none"/>
        </w:rPr>
      </w:pPr>
    </w:p>
    <w:p w14:paraId="755D2641">
      <w:pPr>
        <w:spacing w:line="360" w:lineRule="auto"/>
        <w:rPr>
          <w:color w:val="auto"/>
          <w:szCs w:val="21"/>
          <w:highlight w:val="none"/>
        </w:rPr>
      </w:pPr>
    </w:p>
    <w:p w14:paraId="208C5E64">
      <w:pPr>
        <w:spacing w:line="360" w:lineRule="auto"/>
        <w:jc w:val="center"/>
        <w:outlineLvl w:val="9"/>
        <w:rPr>
          <w:rFonts w:hint="eastAsia" w:ascii="宋体" w:hAnsi="宋体" w:eastAsia="宋体" w:cs="宋体"/>
          <w:b/>
          <w:bCs/>
          <w:color w:val="auto"/>
          <w:sz w:val="28"/>
          <w:szCs w:val="28"/>
          <w:highlight w:val="none"/>
        </w:rPr>
      </w:pPr>
      <w:bookmarkStart w:id="36" w:name="_Toc7747"/>
      <w:r>
        <w:rPr>
          <w:rFonts w:hint="eastAsia" w:ascii="宋体" w:hAnsi="宋体" w:eastAsia="宋体" w:cs="宋体"/>
          <w:b/>
          <w:bCs/>
          <w:color w:val="auto"/>
          <w:sz w:val="28"/>
          <w:szCs w:val="28"/>
          <w:highlight w:val="none"/>
        </w:rPr>
        <w:t>磋商响应方：</w:t>
      </w:r>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（盖单位章）</w:t>
      </w:r>
      <w:bookmarkEnd w:id="36"/>
    </w:p>
    <w:p w14:paraId="6770FAB2">
      <w:pPr>
        <w:spacing w:line="360" w:lineRule="auto"/>
        <w:jc w:val="center"/>
        <w:outlineLvl w:val="9"/>
        <w:rPr>
          <w:rFonts w:hint="eastAsia" w:ascii="宋体" w:hAnsi="宋体" w:eastAsia="宋体" w:cs="宋体"/>
          <w:b/>
          <w:bCs/>
          <w:color w:val="auto"/>
          <w:sz w:val="28"/>
          <w:szCs w:val="28"/>
          <w:highlight w:val="none"/>
        </w:rPr>
      </w:pPr>
      <w:bookmarkStart w:id="37" w:name="_Toc26425"/>
      <w:r>
        <w:rPr>
          <w:rFonts w:hint="eastAsia" w:ascii="宋体" w:hAnsi="宋体" w:eastAsia="宋体" w:cs="宋体"/>
          <w:b/>
          <w:bCs/>
          <w:color w:val="auto"/>
          <w:sz w:val="28"/>
          <w:szCs w:val="28"/>
          <w:highlight w:val="none"/>
        </w:rPr>
        <w:t>法定代表人或其委托代理人：</w:t>
      </w:r>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（签字或盖章）</w:t>
      </w:r>
      <w:bookmarkEnd w:id="37"/>
    </w:p>
    <w:p w14:paraId="7BFD9F42">
      <w:pPr>
        <w:pStyle w:val="16"/>
        <w:snapToGrid w:val="0"/>
        <w:spacing w:line="360" w:lineRule="auto"/>
        <w:ind w:left="1260"/>
        <w:outlineLvl w:val="9"/>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年</w:t>
      </w:r>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月</w:t>
      </w:r>
      <w:r>
        <w:rPr>
          <w:rFonts w:hint="eastAsia" w:ascii="宋体" w:hAnsi="宋体" w:eastAsia="宋体" w:cs="宋体"/>
          <w:b/>
          <w:bCs/>
          <w:color w:val="auto"/>
          <w:sz w:val="28"/>
          <w:szCs w:val="28"/>
          <w:highlight w:val="none"/>
          <w:u w:val="single"/>
        </w:rPr>
        <w:t xml:space="preserve">         </w:t>
      </w:r>
      <w:r>
        <w:rPr>
          <w:rFonts w:hint="eastAsia" w:ascii="宋体" w:hAnsi="宋体" w:eastAsia="宋体" w:cs="宋体"/>
          <w:b/>
          <w:bCs/>
          <w:color w:val="auto"/>
          <w:sz w:val="28"/>
          <w:szCs w:val="28"/>
          <w:highlight w:val="none"/>
        </w:rPr>
        <w:t>日</w:t>
      </w:r>
    </w:p>
    <w:bookmarkEnd w:id="31"/>
    <w:bookmarkEnd w:id="32"/>
    <w:bookmarkEnd w:id="33"/>
    <w:p w14:paraId="073A159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sz w:val="32"/>
          <w:szCs w:val="32"/>
        </w:rPr>
      </w:pPr>
      <w:r>
        <w:rPr>
          <w:rFonts w:hint="eastAsia"/>
          <w:b/>
          <w:bCs/>
          <w:sz w:val="32"/>
          <w:szCs w:val="32"/>
        </w:rPr>
        <w:t>目    录</w:t>
      </w:r>
    </w:p>
    <w:p w14:paraId="3F097F7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p>
    <w:p w14:paraId="1ED0DCA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一、</w:t>
      </w:r>
      <w:r>
        <w:rPr>
          <w:rFonts w:hint="eastAsia" w:ascii="宋体" w:hAnsi="宋体" w:eastAsia="宋体" w:cs="宋体"/>
          <w:sz w:val="24"/>
          <w:szCs w:val="24"/>
        </w:rPr>
        <w:t>磋商响应函</w:t>
      </w:r>
    </w:p>
    <w:p w14:paraId="59310B5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二、（1）法定代表人身份证明</w:t>
      </w:r>
    </w:p>
    <w:p w14:paraId="021D8B01">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rPr>
      </w:pPr>
      <w:r>
        <w:rPr>
          <w:rFonts w:hint="eastAsia" w:ascii="宋体" w:hAnsi="宋体" w:eastAsia="宋体" w:cs="宋体"/>
          <w:sz w:val="24"/>
          <w:szCs w:val="24"/>
          <w:lang w:val="en-US" w:eastAsia="zh-CN"/>
        </w:rPr>
        <w:t>二、（2）法定代表人授权委托书</w:t>
      </w:r>
    </w:p>
    <w:p w14:paraId="146703E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三、（1）</w:t>
      </w:r>
      <w:r>
        <w:rPr>
          <w:rFonts w:hint="eastAsia" w:ascii="宋体" w:hAnsi="宋体" w:eastAsia="宋体" w:cs="宋体"/>
          <w:sz w:val="24"/>
          <w:szCs w:val="24"/>
        </w:rPr>
        <w:t>初次报价表</w:t>
      </w:r>
    </w:p>
    <w:p w14:paraId="4507410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rPr>
        <w:t>三、（2）报价明细表</w:t>
      </w:r>
    </w:p>
    <w:p w14:paraId="3DA103D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四、</w:t>
      </w:r>
      <w:r>
        <w:rPr>
          <w:rFonts w:hint="eastAsia" w:ascii="宋体" w:hAnsi="宋体" w:eastAsia="宋体" w:cs="宋体"/>
          <w:sz w:val="24"/>
          <w:szCs w:val="24"/>
        </w:rPr>
        <w:t>防治工作组人员、车辆配置一览表</w:t>
      </w:r>
    </w:p>
    <w:p w14:paraId="27C1448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五、</w:t>
      </w:r>
      <w:r>
        <w:rPr>
          <w:rFonts w:hint="eastAsia" w:ascii="宋体" w:hAnsi="宋体" w:eastAsia="宋体" w:cs="宋体"/>
          <w:sz w:val="24"/>
          <w:szCs w:val="24"/>
        </w:rPr>
        <w:t>偏离表</w:t>
      </w:r>
    </w:p>
    <w:p w14:paraId="44956E2F">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六、</w:t>
      </w:r>
      <w:r>
        <w:rPr>
          <w:rFonts w:hint="eastAsia" w:ascii="宋体" w:hAnsi="宋体" w:eastAsia="宋体" w:cs="宋体"/>
          <w:sz w:val="24"/>
          <w:szCs w:val="24"/>
        </w:rPr>
        <w:t>有害生物承包防控实施方案</w:t>
      </w:r>
    </w:p>
    <w:p w14:paraId="3CE5166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七、</w:t>
      </w:r>
      <w:r>
        <w:rPr>
          <w:rFonts w:hint="eastAsia" w:ascii="宋体" w:hAnsi="宋体" w:eastAsia="宋体" w:cs="宋体"/>
          <w:sz w:val="24"/>
          <w:szCs w:val="24"/>
        </w:rPr>
        <w:t>磋商响应方的资格证明文件</w:t>
      </w:r>
    </w:p>
    <w:p w14:paraId="5951675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八、</w:t>
      </w:r>
      <w:r>
        <w:rPr>
          <w:rFonts w:hint="eastAsia" w:ascii="宋体" w:hAnsi="宋体" w:eastAsia="宋体" w:cs="宋体"/>
          <w:sz w:val="24"/>
          <w:szCs w:val="24"/>
        </w:rPr>
        <w:t>磋商响应方认为需要加以说明的其他内容和需要提供的证明文件</w:t>
      </w:r>
    </w:p>
    <w:p w14:paraId="0C2D4E2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rPr>
      </w:pPr>
    </w:p>
    <w:p w14:paraId="3C37341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5C70E0C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1ECCB0D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4ABDBA3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1975C84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78F5DBA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748F19D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1D39580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54E8F74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6C9F612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2D3F27E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153D3EA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668D15E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330B019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29C92EC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418B7D3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4E63C5A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4"/>
          <w:szCs w:val="24"/>
        </w:rPr>
      </w:pPr>
    </w:p>
    <w:p w14:paraId="5A99867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rPr>
      </w:pPr>
      <w:bookmarkStart w:id="38" w:name="_Toc4502"/>
      <w:r>
        <w:rPr>
          <w:rFonts w:hint="eastAsia" w:ascii="宋体" w:hAnsi="宋体" w:eastAsia="宋体" w:cs="宋体"/>
          <w:b/>
          <w:bCs/>
          <w:color w:val="auto"/>
          <w:sz w:val="24"/>
          <w:szCs w:val="24"/>
          <w:highlight w:val="none"/>
        </w:rPr>
        <w:t>一、磋商响应函</w:t>
      </w:r>
      <w:bookmarkEnd w:id="38"/>
    </w:p>
    <w:p w14:paraId="6A0C1436">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0B863255">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经研究，我方决定参加项目编号为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的政府采购活动并提交磋商响应文件。为此，我方郑重声明如下:</w:t>
      </w:r>
    </w:p>
    <w:p w14:paraId="7D01CFF2">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1、我方提交的磋商响应文件，</w:t>
      </w:r>
      <w:r>
        <w:rPr>
          <w:rFonts w:hint="eastAsia" w:ascii="宋体" w:hAnsi="宋体" w:eastAsia="宋体" w:cs="宋体"/>
          <w:color w:val="auto"/>
          <w:kern w:val="0"/>
          <w:sz w:val="24"/>
          <w:szCs w:val="24"/>
          <w:highlight w:val="none"/>
          <w:lang w:eastAsia="zh-CN"/>
        </w:rPr>
        <w:t>正本一份，副本四份</w:t>
      </w:r>
      <w:r>
        <w:rPr>
          <w:rFonts w:hint="eastAsia" w:ascii="宋体" w:hAnsi="宋体" w:eastAsia="宋体" w:cs="宋体"/>
          <w:color w:val="auto"/>
          <w:kern w:val="0"/>
          <w:sz w:val="24"/>
          <w:szCs w:val="24"/>
          <w:highlight w:val="none"/>
        </w:rPr>
        <w:t>。</w:t>
      </w:r>
    </w:p>
    <w:p w14:paraId="1CB56A22">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2、如果我方的磋商响应文件被接受，我方将履行磋商文件中规定的每一项要求，并按我方磋商响应文件中的承诺按期、保质、保量完成项目的实施。</w:t>
      </w:r>
    </w:p>
    <w:p w14:paraId="58600E18">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3、我方理解，最低报价不是入选成交候选人的唯一条件。</w:t>
      </w:r>
    </w:p>
    <w:p w14:paraId="7E42200C">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4、我方愿按《</w:t>
      </w:r>
      <w:r>
        <w:rPr>
          <w:rFonts w:hint="eastAsia" w:ascii="宋体" w:hAnsi="宋体" w:eastAsia="宋体" w:cs="宋体"/>
          <w:color w:val="auto"/>
          <w:kern w:val="0"/>
          <w:sz w:val="24"/>
          <w:szCs w:val="24"/>
          <w:highlight w:val="none"/>
          <w:lang w:eastAsia="zh-CN"/>
        </w:rPr>
        <w:t>中华人民共和国民法典</w:t>
      </w:r>
      <w:r>
        <w:rPr>
          <w:rFonts w:hint="eastAsia" w:ascii="宋体" w:hAnsi="宋体" w:eastAsia="宋体" w:cs="宋体"/>
          <w:color w:val="auto"/>
          <w:kern w:val="0"/>
          <w:sz w:val="24"/>
          <w:szCs w:val="24"/>
          <w:highlight w:val="none"/>
        </w:rPr>
        <w:t>》履行自己的全部责任。</w:t>
      </w:r>
    </w:p>
    <w:p w14:paraId="7D8F8460">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5、我方已详细检查所有磋商文件、附件以及所提供的参考文件，因模糊和误解产生的一切后果，由我方自负。</w:t>
      </w:r>
    </w:p>
    <w:p w14:paraId="19113290">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6、我方的磋商响应文件自递交截止之日起60个日历日内有效。</w:t>
      </w:r>
    </w:p>
    <w:p w14:paraId="301F8F1A">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7、我方同意按文件要求，提交与递交磋商响应文件有关的数据和资料。</w:t>
      </w:r>
    </w:p>
    <w:p w14:paraId="2BB80A2F">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p>
    <w:p w14:paraId="0457732D">
      <w:pPr>
        <w:pageBreakBefore w:val="0"/>
        <w:widowControl/>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kern w:val="0"/>
          <w:sz w:val="24"/>
          <w:szCs w:val="24"/>
          <w:highlight w:val="none"/>
        </w:rPr>
      </w:pPr>
    </w:p>
    <w:p w14:paraId="0CB0BB4D">
      <w:pPr>
        <w:pStyle w:val="2"/>
        <w:pageBreakBefore w:val="0"/>
        <w:kinsoku/>
        <w:overflowPunct/>
        <w:topLinePunct w:val="0"/>
        <w:bidi w:val="0"/>
        <w:spacing w:before="0" w:beforeLines="0" w:beforeAutospacing="0" w:afterAutospacing="0" w:line="360" w:lineRule="auto"/>
        <w:ind w:left="0" w:leftChars="0" w:right="0"/>
        <w:textAlignment w:val="auto"/>
        <w:rPr>
          <w:rFonts w:hint="eastAsia" w:ascii="宋体" w:hAnsi="宋体" w:eastAsia="宋体" w:cs="宋体"/>
          <w:color w:val="auto"/>
          <w:kern w:val="0"/>
          <w:sz w:val="24"/>
          <w:szCs w:val="24"/>
          <w:highlight w:val="none"/>
        </w:rPr>
      </w:pPr>
    </w:p>
    <w:p w14:paraId="56F9A775">
      <w:pPr>
        <w:pStyle w:val="2"/>
        <w:pageBreakBefore w:val="0"/>
        <w:kinsoku/>
        <w:overflowPunct/>
        <w:topLinePunct w:val="0"/>
        <w:bidi w:val="0"/>
        <w:spacing w:before="0" w:beforeLines="0" w:beforeAutospacing="0" w:afterAutospacing="0" w:line="360" w:lineRule="auto"/>
        <w:ind w:left="0" w:leftChars="0" w:right="0"/>
        <w:textAlignment w:val="auto"/>
        <w:rPr>
          <w:rFonts w:hint="eastAsia" w:ascii="宋体" w:hAnsi="宋体" w:eastAsia="宋体" w:cs="宋体"/>
          <w:sz w:val="24"/>
          <w:szCs w:val="24"/>
        </w:rPr>
      </w:pPr>
    </w:p>
    <w:p w14:paraId="38852C95">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（盖章）</w:t>
      </w:r>
    </w:p>
    <w:p w14:paraId="159F28DD">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p>
    <w:p w14:paraId="3741A29A">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法人代表或委托代理人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（签字或盖章）</w:t>
      </w:r>
    </w:p>
    <w:p w14:paraId="5CC09D53">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p>
    <w:p w14:paraId="73AC34DD">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DF85343">
      <w:pPr>
        <w:pStyle w:val="3"/>
        <w:pageBreakBefore w:val="0"/>
        <w:kinsoku/>
        <w:overflowPunct/>
        <w:topLinePunct w:val="0"/>
        <w:bidi w:val="0"/>
        <w:spacing w:before="0" w:beforeAutospacing="0" w:after="0" w:afterAutospacing="0" w:line="360" w:lineRule="auto"/>
        <w:ind w:left="0" w:leftChars="0" w:right="0"/>
        <w:jc w:val="center"/>
        <w:textAlignment w:val="auto"/>
        <w:rPr>
          <w:rFonts w:hint="eastAsia" w:ascii="宋体" w:hAnsi="宋体" w:eastAsia="宋体" w:cs="宋体"/>
          <w:color w:val="auto"/>
          <w:sz w:val="24"/>
          <w:szCs w:val="24"/>
          <w:highlight w:val="none"/>
        </w:rPr>
      </w:pPr>
      <w:bookmarkStart w:id="39" w:name="_Toc323641999"/>
      <w:bookmarkStart w:id="40" w:name="_Toc374107067"/>
      <w:bookmarkStart w:id="41" w:name="_Toc300901193"/>
      <w:r>
        <w:rPr>
          <w:rFonts w:hint="eastAsia" w:ascii="宋体" w:hAnsi="宋体" w:eastAsia="宋体" w:cs="宋体"/>
          <w:color w:val="auto"/>
          <w:sz w:val="24"/>
          <w:szCs w:val="24"/>
          <w:highlight w:val="none"/>
        </w:rPr>
        <w:br w:type="page"/>
      </w:r>
      <w:bookmarkStart w:id="42" w:name="_Toc8080"/>
      <w:r>
        <w:rPr>
          <w:rFonts w:hint="eastAsia" w:ascii="宋体" w:hAnsi="宋体" w:eastAsia="宋体" w:cs="宋体"/>
          <w:color w:val="auto"/>
          <w:sz w:val="24"/>
          <w:szCs w:val="24"/>
          <w:highlight w:val="none"/>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法定代表人身份证明</w:t>
      </w:r>
      <w:bookmarkEnd w:id="39"/>
      <w:bookmarkEnd w:id="40"/>
      <w:bookmarkEnd w:id="41"/>
      <w:bookmarkEnd w:id="42"/>
    </w:p>
    <w:p w14:paraId="5AA41925">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17FF5F04">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CD9A84C">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r>
        <w:rPr>
          <w:rFonts w:hint="eastAsia" w:ascii="宋体" w:hAnsi="宋体" w:eastAsia="宋体" w:cs="宋体"/>
          <w:color w:val="auto"/>
          <w:sz w:val="24"/>
          <w:szCs w:val="24"/>
          <w:highlight w:val="none"/>
          <w:u w:val="single"/>
        </w:rPr>
        <w:t xml:space="preserve">                                                        </w:t>
      </w:r>
    </w:p>
    <w:p w14:paraId="505D4DAB">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 xml:space="preserve">                                                        </w:t>
      </w:r>
    </w:p>
    <w:p w14:paraId="67C47A9F">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成立时间：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F684817">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经营期限：</w:t>
      </w:r>
      <w:r>
        <w:rPr>
          <w:rFonts w:hint="eastAsia" w:ascii="宋体" w:hAnsi="宋体" w:eastAsia="宋体" w:cs="宋体"/>
          <w:color w:val="auto"/>
          <w:sz w:val="24"/>
          <w:szCs w:val="24"/>
          <w:highlight w:val="none"/>
          <w:u w:val="single"/>
        </w:rPr>
        <w:t xml:space="preserve">                                                        </w:t>
      </w:r>
    </w:p>
    <w:p w14:paraId="545952A6">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        别：</w:t>
      </w:r>
      <w:r>
        <w:rPr>
          <w:rFonts w:hint="eastAsia" w:ascii="宋体" w:hAnsi="宋体" w:eastAsia="宋体" w:cs="宋体"/>
          <w:color w:val="auto"/>
          <w:sz w:val="24"/>
          <w:szCs w:val="24"/>
          <w:highlight w:val="none"/>
          <w:u w:val="single"/>
        </w:rPr>
        <w:t xml:space="preserve">                </w:t>
      </w:r>
    </w:p>
    <w:p w14:paraId="12866F68">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        务：</w:t>
      </w:r>
      <w:r>
        <w:rPr>
          <w:rFonts w:hint="eastAsia" w:ascii="宋体" w:hAnsi="宋体" w:eastAsia="宋体" w:cs="宋体"/>
          <w:color w:val="auto"/>
          <w:sz w:val="24"/>
          <w:szCs w:val="24"/>
          <w:highlight w:val="none"/>
          <w:u w:val="single"/>
        </w:rPr>
        <w:t xml:space="preserve">                </w:t>
      </w:r>
    </w:p>
    <w:p w14:paraId="3175C293">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（供应商名称）的法定代表人。</w:t>
      </w:r>
    </w:p>
    <w:p w14:paraId="4E6CF1B5">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06C64321">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附：法定代表人身份证复印件（正反面）</w:t>
      </w:r>
    </w:p>
    <w:p w14:paraId="703D9786">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4EB0938C">
      <w:pPr>
        <w:pageBreakBefore w:val="0"/>
        <w:kinsoku/>
        <w:wordWrap w:val="0"/>
        <w:overflowPunct/>
        <w:topLinePunct w:val="0"/>
        <w:bidi w:val="0"/>
        <w:spacing w:beforeAutospacing="0" w:afterAutospacing="0" w:line="360" w:lineRule="auto"/>
        <w:ind w:left="0" w:leftChars="0" w:right="0" w:firstLine="4080" w:firstLineChars="17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6FFE0FEA">
      <w:pPr>
        <w:pageBreakBefore w:val="0"/>
        <w:kinsoku/>
        <w:wordWrap w:val="0"/>
        <w:overflowPunct/>
        <w:topLinePunct w:val="0"/>
        <w:bidi w:val="0"/>
        <w:spacing w:beforeAutospacing="0" w:afterAutospacing="0" w:line="360" w:lineRule="auto"/>
        <w:ind w:left="0" w:leftChars="0" w:right="0"/>
        <w:jc w:val="right"/>
        <w:textAlignment w:val="auto"/>
        <w:rPr>
          <w:rFonts w:hint="eastAsia" w:ascii="宋体" w:hAnsi="宋体" w:eastAsia="宋体" w:cs="宋体"/>
          <w:color w:val="auto"/>
          <w:sz w:val="24"/>
          <w:szCs w:val="24"/>
          <w:highlight w:val="none"/>
          <w:u w:val="single"/>
        </w:rPr>
      </w:pPr>
    </w:p>
    <w:p w14:paraId="279DA02D">
      <w:pPr>
        <w:pageBreakBefore w:val="0"/>
        <w:kinsoku/>
        <w:wordWrap w:val="0"/>
        <w:overflowPunct/>
        <w:topLinePunct w:val="0"/>
        <w:bidi w:val="0"/>
        <w:spacing w:beforeAutospacing="0" w:afterAutospacing="0" w:line="360" w:lineRule="auto"/>
        <w:ind w:right="0" w:firstLine="4080" w:firstLineChars="17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          </w:t>
      </w:r>
    </w:p>
    <w:p w14:paraId="30185361">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76FF3F7F">
      <w:pPr>
        <w:pStyle w:val="3"/>
        <w:pageBreakBefore w:val="0"/>
        <w:kinsoku/>
        <w:overflowPunct/>
        <w:topLinePunct w:val="0"/>
        <w:bidi w:val="0"/>
        <w:spacing w:before="0" w:beforeAutospacing="0" w:after="0" w:afterAutospacing="0" w:line="360" w:lineRule="auto"/>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bookmarkStart w:id="43" w:name="_Toc6161"/>
      <w:r>
        <w:rPr>
          <w:rFonts w:hint="eastAsia" w:ascii="宋体" w:hAnsi="宋体" w:eastAsia="宋体" w:cs="宋体"/>
          <w:color w:val="auto"/>
          <w:sz w:val="24"/>
          <w:szCs w:val="24"/>
          <w:highlight w:val="none"/>
          <w:lang w:val="en-US" w:eastAsia="zh-CN"/>
        </w:rPr>
        <w:t>二、（2）</w:t>
      </w:r>
      <w:r>
        <w:rPr>
          <w:rFonts w:hint="eastAsia" w:ascii="宋体" w:hAnsi="宋体" w:eastAsia="宋体" w:cs="宋体"/>
          <w:color w:val="auto"/>
          <w:sz w:val="24"/>
          <w:szCs w:val="24"/>
          <w:highlight w:val="none"/>
        </w:rPr>
        <w:t>法定代表人授权委托书</w:t>
      </w:r>
      <w:bookmarkEnd w:id="43"/>
    </w:p>
    <w:p w14:paraId="2475DC73">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p>
    <w:p w14:paraId="026C1DD6">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（供应商名称）的法定代表人，现委托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（姓名）为我方代理人。代理人根据授权，以我方名义签署、澄清、说明、补正、递交、撤回、修改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标段竞争性磋商响应文件、</w:t>
      </w:r>
      <w:r>
        <w:rPr>
          <w:rFonts w:hint="eastAsia" w:ascii="宋体" w:hAnsi="宋体" w:eastAsia="宋体" w:cs="宋体"/>
          <w:color w:val="auto"/>
          <w:kern w:val="0"/>
          <w:sz w:val="24"/>
          <w:szCs w:val="24"/>
          <w:highlight w:val="none"/>
        </w:rPr>
        <w:t>参加本项目竞争性磋商、全权处理磋商过程中所签署的一切文件和有关的一切事务、</w:t>
      </w:r>
      <w:r>
        <w:rPr>
          <w:rFonts w:hint="eastAsia" w:ascii="宋体" w:hAnsi="宋体" w:eastAsia="宋体" w:cs="宋体"/>
          <w:color w:val="auto"/>
          <w:sz w:val="24"/>
          <w:szCs w:val="24"/>
          <w:highlight w:val="none"/>
        </w:rPr>
        <w:t>签订合同和处理有关事宜，其法律后果由我方承担。</w:t>
      </w:r>
    </w:p>
    <w:p w14:paraId="56FBCF2A">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委托期限：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27D688">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代理人无转委托权。</w:t>
      </w:r>
    </w:p>
    <w:p w14:paraId="36596C51">
      <w:pPr>
        <w:pageBreakBefore w:val="0"/>
        <w:kinsoku/>
        <w:overflowPunct/>
        <w:topLinePunct w:val="0"/>
        <w:bidi w:val="0"/>
        <w:spacing w:beforeAutospacing="0" w:afterAutospacing="0" w:line="360" w:lineRule="auto"/>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附：授权委托人身份证复印件（正反面）</w:t>
      </w:r>
    </w:p>
    <w:p w14:paraId="6184E1FA">
      <w:pPr>
        <w:pStyle w:val="2"/>
        <w:pageBreakBefore w:val="0"/>
        <w:kinsoku/>
        <w:overflowPunct/>
        <w:topLinePunct w:val="0"/>
        <w:bidi w:val="0"/>
        <w:spacing w:before="0" w:beforeLines="0"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3FEEA8F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1A768621">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71378532">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15ED2B9D">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47878452">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70DFD512">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2A75716D">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34119597">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1D903814">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p>
    <w:p w14:paraId="0EC3A9BA">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  应  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4B6506C3">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rPr>
      </w:pPr>
    </w:p>
    <w:p w14:paraId="24F986AD">
      <w:pPr>
        <w:pageBreakBefore w:val="0"/>
        <w:kinsoku/>
        <w:overflowPunct/>
        <w:topLinePunct w:val="0"/>
        <w:bidi w:val="0"/>
        <w:spacing w:beforeAutospacing="0" w:afterAutospacing="0" w:line="360" w:lineRule="auto"/>
        <w:ind w:left="0" w:leftChars="0" w:right="0" w:firstLine="4080" w:firstLineChars="17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（签字或盖章）</w:t>
      </w:r>
    </w:p>
    <w:p w14:paraId="171A2E5E">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rPr>
      </w:pPr>
    </w:p>
    <w:p w14:paraId="20CAA0C7">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7942C421">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u w:val="single"/>
        </w:rPr>
      </w:pPr>
    </w:p>
    <w:p w14:paraId="4CB5CF72">
      <w:pPr>
        <w:pageBreakBefore w:val="0"/>
        <w:kinsoku/>
        <w:overflowPunct/>
        <w:topLinePunct w:val="0"/>
        <w:bidi w:val="0"/>
        <w:spacing w:beforeAutospacing="0" w:afterAutospacing="0" w:line="360" w:lineRule="auto"/>
        <w:ind w:left="0" w:leftChars="0" w:right="0" w:firstLine="4080" w:firstLineChars="17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（签字或盖章）</w:t>
      </w:r>
    </w:p>
    <w:p w14:paraId="49478583">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rPr>
      </w:pPr>
    </w:p>
    <w:p w14:paraId="5678EC45">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5D718A28">
      <w:pPr>
        <w:pageBreakBefore w:val="0"/>
        <w:kinsoku/>
        <w:overflowPunct/>
        <w:topLinePunct w:val="0"/>
        <w:bidi w:val="0"/>
        <w:spacing w:beforeAutospacing="0" w:afterAutospacing="0" w:line="360" w:lineRule="auto"/>
        <w:ind w:left="0" w:leftChars="0" w:right="0" w:firstLine="4080" w:firstLineChars="1700"/>
        <w:textAlignment w:val="auto"/>
        <w:rPr>
          <w:rFonts w:hint="eastAsia" w:ascii="宋体" w:hAnsi="宋体" w:eastAsia="宋体" w:cs="宋体"/>
          <w:color w:val="auto"/>
          <w:sz w:val="24"/>
          <w:szCs w:val="24"/>
          <w:highlight w:val="none"/>
        </w:rPr>
      </w:pPr>
    </w:p>
    <w:p w14:paraId="17795C61">
      <w:pPr>
        <w:pageBreakBefore w:val="0"/>
        <w:kinsoku/>
        <w:overflowPunct/>
        <w:topLinePunct w:val="0"/>
        <w:bidi w:val="0"/>
        <w:spacing w:beforeAutospacing="0" w:afterAutospacing="0" w:line="360" w:lineRule="auto"/>
        <w:ind w:right="0" w:firstLine="4080" w:firstLineChars="17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2479EE5">
      <w:pPr>
        <w:pStyle w:val="3"/>
        <w:pageBreakBefore w:val="0"/>
        <w:kinsoku/>
        <w:overflowPunct/>
        <w:topLinePunct w:val="0"/>
        <w:bidi w:val="0"/>
        <w:spacing w:before="0" w:beforeAutospacing="0" w:after="0" w:afterAutospacing="0" w:line="360" w:lineRule="auto"/>
        <w:ind w:left="0" w:leftChars="0" w:right="0"/>
        <w:jc w:val="center"/>
        <w:textAlignment w:val="auto"/>
        <w:rPr>
          <w:rFonts w:hint="eastAsia" w:ascii="宋体" w:hAnsi="宋体" w:eastAsia="宋体" w:cs="宋体"/>
          <w:color w:val="auto"/>
          <w:sz w:val="24"/>
          <w:szCs w:val="24"/>
          <w:highlight w:val="none"/>
        </w:rPr>
      </w:pPr>
      <w:bookmarkStart w:id="44" w:name="_Toc7858"/>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初次报价表</w:t>
      </w:r>
      <w:bookmarkEnd w:id="44"/>
    </w:p>
    <w:p w14:paraId="0B0EE2AE">
      <w:pPr>
        <w:tabs>
          <w:tab w:val="left" w:pos="0"/>
          <w:tab w:val="left" w:pos="720"/>
          <w:tab w:val="left" w:pos="1440"/>
          <w:tab w:val="left" w:pos="2160"/>
          <w:tab w:val="left" w:pos="2880"/>
          <w:tab w:val="left" w:pos="3600"/>
          <w:tab w:val="left" w:pos="4320"/>
        </w:tabs>
        <w:autoSpaceDE w:val="0"/>
        <w:autoSpaceDN w:val="0"/>
        <w:adjustRightInd w:val="0"/>
        <w:spacing w:line="240" w:lineRule="atLeast"/>
        <w:ind w:right="31" w:rightChars="15"/>
        <w:rPr>
          <w:rFonts w:hint="eastAsia" w:ascii="宋体" w:hAnsi="宋体"/>
          <w:color w:val="000000"/>
          <w:kern w:val="0"/>
          <w:sz w:val="24"/>
        </w:rPr>
      </w:pPr>
    </w:p>
    <w:p w14:paraId="022CC421">
      <w:pPr>
        <w:tabs>
          <w:tab w:val="left" w:pos="0"/>
          <w:tab w:val="left" w:pos="720"/>
          <w:tab w:val="left" w:pos="1440"/>
          <w:tab w:val="left" w:pos="2160"/>
          <w:tab w:val="left" w:pos="2880"/>
          <w:tab w:val="left" w:pos="3600"/>
          <w:tab w:val="left" w:pos="4320"/>
        </w:tabs>
        <w:autoSpaceDE w:val="0"/>
        <w:autoSpaceDN w:val="0"/>
        <w:adjustRightInd w:val="0"/>
        <w:spacing w:line="240" w:lineRule="atLeast"/>
        <w:ind w:right="31" w:rightChars="15"/>
        <w:rPr>
          <w:rFonts w:hint="eastAsia" w:ascii="宋体" w:hAnsi="宋体"/>
          <w:color w:val="000000"/>
          <w:kern w:val="0"/>
          <w:sz w:val="24"/>
        </w:rPr>
      </w:pPr>
      <w:r>
        <w:rPr>
          <w:rFonts w:hint="eastAsia" w:ascii="宋体" w:hAnsi="宋体"/>
          <w:color w:val="000000"/>
          <w:kern w:val="0"/>
          <w:sz w:val="24"/>
        </w:rPr>
        <w:t>（项目编号：</w:t>
      </w:r>
      <w:r>
        <w:rPr>
          <w:rFonts w:hint="eastAsia" w:ascii="宋体" w:hAnsi="宋体"/>
          <w:color w:val="000000"/>
          <w:sz w:val="24"/>
          <w:u w:val="single"/>
        </w:rPr>
        <w:t xml:space="preserve">               </w:t>
      </w:r>
      <w:r>
        <w:rPr>
          <w:rFonts w:hint="eastAsia" w:ascii="宋体" w:hAnsi="宋体"/>
          <w:color w:val="000000"/>
          <w:kern w:val="0"/>
          <w:sz w:val="24"/>
        </w:rPr>
        <w:t>）</w:t>
      </w:r>
    </w:p>
    <w:p w14:paraId="5D0806BA">
      <w:pPr>
        <w:tabs>
          <w:tab w:val="left" w:pos="0"/>
          <w:tab w:val="left" w:pos="720"/>
          <w:tab w:val="left" w:pos="1440"/>
          <w:tab w:val="left" w:pos="2160"/>
          <w:tab w:val="left" w:pos="2880"/>
          <w:tab w:val="left" w:pos="3600"/>
          <w:tab w:val="left" w:pos="4320"/>
        </w:tabs>
        <w:autoSpaceDE w:val="0"/>
        <w:autoSpaceDN w:val="0"/>
        <w:adjustRightInd w:val="0"/>
        <w:spacing w:line="240" w:lineRule="atLeast"/>
        <w:ind w:right="-693" w:rightChars="-330"/>
        <w:rPr>
          <w:rFonts w:hint="eastAsia" w:ascii="宋体" w:hAnsi="宋体"/>
          <w:color w:val="000000"/>
          <w:sz w:val="24"/>
          <w:u w:val="single"/>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5"/>
        <w:gridCol w:w="6950"/>
      </w:tblGrid>
      <w:tr w14:paraId="5A158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1DA86B72">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r>
              <w:rPr>
                <w:rFonts w:hint="eastAsia" w:ascii="宋体" w:hAnsi="宋体" w:eastAsia="宋体" w:cs="Times New Roman"/>
                <w:color w:val="000000"/>
                <w:sz w:val="24"/>
              </w:rPr>
              <w:t>供应商</w:t>
            </w:r>
          </w:p>
        </w:tc>
        <w:tc>
          <w:tcPr>
            <w:tcW w:w="6950" w:type="dxa"/>
            <w:noWrap w:val="0"/>
            <w:vAlign w:val="center"/>
          </w:tcPr>
          <w:p w14:paraId="1FCCB3DA">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p>
        </w:tc>
      </w:tr>
      <w:tr w14:paraId="5A4B9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4875A96A">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r>
              <w:rPr>
                <w:rFonts w:hint="eastAsia" w:ascii="宋体" w:hAnsi="Calibri" w:eastAsia="宋体" w:cs="Times New Roman"/>
                <w:color w:val="000000"/>
                <w:sz w:val="24"/>
              </w:rPr>
              <w:t>项目名称</w:t>
            </w:r>
          </w:p>
        </w:tc>
        <w:tc>
          <w:tcPr>
            <w:tcW w:w="6950" w:type="dxa"/>
            <w:noWrap w:val="0"/>
            <w:vAlign w:val="center"/>
          </w:tcPr>
          <w:p w14:paraId="3B9D21E3">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p>
        </w:tc>
      </w:tr>
      <w:tr w14:paraId="099DF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79D45D0C">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r>
              <w:rPr>
                <w:rFonts w:hint="eastAsia" w:ascii="宋体" w:hAnsi="Calibri" w:eastAsia="宋体" w:cs="Times New Roman"/>
                <w:color w:val="000000"/>
                <w:sz w:val="24"/>
              </w:rPr>
              <w:t>总报价（元）</w:t>
            </w:r>
          </w:p>
        </w:tc>
        <w:tc>
          <w:tcPr>
            <w:tcW w:w="6950" w:type="dxa"/>
            <w:noWrap w:val="0"/>
            <w:vAlign w:val="center"/>
          </w:tcPr>
          <w:p w14:paraId="2944BA1F">
            <w:pPr>
              <w:keepNext w:val="0"/>
              <w:keepLines w:val="0"/>
              <w:suppressLineNumbers w:val="0"/>
              <w:spacing w:before="0" w:beforeAutospacing="0" w:after="0" w:afterAutospacing="0" w:line="360" w:lineRule="auto"/>
              <w:ind w:left="0" w:right="0"/>
              <w:rPr>
                <w:rFonts w:hint="eastAsia" w:ascii="宋体" w:hAnsi="Calibri" w:eastAsia="宋体" w:cs="Times New Roman"/>
                <w:color w:val="000000"/>
                <w:sz w:val="24"/>
              </w:rPr>
            </w:pPr>
            <w:r>
              <w:rPr>
                <w:rFonts w:hint="eastAsia" w:ascii="宋体" w:hAnsi="Calibri" w:eastAsia="宋体" w:cs="Times New Roman"/>
                <w:color w:val="000000"/>
                <w:sz w:val="24"/>
              </w:rPr>
              <w:t>小写：</w:t>
            </w:r>
          </w:p>
          <w:p w14:paraId="128FFE0A">
            <w:pPr>
              <w:keepNext w:val="0"/>
              <w:keepLines w:val="0"/>
              <w:suppressLineNumbers w:val="0"/>
              <w:spacing w:before="0" w:beforeAutospacing="0" w:after="0" w:afterAutospacing="0" w:line="360" w:lineRule="auto"/>
              <w:ind w:left="0" w:right="0"/>
              <w:rPr>
                <w:rFonts w:ascii="宋体" w:hAnsi="Calibri" w:eastAsia="宋体" w:cs="Times New Roman"/>
                <w:color w:val="000000"/>
                <w:sz w:val="24"/>
              </w:rPr>
            </w:pPr>
            <w:r>
              <w:rPr>
                <w:rFonts w:hint="eastAsia" w:ascii="宋体" w:hAnsi="Calibri" w:eastAsia="宋体" w:cs="Times New Roman"/>
                <w:color w:val="000000"/>
                <w:sz w:val="24"/>
              </w:rPr>
              <w:t>大写：</w:t>
            </w:r>
          </w:p>
        </w:tc>
      </w:tr>
      <w:tr w14:paraId="441C4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2A1300B3">
            <w:pPr>
              <w:keepNext w:val="0"/>
              <w:keepLines w:val="0"/>
              <w:suppressLineNumbers w:val="0"/>
              <w:spacing w:before="0" w:beforeAutospacing="0" w:after="0" w:afterAutospacing="0"/>
              <w:ind w:left="0" w:right="0"/>
              <w:jc w:val="center"/>
              <w:rPr>
                <w:rFonts w:hint="default" w:ascii="宋体" w:hAnsi="Calibri" w:eastAsia="宋体" w:cs="Times New Roman"/>
                <w:color w:val="000000"/>
                <w:sz w:val="24"/>
                <w:lang w:val="en-US" w:eastAsia="zh-CN"/>
              </w:rPr>
            </w:pPr>
            <w:r>
              <w:rPr>
                <w:rFonts w:hint="eastAsia" w:ascii="宋体" w:hAnsi="Calibri" w:cs="Times New Roman"/>
                <w:color w:val="000000"/>
                <w:sz w:val="24"/>
                <w:lang w:val="en-US" w:eastAsia="zh-CN"/>
              </w:rPr>
              <w:t>防治服务期限</w:t>
            </w:r>
          </w:p>
        </w:tc>
        <w:tc>
          <w:tcPr>
            <w:tcW w:w="6950" w:type="dxa"/>
            <w:noWrap w:val="0"/>
            <w:vAlign w:val="center"/>
          </w:tcPr>
          <w:p w14:paraId="55C031A2">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lang w:eastAsia="zh-CN"/>
              </w:rPr>
            </w:pPr>
            <w:r>
              <w:rPr>
                <w:rFonts w:hint="eastAsia" w:ascii="宋体" w:hAnsi="宋体" w:cs="Times New Roman"/>
                <w:bCs/>
                <w:color w:val="000000"/>
                <w:sz w:val="24"/>
                <w:lang w:val="en-US" w:eastAsia="zh-CN"/>
              </w:rPr>
              <w:t>一年</w:t>
            </w:r>
          </w:p>
        </w:tc>
      </w:tr>
      <w:tr w14:paraId="0A79E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22084163">
            <w:pPr>
              <w:keepNext w:val="0"/>
              <w:keepLines w:val="0"/>
              <w:suppressLineNumbers w:val="0"/>
              <w:spacing w:before="0" w:beforeAutospacing="0" w:after="0" w:afterAutospacing="0"/>
              <w:ind w:left="0" w:right="0"/>
              <w:jc w:val="center"/>
              <w:rPr>
                <w:rFonts w:hint="eastAsia" w:ascii="宋体" w:hAnsi="宋体" w:eastAsia="宋体" w:cs="Times New Roman"/>
                <w:color w:val="000000"/>
                <w:w w:val="110"/>
                <w:sz w:val="24"/>
              </w:rPr>
            </w:pPr>
            <w:r>
              <w:rPr>
                <w:rFonts w:hint="eastAsia" w:ascii="宋体" w:hAnsi="宋体" w:eastAsia="宋体" w:cs="Times New Roman"/>
                <w:color w:val="000000"/>
                <w:w w:val="110"/>
                <w:sz w:val="24"/>
              </w:rPr>
              <w:t>防控质量目标</w:t>
            </w:r>
          </w:p>
        </w:tc>
        <w:tc>
          <w:tcPr>
            <w:tcW w:w="6950" w:type="dxa"/>
            <w:noWrap w:val="0"/>
            <w:vAlign w:val="center"/>
          </w:tcPr>
          <w:p w14:paraId="3D233828">
            <w:pPr>
              <w:keepNext w:val="0"/>
              <w:keepLines w:val="0"/>
              <w:suppressLineNumbers w:val="0"/>
              <w:spacing w:before="0" w:beforeAutospacing="0" w:after="0" w:afterAutospacing="0" w:line="360" w:lineRule="auto"/>
              <w:ind w:left="0" w:right="0"/>
              <w:jc w:val="left"/>
              <w:rPr>
                <w:rFonts w:ascii="宋体" w:hAnsi="Calibri" w:eastAsia="宋体" w:cs="Times New Roman"/>
                <w:color w:val="000000"/>
                <w:sz w:val="24"/>
              </w:rPr>
            </w:pPr>
            <w:r>
              <w:rPr>
                <w:rFonts w:hint="eastAsia" w:ascii="宋体" w:hAnsi="Calibri" w:eastAsia="宋体" w:cs="Times New Roman"/>
                <w:color w:val="000000"/>
                <w:sz w:val="24"/>
              </w:rPr>
              <w:t>乙方保证防治后，甲方境内的</w:t>
            </w:r>
            <w:r>
              <w:rPr>
                <w:rFonts w:hint="eastAsia" w:ascii="宋体" w:hAnsi="宋体"/>
                <w:color w:val="000000"/>
                <w:sz w:val="24"/>
              </w:rPr>
              <w:t>美国白蛾、杨小舟蛾和法桐方翅网蝽</w:t>
            </w:r>
            <w:r>
              <w:rPr>
                <w:rFonts w:hint="eastAsia" w:ascii="宋体" w:hAnsi="Calibri" w:eastAsia="宋体" w:cs="Times New Roman"/>
                <w:color w:val="000000"/>
                <w:sz w:val="24"/>
              </w:rPr>
              <w:t>等林业有害生物平均有虫株率控制在1% 以下，叶片保存率90 %以上，成灾率2‰以下。</w:t>
            </w:r>
          </w:p>
        </w:tc>
      </w:tr>
      <w:tr w14:paraId="53D71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2905" w:type="dxa"/>
            <w:noWrap w:val="0"/>
            <w:vAlign w:val="center"/>
          </w:tcPr>
          <w:p w14:paraId="539E3D9C">
            <w:pPr>
              <w:keepNext w:val="0"/>
              <w:keepLines w:val="0"/>
              <w:suppressLineNumbers w:val="0"/>
              <w:spacing w:before="0" w:beforeAutospacing="0" w:after="0" w:afterAutospacing="0" w:line="360" w:lineRule="auto"/>
              <w:ind w:left="0" w:right="0"/>
              <w:jc w:val="center"/>
              <w:rPr>
                <w:rFonts w:hint="eastAsia" w:ascii="宋体" w:hAnsi="Calibri" w:eastAsia="宋体" w:cs="Times New Roman"/>
                <w:color w:val="000000"/>
                <w:sz w:val="24"/>
              </w:rPr>
            </w:pPr>
            <w:r>
              <w:rPr>
                <w:rFonts w:hint="eastAsia" w:ascii="Calibri" w:hAnsi="宋体" w:eastAsia="宋体" w:cs="Times New Roman"/>
                <w:color w:val="000000"/>
                <w:sz w:val="24"/>
              </w:rPr>
              <w:t>法定代表人或授权代表（签字或盖章）</w:t>
            </w:r>
          </w:p>
        </w:tc>
        <w:tc>
          <w:tcPr>
            <w:tcW w:w="6950" w:type="dxa"/>
            <w:noWrap w:val="0"/>
            <w:vAlign w:val="center"/>
          </w:tcPr>
          <w:p w14:paraId="1CC9F21E">
            <w:pPr>
              <w:keepNext w:val="0"/>
              <w:keepLines w:val="0"/>
              <w:suppressLineNumbers w:val="0"/>
              <w:spacing w:before="0" w:beforeAutospacing="0" w:after="0" w:afterAutospacing="0" w:line="360" w:lineRule="auto"/>
              <w:ind w:left="0" w:right="0"/>
              <w:jc w:val="center"/>
              <w:rPr>
                <w:rFonts w:ascii="宋体" w:hAnsi="Calibri" w:eastAsia="宋体" w:cs="Times New Roman"/>
                <w:color w:val="000000"/>
                <w:sz w:val="24"/>
              </w:rPr>
            </w:pPr>
          </w:p>
        </w:tc>
      </w:tr>
    </w:tbl>
    <w:p w14:paraId="276F0299">
      <w:pPr>
        <w:tabs>
          <w:tab w:val="left" w:pos="0"/>
          <w:tab w:val="left" w:pos="720"/>
          <w:tab w:val="left" w:pos="1440"/>
          <w:tab w:val="left" w:pos="2160"/>
          <w:tab w:val="left" w:pos="2880"/>
          <w:tab w:val="left" w:pos="3600"/>
          <w:tab w:val="left" w:pos="4320"/>
        </w:tabs>
        <w:autoSpaceDE w:val="0"/>
        <w:autoSpaceDN w:val="0"/>
        <w:adjustRightInd w:val="0"/>
        <w:spacing w:line="240" w:lineRule="atLeast"/>
        <w:ind w:right="-693" w:rightChars="-330"/>
        <w:rPr>
          <w:rFonts w:hint="eastAsia" w:ascii="宋体" w:hAnsi="宋体"/>
          <w:color w:val="000000"/>
          <w:sz w:val="24"/>
          <w:u w:val="single"/>
        </w:rPr>
      </w:pPr>
    </w:p>
    <w:p w14:paraId="6EE2CF24">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rPr>
        <w:t>供应商：</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（单位盖章）</w:t>
      </w:r>
    </w:p>
    <w:p w14:paraId="22811C77">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61A9284A">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法人代表或委托代理人：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签字或签章</w:t>
      </w:r>
      <w:r>
        <w:rPr>
          <w:rFonts w:hint="eastAsia" w:ascii="宋体" w:hAnsi="宋体" w:eastAsia="宋体" w:cs="宋体"/>
          <w:color w:val="auto"/>
          <w:sz w:val="24"/>
          <w:szCs w:val="24"/>
          <w:highlight w:val="none"/>
        </w:rPr>
        <w:t>）</w:t>
      </w:r>
    </w:p>
    <w:p w14:paraId="1E7AEC3F">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71E32CF3">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C367D3E">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2E855E11">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455E824F">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430A26AD">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09171AC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54876E64">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1F02A95D">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p>
    <w:p w14:paraId="105B6109">
      <w:pPr>
        <w:keepNext w:val="0"/>
        <w:keepLines w:val="0"/>
        <w:pageBreakBefore w:val="0"/>
        <w:numPr>
          <w:ilvl w:val="0"/>
          <w:numId w:val="2"/>
        </w:numPr>
        <w:kinsoku/>
        <w:overflowPunct/>
        <w:topLinePunct w:val="0"/>
        <w:autoSpaceDE/>
        <w:autoSpaceDN/>
        <w:bidi w:val="0"/>
        <w:adjustRightInd/>
        <w:snapToGrid/>
        <w:spacing w:line="360" w:lineRule="auto"/>
        <w:jc w:val="center"/>
        <w:textAlignment w:val="auto"/>
        <w:rPr>
          <w:rFonts w:hint="eastAsia" w:ascii="宋体" w:hAnsi="宋体"/>
          <w:b/>
          <w:bCs/>
          <w:color w:val="000000"/>
          <w:sz w:val="24"/>
        </w:rPr>
      </w:pPr>
      <w:r>
        <w:rPr>
          <w:rFonts w:hint="eastAsia" w:ascii="宋体" w:hAnsi="宋体"/>
          <w:b/>
          <w:bCs/>
          <w:color w:val="000000"/>
          <w:sz w:val="24"/>
          <w:lang w:val="en-US" w:eastAsia="zh-CN"/>
        </w:rPr>
        <w:t>（2）</w:t>
      </w:r>
      <w:r>
        <w:rPr>
          <w:rFonts w:hint="eastAsia" w:ascii="宋体" w:hAnsi="宋体"/>
          <w:b/>
          <w:bCs/>
          <w:color w:val="000000"/>
          <w:sz w:val="24"/>
        </w:rPr>
        <w:t>报价明细表</w:t>
      </w:r>
    </w:p>
    <w:p w14:paraId="1D3BBAA4">
      <w:pPr>
        <w:pStyle w:val="2"/>
        <w:numPr>
          <w:ilvl w:val="0"/>
          <w:numId w:val="2"/>
        </w:numPr>
        <w:rPr>
          <w:rFonts w:hint="eastAsia"/>
        </w:rPr>
      </w:pPr>
    </w:p>
    <w:tbl>
      <w:tblPr>
        <w:tblStyle w:val="18"/>
        <w:tblW w:w="9647" w:type="dxa"/>
        <w:tblInd w:w="93" w:type="dxa"/>
        <w:tblLayout w:type="fixed"/>
        <w:tblCellMar>
          <w:top w:w="0" w:type="dxa"/>
          <w:left w:w="108" w:type="dxa"/>
          <w:bottom w:w="0" w:type="dxa"/>
          <w:right w:w="108" w:type="dxa"/>
        </w:tblCellMar>
      </w:tblPr>
      <w:tblGrid>
        <w:gridCol w:w="480"/>
        <w:gridCol w:w="1882"/>
        <w:gridCol w:w="930"/>
        <w:gridCol w:w="900"/>
        <w:gridCol w:w="1080"/>
        <w:gridCol w:w="930"/>
        <w:gridCol w:w="960"/>
        <w:gridCol w:w="2485"/>
      </w:tblGrid>
      <w:tr w14:paraId="5082A55F">
        <w:tblPrEx>
          <w:tblCellMar>
            <w:top w:w="0" w:type="dxa"/>
            <w:left w:w="108" w:type="dxa"/>
            <w:bottom w:w="0" w:type="dxa"/>
            <w:right w:w="108" w:type="dxa"/>
          </w:tblCellMar>
        </w:tblPrEx>
        <w:trPr>
          <w:trHeight w:val="990" w:hRule="atLeast"/>
        </w:trPr>
        <w:tc>
          <w:tcPr>
            <w:tcW w:w="480" w:type="dxa"/>
            <w:tcBorders>
              <w:top w:val="single" w:color="auto" w:sz="4" w:space="0"/>
              <w:left w:val="single" w:color="auto" w:sz="4" w:space="0"/>
              <w:bottom w:val="single" w:color="auto" w:sz="4" w:space="0"/>
              <w:right w:val="single" w:color="auto" w:sz="4" w:space="0"/>
            </w:tcBorders>
            <w:noWrap w:val="0"/>
            <w:vAlign w:val="center"/>
          </w:tcPr>
          <w:p w14:paraId="1807BE13">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序号</w:t>
            </w:r>
          </w:p>
        </w:tc>
        <w:tc>
          <w:tcPr>
            <w:tcW w:w="1882" w:type="dxa"/>
            <w:tcBorders>
              <w:top w:val="single" w:color="auto" w:sz="4" w:space="0"/>
              <w:left w:val="nil"/>
              <w:bottom w:val="single" w:color="auto" w:sz="4" w:space="0"/>
              <w:right w:val="single" w:color="auto" w:sz="4" w:space="0"/>
            </w:tcBorders>
            <w:noWrap w:val="0"/>
            <w:vAlign w:val="center"/>
          </w:tcPr>
          <w:p w14:paraId="4BCA553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名称</w:t>
            </w:r>
          </w:p>
        </w:tc>
        <w:tc>
          <w:tcPr>
            <w:tcW w:w="930" w:type="dxa"/>
            <w:tcBorders>
              <w:top w:val="single" w:color="auto" w:sz="4" w:space="0"/>
              <w:left w:val="nil"/>
              <w:bottom w:val="single" w:color="auto" w:sz="4" w:space="0"/>
              <w:right w:val="single" w:color="auto" w:sz="4" w:space="0"/>
            </w:tcBorders>
            <w:noWrap w:val="0"/>
            <w:vAlign w:val="center"/>
          </w:tcPr>
          <w:p w14:paraId="741C4AB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单位</w:t>
            </w:r>
          </w:p>
        </w:tc>
        <w:tc>
          <w:tcPr>
            <w:tcW w:w="900" w:type="dxa"/>
            <w:tcBorders>
              <w:top w:val="single" w:color="auto" w:sz="4" w:space="0"/>
              <w:left w:val="nil"/>
              <w:bottom w:val="single" w:color="auto" w:sz="4" w:space="0"/>
              <w:right w:val="single" w:color="auto" w:sz="4" w:space="0"/>
            </w:tcBorders>
            <w:noWrap w:val="0"/>
            <w:vAlign w:val="center"/>
          </w:tcPr>
          <w:p w14:paraId="6298587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时间</w:t>
            </w:r>
          </w:p>
        </w:tc>
        <w:tc>
          <w:tcPr>
            <w:tcW w:w="1080" w:type="dxa"/>
            <w:tcBorders>
              <w:top w:val="single" w:color="auto" w:sz="4" w:space="0"/>
              <w:left w:val="nil"/>
              <w:bottom w:val="single" w:color="auto" w:sz="4" w:space="0"/>
              <w:right w:val="single" w:color="auto" w:sz="4" w:space="0"/>
            </w:tcBorders>
            <w:noWrap w:val="0"/>
            <w:vAlign w:val="center"/>
          </w:tcPr>
          <w:p w14:paraId="5C2823E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拟投入人员或车辆</w:t>
            </w:r>
          </w:p>
        </w:tc>
        <w:tc>
          <w:tcPr>
            <w:tcW w:w="930" w:type="dxa"/>
            <w:tcBorders>
              <w:top w:val="single" w:color="auto" w:sz="4" w:space="0"/>
              <w:left w:val="nil"/>
              <w:bottom w:val="single" w:color="auto" w:sz="4" w:space="0"/>
              <w:right w:val="single" w:color="auto" w:sz="4" w:space="0"/>
            </w:tcBorders>
            <w:noWrap w:val="0"/>
            <w:vAlign w:val="center"/>
          </w:tcPr>
          <w:p w14:paraId="45D2B52D">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单价（元）</w:t>
            </w:r>
          </w:p>
        </w:tc>
        <w:tc>
          <w:tcPr>
            <w:tcW w:w="960" w:type="dxa"/>
            <w:tcBorders>
              <w:top w:val="single" w:color="auto" w:sz="4" w:space="0"/>
              <w:left w:val="nil"/>
              <w:bottom w:val="single" w:color="auto" w:sz="4" w:space="0"/>
              <w:right w:val="single" w:color="auto" w:sz="4" w:space="0"/>
            </w:tcBorders>
            <w:noWrap w:val="0"/>
            <w:vAlign w:val="center"/>
          </w:tcPr>
          <w:p w14:paraId="0BBFCB13">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合计（元）</w:t>
            </w:r>
          </w:p>
        </w:tc>
        <w:tc>
          <w:tcPr>
            <w:tcW w:w="2485" w:type="dxa"/>
            <w:tcBorders>
              <w:top w:val="single" w:color="auto" w:sz="4" w:space="0"/>
              <w:left w:val="nil"/>
              <w:bottom w:val="single" w:color="auto" w:sz="4" w:space="0"/>
              <w:right w:val="single" w:color="auto" w:sz="4" w:space="0"/>
            </w:tcBorders>
            <w:noWrap w:val="0"/>
            <w:vAlign w:val="center"/>
          </w:tcPr>
          <w:p w14:paraId="49A5FFD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备注</w:t>
            </w:r>
          </w:p>
        </w:tc>
      </w:tr>
      <w:tr w14:paraId="24539C34">
        <w:tblPrEx>
          <w:tblCellMar>
            <w:top w:w="0" w:type="dxa"/>
            <w:left w:w="108" w:type="dxa"/>
            <w:bottom w:w="0" w:type="dxa"/>
            <w:right w:w="108" w:type="dxa"/>
          </w:tblCellMar>
        </w:tblPrEx>
        <w:trPr>
          <w:trHeight w:val="585" w:hRule="atLeast"/>
        </w:trPr>
        <w:tc>
          <w:tcPr>
            <w:tcW w:w="480" w:type="dxa"/>
            <w:tcBorders>
              <w:top w:val="nil"/>
              <w:left w:val="single" w:color="auto" w:sz="4" w:space="0"/>
              <w:bottom w:val="single" w:color="auto" w:sz="4" w:space="0"/>
              <w:right w:val="single" w:color="auto" w:sz="4" w:space="0"/>
            </w:tcBorders>
            <w:noWrap w:val="0"/>
            <w:vAlign w:val="center"/>
          </w:tcPr>
          <w:p w14:paraId="73E93D96">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882" w:type="dxa"/>
            <w:tcBorders>
              <w:top w:val="nil"/>
              <w:left w:val="nil"/>
              <w:bottom w:val="single" w:color="auto" w:sz="4" w:space="0"/>
              <w:right w:val="single" w:color="auto" w:sz="4" w:space="0"/>
            </w:tcBorders>
            <w:noWrap w:val="0"/>
            <w:vAlign w:val="center"/>
          </w:tcPr>
          <w:p w14:paraId="7D63AC0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服务</w:t>
            </w:r>
            <w:r>
              <w:rPr>
                <w:rFonts w:hint="eastAsia" w:ascii="宋体" w:hAnsi="宋体" w:cs="宋体"/>
                <w:kern w:val="0"/>
                <w:sz w:val="24"/>
                <w:szCs w:val="24"/>
                <w:highlight w:val="none"/>
                <w:lang w:val="en-US" w:eastAsia="zh-CN"/>
              </w:rPr>
              <w:t>期限</w:t>
            </w:r>
          </w:p>
        </w:tc>
        <w:tc>
          <w:tcPr>
            <w:tcW w:w="930" w:type="dxa"/>
            <w:tcBorders>
              <w:top w:val="nil"/>
              <w:left w:val="nil"/>
              <w:bottom w:val="single" w:color="auto" w:sz="4" w:space="0"/>
              <w:right w:val="single" w:color="auto" w:sz="4" w:space="0"/>
            </w:tcBorders>
            <w:noWrap w:val="0"/>
            <w:vAlign w:val="center"/>
          </w:tcPr>
          <w:p w14:paraId="36C98631">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年</w:t>
            </w:r>
          </w:p>
        </w:tc>
        <w:tc>
          <w:tcPr>
            <w:tcW w:w="1980" w:type="dxa"/>
            <w:gridSpan w:val="2"/>
            <w:tcBorders>
              <w:top w:val="single" w:color="auto" w:sz="4" w:space="0"/>
              <w:left w:val="nil"/>
              <w:bottom w:val="single" w:color="auto" w:sz="4" w:space="0"/>
              <w:right w:val="single" w:color="auto" w:sz="4" w:space="0"/>
            </w:tcBorders>
            <w:noWrap w:val="0"/>
            <w:vAlign w:val="center"/>
          </w:tcPr>
          <w:p w14:paraId="6D6C082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1</w:t>
            </w:r>
          </w:p>
        </w:tc>
        <w:tc>
          <w:tcPr>
            <w:tcW w:w="930" w:type="dxa"/>
            <w:tcBorders>
              <w:top w:val="nil"/>
              <w:left w:val="nil"/>
              <w:bottom w:val="single" w:color="auto" w:sz="4" w:space="0"/>
              <w:right w:val="single" w:color="auto" w:sz="4" w:space="0"/>
            </w:tcBorders>
            <w:noWrap w:val="0"/>
            <w:vAlign w:val="center"/>
          </w:tcPr>
          <w:p w14:paraId="49F1BCE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960" w:type="dxa"/>
            <w:tcBorders>
              <w:top w:val="nil"/>
              <w:left w:val="nil"/>
              <w:bottom w:val="single" w:color="auto" w:sz="4" w:space="0"/>
              <w:right w:val="single" w:color="auto" w:sz="4" w:space="0"/>
            </w:tcBorders>
            <w:noWrap w:val="0"/>
            <w:vAlign w:val="center"/>
          </w:tcPr>
          <w:p w14:paraId="1923DBFB">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2485" w:type="dxa"/>
            <w:tcBorders>
              <w:top w:val="nil"/>
              <w:left w:val="nil"/>
              <w:bottom w:val="single" w:color="auto" w:sz="4" w:space="0"/>
              <w:right w:val="single" w:color="auto" w:sz="4" w:space="0"/>
            </w:tcBorders>
            <w:noWrap w:val="0"/>
            <w:vAlign w:val="center"/>
          </w:tcPr>
          <w:p w14:paraId="1D8EC94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left"/>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如遇突发事件，乙方无条件服从甲方调度</w:t>
            </w:r>
          </w:p>
        </w:tc>
      </w:tr>
      <w:tr w14:paraId="79EDA635">
        <w:tblPrEx>
          <w:tblCellMar>
            <w:top w:w="0" w:type="dxa"/>
            <w:left w:w="108" w:type="dxa"/>
            <w:bottom w:w="0" w:type="dxa"/>
            <w:right w:w="108" w:type="dxa"/>
          </w:tblCellMar>
        </w:tblPrEx>
        <w:trPr>
          <w:trHeight w:val="510" w:hRule="atLeast"/>
        </w:trPr>
        <w:tc>
          <w:tcPr>
            <w:tcW w:w="480" w:type="dxa"/>
            <w:tcBorders>
              <w:top w:val="nil"/>
              <w:left w:val="single" w:color="auto" w:sz="4" w:space="0"/>
              <w:bottom w:val="single" w:color="auto" w:sz="4" w:space="0"/>
              <w:right w:val="single" w:color="auto" w:sz="4" w:space="0"/>
            </w:tcBorders>
            <w:noWrap w:val="0"/>
            <w:vAlign w:val="center"/>
          </w:tcPr>
          <w:p w14:paraId="4BB6094A">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882" w:type="dxa"/>
            <w:tcBorders>
              <w:top w:val="nil"/>
              <w:left w:val="nil"/>
              <w:bottom w:val="single" w:color="auto" w:sz="4" w:space="0"/>
              <w:right w:val="single" w:color="auto" w:sz="4" w:space="0"/>
            </w:tcBorders>
            <w:noWrap w:val="0"/>
            <w:vAlign w:val="center"/>
          </w:tcPr>
          <w:p w14:paraId="5ECAC02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人工费用</w:t>
            </w:r>
          </w:p>
        </w:tc>
        <w:tc>
          <w:tcPr>
            <w:tcW w:w="930" w:type="dxa"/>
            <w:tcBorders>
              <w:top w:val="nil"/>
              <w:left w:val="nil"/>
              <w:bottom w:val="single" w:color="auto" w:sz="4" w:space="0"/>
              <w:right w:val="single" w:color="auto" w:sz="4" w:space="0"/>
            </w:tcBorders>
            <w:noWrap w:val="0"/>
            <w:vAlign w:val="center"/>
          </w:tcPr>
          <w:p w14:paraId="3103E92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天*人</w:t>
            </w:r>
          </w:p>
        </w:tc>
        <w:tc>
          <w:tcPr>
            <w:tcW w:w="900" w:type="dxa"/>
            <w:tcBorders>
              <w:top w:val="nil"/>
              <w:left w:val="nil"/>
              <w:bottom w:val="single" w:color="auto" w:sz="4" w:space="0"/>
              <w:right w:val="single" w:color="auto" w:sz="4" w:space="0"/>
            </w:tcBorders>
            <w:noWrap w:val="0"/>
            <w:vAlign w:val="center"/>
          </w:tcPr>
          <w:p w14:paraId="14EF357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5</w:t>
            </w:r>
          </w:p>
        </w:tc>
        <w:tc>
          <w:tcPr>
            <w:tcW w:w="1080" w:type="dxa"/>
            <w:tcBorders>
              <w:top w:val="nil"/>
              <w:left w:val="nil"/>
              <w:bottom w:val="single" w:color="auto" w:sz="4" w:space="0"/>
              <w:right w:val="single" w:color="auto" w:sz="4" w:space="0"/>
            </w:tcBorders>
            <w:noWrap w:val="0"/>
            <w:vAlign w:val="center"/>
          </w:tcPr>
          <w:p w14:paraId="4BCF57E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w:t>
            </w:r>
          </w:p>
        </w:tc>
        <w:tc>
          <w:tcPr>
            <w:tcW w:w="930" w:type="dxa"/>
            <w:tcBorders>
              <w:top w:val="nil"/>
              <w:left w:val="nil"/>
              <w:bottom w:val="single" w:color="auto" w:sz="4" w:space="0"/>
              <w:right w:val="single" w:color="auto" w:sz="4" w:space="0"/>
            </w:tcBorders>
            <w:noWrap w:val="0"/>
            <w:vAlign w:val="center"/>
          </w:tcPr>
          <w:p w14:paraId="7BD72651">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271C5BA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p>
        </w:tc>
        <w:tc>
          <w:tcPr>
            <w:tcW w:w="2485" w:type="dxa"/>
            <w:tcBorders>
              <w:top w:val="nil"/>
              <w:left w:val="nil"/>
              <w:bottom w:val="single" w:color="auto" w:sz="4" w:space="0"/>
              <w:right w:val="single" w:color="auto" w:sz="4" w:space="0"/>
            </w:tcBorders>
            <w:noWrap w:val="0"/>
            <w:vAlign w:val="center"/>
          </w:tcPr>
          <w:p w14:paraId="31EEA332">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52B3909C">
        <w:tblPrEx>
          <w:tblCellMar>
            <w:top w:w="0" w:type="dxa"/>
            <w:left w:w="108" w:type="dxa"/>
            <w:bottom w:w="0" w:type="dxa"/>
            <w:right w:w="108" w:type="dxa"/>
          </w:tblCellMar>
        </w:tblPrEx>
        <w:trPr>
          <w:trHeight w:val="510" w:hRule="atLeast"/>
        </w:trPr>
        <w:tc>
          <w:tcPr>
            <w:tcW w:w="480" w:type="dxa"/>
            <w:tcBorders>
              <w:top w:val="nil"/>
              <w:left w:val="single" w:color="auto" w:sz="4" w:space="0"/>
              <w:bottom w:val="single" w:color="auto" w:sz="4" w:space="0"/>
              <w:right w:val="single" w:color="auto" w:sz="4" w:space="0"/>
            </w:tcBorders>
            <w:noWrap w:val="0"/>
            <w:vAlign w:val="center"/>
          </w:tcPr>
          <w:p w14:paraId="1E384172">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1882" w:type="dxa"/>
            <w:tcBorders>
              <w:top w:val="nil"/>
              <w:left w:val="nil"/>
              <w:bottom w:val="single" w:color="auto" w:sz="4" w:space="0"/>
              <w:right w:val="single" w:color="auto" w:sz="4" w:space="0"/>
            </w:tcBorders>
            <w:noWrap w:val="0"/>
            <w:vAlign w:val="center"/>
          </w:tcPr>
          <w:p w14:paraId="086029DB">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车辆费用</w:t>
            </w:r>
          </w:p>
        </w:tc>
        <w:tc>
          <w:tcPr>
            <w:tcW w:w="930" w:type="dxa"/>
            <w:tcBorders>
              <w:top w:val="nil"/>
              <w:left w:val="nil"/>
              <w:bottom w:val="single" w:color="auto" w:sz="4" w:space="0"/>
              <w:right w:val="single" w:color="auto" w:sz="4" w:space="0"/>
            </w:tcBorders>
            <w:noWrap w:val="0"/>
            <w:vAlign w:val="center"/>
          </w:tcPr>
          <w:p w14:paraId="50501046">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天*辆</w:t>
            </w:r>
          </w:p>
        </w:tc>
        <w:tc>
          <w:tcPr>
            <w:tcW w:w="900" w:type="dxa"/>
            <w:tcBorders>
              <w:top w:val="nil"/>
              <w:left w:val="nil"/>
              <w:bottom w:val="single" w:color="auto" w:sz="4" w:space="0"/>
              <w:right w:val="single" w:color="auto" w:sz="4" w:space="0"/>
            </w:tcBorders>
            <w:noWrap w:val="0"/>
            <w:vAlign w:val="center"/>
          </w:tcPr>
          <w:p w14:paraId="2FA5678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8</w:t>
            </w:r>
            <w:r>
              <w:rPr>
                <w:rFonts w:hint="eastAsia" w:ascii="宋体" w:hAnsi="宋体" w:eastAsia="宋体" w:cs="宋体"/>
                <w:kern w:val="0"/>
                <w:sz w:val="24"/>
                <w:szCs w:val="24"/>
                <w:highlight w:val="none"/>
                <w:lang w:val="en-US" w:eastAsia="zh-CN"/>
              </w:rPr>
              <w:t>5</w:t>
            </w:r>
          </w:p>
        </w:tc>
        <w:tc>
          <w:tcPr>
            <w:tcW w:w="1080" w:type="dxa"/>
            <w:tcBorders>
              <w:top w:val="nil"/>
              <w:left w:val="nil"/>
              <w:bottom w:val="single" w:color="auto" w:sz="4" w:space="0"/>
              <w:right w:val="single" w:color="auto" w:sz="4" w:space="0"/>
            </w:tcBorders>
            <w:noWrap w:val="0"/>
            <w:vAlign w:val="center"/>
          </w:tcPr>
          <w:p w14:paraId="4EE84E4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930" w:type="dxa"/>
            <w:tcBorders>
              <w:top w:val="nil"/>
              <w:left w:val="nil"/>
              <w:bottom w:val="single" w:color="auto" w:sz="4" w:space="0"/>
              <w:right w:val="single" w:color="auto" w:sz="4" w:space="0"/>
            </w:tcBorders>
            <w:noWrap w:val="0"/>
            <w:vAlign w:val="center"/>
          </w:tcPr>
          <w:p w14:paraId="457ACA4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789219A9">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2485" w:type="dxa"/>
            <w:tcBorders>
              <w:top w:val="nil"/>
              <w:left w:val="nil"/>
              <w:bottom w:val="single" w:color="auto" w:sz="4" w:space="0"/>
              <w:right w:val="single" w:color="auto" w:sz="4" w:space="0"/>
            </w:tcBorders>
            <w:noWrap w:val="0"/>
            <w:vAlign w:val="center"/>
          </w:tcPr>
          <w:p w14:paraId="7F8D5409">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11B905F7">
        <w:tblPrEx>
          <w:tblCellMar>
            <w:top w:w="0" w:type="dxa"/>
            <w:left w:w="108" w:type="dxa"/>
            <w:bottom w:w="0" w:type="dxa"/>
            <w:right w:w="108" w:type="dxa"/>
          </w:tblCellMar>
        </w:tblPrEx>
        <w:trPr>
          <w:trHeight w:val="510" w:hRule="atLeast"/>
        </w:trPr>
        <w:tc>
          <w:tcPr>
            <w:tcW w:w="480" w:type="dxa"/>
            <w:tcBorders>
              <w:top w:val="nil"/>
              <w:left w:val="single" w:color="auto" w:sz="4" w:space="0"/>
              <w:bottom w:val="single" w:color="auto" w:sz="4" w:space="0"/>
              <w:right w:val="single" w:color="auto" w:sz="4" w:space="0"/>
            </w:tcBorders>
            <w:noWrap w:val="0"/>
            <w:vAlign w:val="center"/>
          </w:tcPr>
          <w:p w14:paraId="58640ED9">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4</w:t>
            </w:r>
          </w:p>
        </w:tc>
        <w:tc>
          <w:tcPr>
            <w:tcW w:w="1882" w:type="dxa"/>
            <w:tcBorders>
              <w:top w:val="nil"/>
              <w:left w:val="nil"/>
              <w:bottom w:val="single" w:color="auto" w:sz="4" w:space="0"/>
              <w:right w:val="single" w:color="auto" w:sz="4" w:space="0"/>
            </w:tcBorders>
            <w:noWrap w:val="0"/>
            <w:vAlign w:val="center"/>
          </w:tcPr>
          <w:p w14:paraId="0B67320F">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高压管</w:t>
            </w:r>
          </w:p>
        </w:tc>
        <w:tc>
          <w:tcPr>
            <w:tcW w:w="930" w:type="dxa"/>
            <w:tcBorders>
              <w:top w:val="nil"/>
              <w:left w:val="nil"/>
              <w:bottom w:val="single" w:color="auto" w:sz="4" w:space="0"/>
              <w:right w:val="single" w:color="auto" w:sz="4" w:space="0"/>
            </w:tcBorders>
            <w:noWrap w:val="0"/>
            <w:vAlign w:val="center"/>
          </w:tcPr>
          <w:p w14:paraId="05C0164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盘</w:t>
            </w:r>
          </w:p>
        </w:tc>
        <w:tc>
          <w:tcPr>
            <w:tcW w:w="1980" w:type="dxa"/>
            <w:gridSpan w:val="2"/>
            <w:tcBorders>
              <w:top w:val="single" w:color="auto" w:sz="4" w:space="0"/>
              <w:left w:val="nil"/>
              <w:bottom w:val="single" w:color="auto" w:sz="4" w:space="0"/>
              <w:right w:val="single" w:color="auto" w:sz="4" w:space="0"/>
            </w:tcBorders>
            <w:noWrap w:val="0"/>
            <w:vAlign w:val="center"/>
          </w:tcPr>
          <w:p w14:paraId="247DF80F">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10</w:t>
            </w:r>
          </w:p>
        </w:tc>
        <w:tc>
          <w:tcPr>
            <w:tcW w:w="930" w:type="dxa"/>
            <w:tcBorders>
              <w:top w:val="nil"/>
              <w:left w:val="nil"/>
              <w:bottom w:val="single" w:color="auto" w:sz="4" w:space="0"/>
              <w:right w:val="single" w:color="auto" w:sz="4" w:space="0"/>
            </w:tcBorders>
            <w:noWrap w:val="0"/>
            <w:vAlign w:val="center"/>
          </w:tcPr>
          <w:p w14:paraId="64BCB1E3">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p>
        </w:tc>
        <w:tc>
          <w:tcPr>
            <w:tcW w:w="960" w:type="dxa"/>
            <w:tcBorders>
              <w:top w:val="nil"/>
              <w:left w:val="nil"/>
              <w:bottom w:val="single" w:color="auto" w:sz="4" w:space="0"/>
              <w:right w:val="single" w:color="auto" w:sz="4" w:space="0"/>
            </w:tcBorders>
            <w:noWrap w:val="0"/>
            <w:vAlign w:val="center"/>
          </w:tcPr>
          <w:p w14:paraId="3AAFB9BB">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p>
        </w:tc>
        <w:tc>
          <w:tcPr>
            <w:tcW w:w="2485" w:type="dxa"/>
            <w:tcBorders>
              <w:top w:val="nil"/>
              <w:left w:val="nil"/>
              <w:bottom w:val="single" w:color="auto" w:sz="4" w:space="0"/>
              <w:right w:val="single" w:color="auto" w:sz="4" w:space="0"/>
            </w:tcBorders>
            <w:noWrap w:val="0"/>
            <w:vAlign w:val="center"/>
          </w:tcPr>
          <w:p w14:paraId="71B2FB1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r>
      <w:tr w14:paraId="3873A41C">
        <w:tblPrEx>
          <w:tblCellMar>
            <w:top w:w="0" w:type="dxa"/>
            <w:left w:w="108" w:type="dxa"/>
            <w:bottom w:w="0" w:type="dxa"/>
            <w:right w:w="108" w:type="dxa"/>
          </w:tblCellMar>
        </w:tblPrEx>
        <w:trPr>
          <w:trHeight w:val="510" w:hRule="atLeast"/>
        </w:trPr>
        <w:tc>
          <w:tcPr>
            <w:tcW w:w="480" w:type="dxa"/>
            <w:tcBorders>
              <w:top w:val="nil"/>
              <w:left w:val="single" w:color="auto" w:sz="4" w:space="0"/>
              <w:bottom w:val="single" w:color="auto" w:sz="4" w:space="0"/>
              <w:right w:val="single" w:color="auto" w:sz="4" w:space="0"/>
            </w:tcBorders>
            <w:noWrap w:val="0"/>
            <w:vAlign w:val="center"/>
          </w:tcPr>
          <w:p w14:paraId="017F68D8">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5</w:t>
            </w:r>
          </w:p>
        </w:tc>
        <w:tc>
          <w:tcPr>
            <w:tcW w:w="1882" w:type="dxa"/>
            <w:tcBorders>
              <w:top w:val="nil"/>
              <w:left w:val="nil"/>
              <w:bottom w:val="single" w:color="auto" w:sz="4" w:space="0"/>
              <w:right w:val="single" w:color="auto" w:sz="4" w:space="0"/>
            </w:tcBorders>
            <w:noWrap w:val="0"/>
            <w:vAlign w:val="center"/>
          </w:tcPr>
          <w:p w14:paraId="22A6A2E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防治药物</w:t>
            </w:r>
          </w:p>
        </w:tc>
        <w:tc>
          <w:tcPr>
            <w:tcW w:w="930" w:type="dxa"/>
            <w:tcBorders>
              <w:top w:val="nil"/>
              <w:left w:val="nil"/>
              <w:bottom w:val="single" w:color="auto" w:sz="4" w:space="0"/>
              <w:right w:val="single" w:color="auto" w:sz="4" w:space="0"/>
            </w:tcBorders>
            <w:noWrap w:val="0"/>
            <w:vAlign w:val="center"/>
          </w:tcPr>
          <w:p w14:paraId="21F456B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周期</w:t>
            </w:r>
          </w:p>
        </w:tc>
        <w:tc>
          <w:tcPr>
            <w:tcW w:w="1980" w:type="dxa"/>
            <w:gridSpan w:val="2"/>
            <w:tcBorders>
              <w:top w:val="single" w:color="auto" w:sz="4" w:space="0"/>
              <w:left w:val="nil"/>
              <w:bottom w:val="single" w:color="auto" w:sz="4" w:space="0"/>
              <w:right w:val="single" w:color="auto" w:sz="4" w:space="0"/>
            </w:tcBorders>
            <w:noWrap w:val="0"/>
            <w:vAlign w:val="center"/>
          </w:tcPr>
          <w:p w14:paraId="7432844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3</w:t>
            </w:r>
          </w:p>
        </w:tc>
        <w:tc>
          <w:tcPr>
            <w:tcW w:w="930" w:type="dxa"/>
            <w:tcBorders>
              <w:top w:val="nil"/>
              <w:left w:val="nil"/>
              <w:bottom w:val="single" w:color="auto" w:sz="4" w:space="0"/>
              <w:right w:val="single" w:color="auto" w:sz="4" w:space="0"/>
            </w:tcBorders>
            <w:noWrap w:val="0"/>
            <w:vAlign w:val="center"/>
          </w:tcPr>
          <w:p w14:paraId="43659D01">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52F08536">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2485" w:type="dxa"/>
            <w:tcBorders>
              <w:top w:val="nil"/>
              <w:left w:val="nil"/>
              <w:bottom w:val="single" w:color="auto" w:sz="4" w:space="0"/>
              <w:right w:val="single" w:color="auto" w:sz="4" w:space="0"/>
            </w:tcBorders>
            <w:noWrap w:val="0"/>
            <w:vAlign w:val="center"/>
          </w:tcPr>
          <w:p w14:paraId="431CDEF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r>
      <w:tr w14:paraId="37409D78">
        <w:tblPrEx>
          <w:tblCellMar>
            <w:top w:w="0" w:type="dxa"/>
            <w:left w:w="108" w:type="dxa"/>
            <w:bottom w:w="0" w:type="dxa"/>
            <w:right w:w="108" w:type="dxa"/>
          </w:tblCellMar>
        </w:tblPrEx>
        <w:trPr>
          <w:trHeight w:val="675" w:hRule="atLeast"/>
        </w:trPr>
        <w:tc>
          <w:tcPr>
            <w:tcW w:w="480" w:type="dxa"/>
            <w:tcBorders>
              <w:top w:val="nil"/>
              <w:left w:val="single" w:color="auto" w:sz="4" w:space="0"/>
              <w:bottom w:val="single" w:color="auto" w:sz="4" w:space="0"/>
              <w:right w:val="single" w:color="auto" w:sz="4" w:space="0"/>
            </w:tcBorders>
            <w:noWrap w:val="0"/>
            <w:vAlign w:val="center"/>
          </w:tcPr>
          <w:p w14:paraId="22D39103">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6</w:t>
            </w:r>
          </w:p>
        </w:tc>
        <w:tc>
          <w:tcPr>
            <w:tcW w:w="1882" w:type="dxa"/>
            <w:tcBorders>
              <w:top w:val="nil"/>
              <w:left w:val="nil"/>
              <w:bottom w:val="single" w:color="auto" w:sz="4" w:space="0"/>
              <w:right w:val="single" w:color="auto" w:sz="4" w:space="0"/>
            </w:tcBorders>
            <w:noWrap w:val="0"/>
            <w:vAlign w:val="center"/>
          </w:tcPr>
          <w:p w14:paraId="3168865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高压喷雾机汽油费用</w:t>
            </w:r>
          </w:p>
        </w:tc>
        <w:tc>
          <w:tcPr>
            <w:tcW w:w="930" w:type="dxa"/>
            <w:tcBorders>
              <w:top w:val="nil"/>
              <w:left w:val="nil"/>
              <w:bottom w:val="single" w:color="auto" w:sz="4" w:space="0"/>
              <w:right w:val="single" w:color="auto" w:sz="4" w:space="0"/>
            </w:tcBorders>
            <w:noWrap w:val="0"/>
            <w:vAlign w:val="center"/>
          </w:tcPr>
          <w:p w14:paraId="5B25C4AA">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天</w:t>
            </w:r>
            <w:r>
              <w:rPr>
                <w:rFonts w:hint="eastAsia" w:ascii="宋体" w:hAnsi="宋体" w:eastAsia="宋体" w:cs="宋体"/>
                <w:kern w:val="0"/>
                <w:sz w:val="24"/>
                <w:szCs w:val="24"/>
                <w:highlight w:val="none"/>
                <w:lang w:val="en-US" w:eastAsia="zh-CN"/>
              </w:rPr>
              <w:t>*台</w:t>
            </w:r>
          </w:p>
        </w:tc>
        <w:tc>
          <w:tcPr>
            <w:tcW w:w="900" w:type="dxa"/>
            <w:tcBorders>
              <w:top w:val="single" w:color="auto" w:sz="4" w:space="0"/>
              <w:left w:val="nil"/>
              <w:bottom w:val="single" w:color="auto" w:sz="4" w:space="0"/>
              <w:right w:val="single" w:color="auto" w:sz="4" w:space="0"/>
            </w:tcBorders>
            <w:noWrap w:val="0"/>
            <w:vAlign w:val="center"/>
          </w:tcPr>
          <w:p w14:paraId="177298E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85</w:t>
            </w:r>
          </w:p>
        </w:tc>
        <w:tc>
          <w:tcPr>
            <w:tcW w:w="1080" w:type="dxa"/>
            <w:tcBorders>
              <w:top w:val="single" w:color="auto" w:sz="4" w:space="0"/>
              <w:left w:val="nil"/>
              <w:bottom w:val="single" w:color="auto" w:sz="4" w:space="0"/>
              <w:right w:val="single" w:color="auto" w:sz="4" w:space="0"/>
            </w:tcBorders>
            <w:noWrap w:val="0"/>
            <w:vAlign w:val="center"/>
          </w:tcPr>
          <w:p w14:paraId="5247226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2</w:t>
            </w:r>
          </w:p>
        </w:tc>
        <w:tc>
          <w:tcPr>
            <w:tcW w:w="930" w:type="dxa"/>
            <w:tcBorders>
              <w:top w:val="nil"/>
              <w:left w:val="nil"/>
              <w:bottom w:val="single" w:color="auto" w:sz="4" w:space="0"/>
              <w:right w:val="single" w:color="auto" w:sz="4" w:space="0"/>
            </w:tcBorders>
            <w:noWrap w:val="0"/>
            <w:vAlign w:val="center"/>
          </w:tcPr>
          <w:p w14:paraId="16BF0BB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104B969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2485" w:type="dxa"/>
            <w:tcBorders>
              <w:top w:val="nil"/>
              <w:left w:val="nil"/>
              <w:bottom w:val="single" w:color="auto" w:sz="4" w:space="0"/>
              <w:right w:val="single" w:color="auto" w:sz="4" w:space="0"/>
            </w:tcBorders>
            <w:noWrap w:val="0"/>
            <w:vAlign w:val="center"/>
          </w:tcPr>
          <w:p w14:paraId="37426D3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r>
      <w:tr w14:paraId="26D056F4">
        <w:tblPrEx>
          <w:tblCellMar>
            <w:top w:w="0" w:type="dxa"/>
            <w:left w:w="108" w:type="dxa"/>
            <w:bottom w:w="0" w:type="dxa"/>
            <w:right w:w="108" w:type="dxa"/>
          </w:tblCellMar>
        </w:tblPrEx>
        <w:trPr>
          <w:trHeight w:val="1260" w:hRule="atLeast"/>
        </w:trPr>
        <w:tc>
          <w:tcPr>
            <w:tcW w:w="480" w:type="dxa"/>
            <w:tcBorders>
              <w:top w:val="nil"/>
              <w:left w:val="single" w:color="auto" w:sz="4" w:space="0"/>
              <w:bottom w:val="single" w:color="auto" w:sz="4" w:space="0"/>
              <w:right w:val="single" w:color="auto" w:sz="4" w:space="0"/>
            </w:tcBorders>
            <w:noWrap w:val="0"/>
            <w:vAlign w:val="center"/>
          </w:tcPr>
          <w:p w14:paraId="3F753DC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7</w:t>
            </w:r>
          </w:p>
        </w:tc>
        <w:tc>
          <w:tcPr>
            <w:tcW w:w="1882" w:type="dxa"/>
            <w:tcBorders>
              <w:top w:val="nil"/>
              <w:left w:val="nil"/>
              <w:bottom w:val="single" w:color="auto" w:sz="4" w:space="0"/>
              <w:right w:val="single" w:color="auto" w:sz="4" w:space="0"/>
            </w:tcBorders>
            <w:noWrap w:val="0"/>
            <w:vAlign w:val="center"/>
          </w:tcPr>
          <w:p w14:paraId="2A5E14C1">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烟雾机喷药配用柴油</w:t>
            </w:r>
          </w:p>
        </w:tc>
        <w:tc>
          <w:tcPr>
            <w:tcW w:w="930" w:type="dxa"/>
            <w:tcBorders>
              <w:top w:val="nil"/>
              <w:left w:val="nil"/>
              <w:bottom w:val="single" w:color="auto" w:sz="4" w:space="0"/>
              <w:right w:val="single" w:color="auto" w:sz="4" w:space="0"/>
            </w:tcBorders>
            <w:noWrap w:val="0"/>
            <w:vAlign w:val="center"/>
          </w:tcPr>
          <w:p w14:paraId="102988F3">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w:t>
            </w:r>
          </w:p>
        </w:tc>
        <w:tc>
          <w:tcPr>
            <w:tcW w:w="1980" w:type="dxa"/>
            <w:gridSpan w:val="2"/>
            <w:tcBorders>
              <w:top w:val="single" w:color="auto" w:sz="4" w:space="0"/>
              <w:left w:val="nil"/>
              <w:bottom w:val="single" w:color="auto" w:sz="4" w:space="0"/>
              <w:right w:val="single" w:color="auto" w:sz="4" w:space="0"/>
            </w:tcBorders>
            <w:noWrap w:val="0"/>
            <w:vAlign w:val="center"/>
          </w:tcPr>
          <w:p w14:paraId="06D2F938">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930" w:type="dxa"/>
            <w:tcBorders>
              <w:top w:val="nil"/>
              <w:left w:val="nil"/>
              <w:bottom w:val="single" w:color="auto" w:sz="4" w:space="0"/>
              <w:right w:val="single" w:color="auto" w:sz="4" w:space="0"/>
            </w:tcBorders>
            <w:noWrap w:val="0"/>
            <w:vAlign w:val="center"/>
          </w:tcPr>
          <w:p w14:paraId="396C73D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72D19C35">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2485" w:type="dxa"/>
            <w:tcBorders>
              <w:top w:val="nil"/>
              <w:left w:val="nil"/>
              <w:bottom w:val="single" w:color="auto" w:sz="4" w:space="0"/>
              <w:right w:val="single" w:color="auto" w:sz="4" w:space="0"/>
            </w:tcBorders>
            <w:noWrap w:val="0"/>
            <w:vAlign w:val="center"/>
          </w:tcPr>
          <w:p w14:paraId="696FED86">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一台机一次配药用柴油5升、敌敌畏1</w:t>
            </w:r>
            <w:r>
              <w:rPr>
                <w:rFonts w:hint="eastAsia" w:ascii="宋体" w:hAnsi="宋体" w:eastAsia="宋体" w:cs="宋体"/>
                <w:kern w:val="0"/>
                <w:sz w:val="24"/>
                <w:szCs w:val="24"/>
                <w:highlight w:val="none"/>
                <w:lang w:eastAsia="zh-CN"/>
              </w:rPr>
              <w:t>升</w:t>
            </w:r>
            <w:r>
              <w:rPr>
                <w:rFonts w:hint="eastAsia" w:ascii="宋体" w:hAnsi="宋体" w:eastAsia="宋体" w:cs="宋体"/>
                <w:kern w:val="0"/>
                <w:sz w:val="24"/>
                <w:szCs w:val="24"/>
                <w:highlight w:val="none"/>
              </w:rPr>
              <w:t>，一次用烟雾机次及用药不确定</w:t>
            </w:r>
          </w:p>
        </w:tc>
      </w:tr>
      <w:tr w14:paraId="43282849">
        <w:tblPrEx>
          <w:tblCellMar>
            <w:top w:w="0" w:type="dxa"/>
            <w:left w:w="108" w:type="dxa"/>
            <w:bottom w:w="0" w:type="dxa"/>
            <w:right w:w="108" w:type="dxa"/>
          </w:tblCellMar>
        </w:tblPrEx>
        <w:trPr>
          <w:trHeight w:val="525" w:hRule="atLeast"/>
        </w:trPr>
        <w:tc>
          <w:tcPr>
            <w:tcW w:w="480" w:type="dxa"/>
            <w:tcBorders>
              <w:top w:val="nil"/>
              <w:left w:val="single" w:color="auto" w:sz="4" w:space="0"/>
              <w:bottom w:val="single" w:color="auto" w:sz="4" w:space="0"/>
              <w:right w:val="single" w:color="auto" w:sz="4" w:space="0"/>
            </w:tcBorders>
            <w:noWrap w:val="0"/>
            <w:vAlign w:val="center"/>
          </w:tcPr>
          <w:p w14:paraId="0C4E328A">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8</w:t>
            </w:r>
          </w:p>
        </w:tc>
        <w:tc>
          <w:tcPr>
            <w:tcW w:w="1882" w:type="dxa"/>
            <w:tcBorders>
              <w:top w:val="nil"/>
              <w:left w:val="nil"/>
              <w:bottom w:val="single" w:color="auto" w:sz="4" w:space="0"/>
              <w:right w:val="single" w:color="auto" w:sz="4" w:space="0"/>
            </w:tcBorders>
            <w:noWrap w:val="0"/>
            <w:vAlign w:val="center"/>
          </w:tcPr>
          <w:p w14:paraId="7605CDE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机油</w:t>
            </w:r>
          </w:p>
        </w:tc>
        <w:tc>
          <w:tcPr>
            <w:tcW w:w="930" w:type="dxa"/>
            <w:tcBorders>
              <w:top w:val="nil"/>
              <w:left w:val="nil"/>
              <w:bottom w:val="single" w:color="auto" w:sz="4" w:space="0"/>
              <w:right w:val="single" w:color="auto" w:sz="4" w:space="0"/>
            </w:tcBorders>
            <w:noWrap w:val="0"/>
            <w:vAlign w:val="center"/>
          </w:tcPr>
          <w:p w14:paraId="36A8F95E">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箱</w:t>
            </w:r>
          </w:p>
        </w:tc>
        <w:tc>
          <w:tcPr>
            <w:tcW w:w="1980" w:type="dxa"/>
            <w:gridSpan w:val="2"/>
            <w:tcBorders>
              <w:top w:val="single" w:color="auto" w:sz="4" w:space="0"/>
              <w:left w:val="nil"/>
              <w:bottom w:val="single" w:color="auto" w:sz="4" w:space="0"/>
              <w:right w:val="single" w:color="auto" w:sz="4" w:space="0"/>
            </w:tcBorders>
            <w:noWrap w:val="0"/>
            <w:vAlign w:val="center"/>
          </w:tcPr>
          <w:p w14:paraId="1DC623E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w:t>
            </w:r>
          </w:p>
        </w:tc>
        <w:tc>
          <w:tcPr>
            <w:tcW w:w="930" w:type="dxa"/>
            <w:tcBorders>
              <w:top w:val="nil"/>
              <w:left w:val="nil"/>
              <w:bottom w:val="single" w:color="auto" w:sz="4" w:space="0"/>
              <w:right w:val="single" w:color="auto" w:sz="4" w:space="0"/>
            </w:tcBorders>
            <w:noWrap w:val="0"/>
            <w:vAlign w:val="center"/>
          </w:tcPr>
          <w:p w14:paraId="2DBE499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p>
        </w:tc>
        <w:tc>
          <w:tcPr>
            <w:tcW w:w="960" w:type="dxa"/>
            <w:tcBorders>
              <w:top w:val="nil"/>
              <w:left w:val="nil"/>
              <w:bottom w:val="single" w:color="auto" w:sz="4" w:space="0"/>
              <w:right w:val="single" w:color="auto" w:sz="4" w:space="0"/>
            </w:tcBorders>
            <w:noWrap w:val="0"/>
            <w:vAlign w:val="center"/>
          </w:tcPr>
          <w:p w14:paraId="64135C0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lang w:val="en-US" w:eastAsia="zh-CN"/>
              </w:rPr>
            </w:pPr>
          </w:p>
        </w:tc>
        <w:tc>
          <w:tcPr>
            <w:tcW w:w="2485" w:type="dxa"/>
            <w:tcBorders>
              <w:top w:val="nil"/>
              <w:left w:val="nil"/>
              <w:bottom w:val="single" w:color="auto" w:sz="4" w:space="0"/>
              <w:right w:val="single" w:color="auto" w:sz="4" w:space="0"/>
            </w:tcBorders>
            <w:noWrap w:val="0"/>
            <w:vAlign w:val="center"/>
          </w:tcPr>
          <w:p w14:paraId="5C8FD6B7">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r>
      <w:tr w14:paraId="167AEA8D">
        <w:tblPrEx>
          <w:tblCellMar>
            <w:top w:w="0" w:type="dxa"/>
            <w:left w:w="108" w:type="dxa"/>
            <w:bottom w:w="0" w:type="dxa"/>
            <w:right w:w="108" w:type="dxa"/>
          </w:tblCellMar>
        </w:tblPrEx>
        <w:trPr>
          <w:trHeight w:val="1535" w:hRule="atLeast"/>
        </w:trPr>
        <w:tc>
          <w:tcPr>
            <w:tcW w:w="480" w:type="dxa"/>
            <w:tcBorders>
              <w:top w:val="nil"/>
              <w:left w:val="single" w:color="auto" w:sz="4" w:space="0"/>
              <w:bottom w:val="single" w:color="auto" w:sz="4" w:space="0"/>
              <w:right w:val="single" w:color="auto" w:sz="4" w:space="0"/>
            </w:tcBorders>
            <w:noWrap w:val="0"/>
            <w:vAlign w:val="center"/>
          </w:tcPr>
          <w:p w14:paraId="4F36163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9</w:t>
            </w:r>
          </w:p>
        </w:tc>
        <w:tc>
          <w:tcPr>
            <w:tcW w:w="1882" w:type="dxa"/>
            <w:tcBorders>
              <w:top w:val="nil"/>
              <w:left w:val="nil"/>
              <w:bottom w:val="single" w:color="auto" w:sz="4" w:space="0"/>
              <w:right w:val="single" w:color="auto" w:sz="4" w:space="0"/>
            </w:tcBorders>
            <w:noWrap w:val="0"/>
            <w:vAlign w:val="center"/>
          </w:tcPr>
          <w:p w14:paraId="41F46342">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其他</w:t>
            </w:r>
          </w:p>
        </w:tc>
        <w:tc>
          <w:tcPr>
            <w:tcW w:w="930" w:type="dxa"/>
            <w:tcBorders>
              <w:top w:val="nil"/>
              <w:left w:val="nil"/>
              <w:bottom w:val="single" w:color="auto" w:sz="4" w:space="0"/>
              <w:right w:val="single" w:color="auto" w:sz="4" w:space="0"/>
            </w:tcBorders>
            <w:noWrap w:val="0"/>
            <w:vAlign w:val="center"/>
          </w:tcPr>
          <w:p w14:paraId="62A37E02">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w:t>
            </w:r>
          </w:p>
        </w:tc>
        <w:tc>
          <w:tcPr>
            <w:tcW w:w="1980" w:type="dxa"/>
            <w:gridSpan w:val="2"/>
            <w:tcBorders>
              <w:top w:val="single" w:color="auto" w:sz="4" w:space="0"/>
              <w:left w:val="nil"/>
              <w:bottom w:val="single" w:color="auto" w:sz="4" w:space="0"/>
              <w:right w:val="single" w:color="auto" w:sz="4" w:space="0"/>
            </w:tcBorders>
            <w:noWrap w:val="0"/>
            <w:vAlign w:val="center"/>
          </w:tcPr>
          <w:p w14:paraId="2FB21470">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930" w:type="dxa"/>
            <w:tcBorders>
              <w:top w:val="nil"/>
              <w:left w:val="nil"/>
              <w:bottom w:val="single" w:color="auto" w:sz="4" w:space="0"/>
              <w:right w:val="single" w:color="auto" w:sz="4" w:space="0"/>
            </w:tcBorders>
            <w:noWrap w:val="0"/>
            <w:vAlign w:val="center"/>
          </w:tcPr>
          <w:p w14:paraId="058BE16C">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960" w:type="dxa"/>
            <w:tcBorders>
              <w:top w:val="nil"/>
              <w:left w:val="nil"/>
              <w:bottom w:val="single" w:color="auto" w:sz="4" w:space="0"/>
              <w:right w:val="single" w:color="auto" w:sz="4" w:space="0"/>
            </w:tcBorders>
            <w:noWrap w:val="0"/>
            <w:vAlign w:val="center"/>
          </w:tcPr>
          <w:p w14:paraId="16C43666">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c>
          <w:tcPr>
            <w:tcW w:w="2485" w:type="dxa"/>
            <w:tcBorders>
              <w:top w:val="nil"/>
              <w:left w:val="nil"/>
              <w:bottom w:val="single" w:color="auto" w:sz="4" w:space="0"/>
              <w:right w:val="single" w:color="auto" w:sz="4" w:space="0"/>
            </w:tcBorders>
            <w:noWrap w:val="0"/>
            <w:vAlign w:val="center"/>
          </w:tcPr>
          <w:p w14:paraId="084C36E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0"/>
                <w:sz w:val="24"/>
                <w:szCs w:val="24"/>
                <w:highlight w:val="none"/>
              </w:rPr>
            </w:pPr>
          </w:p>
        </w:tc>
      </w:tr>
      <w:tr w14:paraId="2644EE30">
        <w:tblPrEx>
          <w:tblCellMar>
            <w:top w:w="0" w:type="dxa"/>
            <w:left w:w="108" w:type="dxa"/>
            <w:bottom w:w="0" w:type="dxa"/>
            <w:right w:w="108" w:type="dxa"/>
          </w:tblCellMar>
        </w:tblPrEx>
        <w:trPr>
          <w:trHeight w:val="575" w:hRule="atLeast"/>
        </w:trPr>
        <w:tc>
          <w:tcPr>
            <w:tcW w:w="480" w:type="dxa"/>
            <w:tcBorders>
              <w:top w:val="nil"/>
              <w:left w:val="single" w:color="auto" w:sz="4" w:space="0"/>
              <w:bottom w:val="single" w:color="auto" w:sz="4" w:space="0"/>
              <w:right w:val="single" w:color="auto" w:sz="4" w:space="0"/>
            </w:tcBorders>
            <w:noWrap w:val="0"/>
            <w:vAlign w:val="center"/>
          </w:tcPr>
          <w:p w14:paraId="0701045B">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10</w:t>
            </w:r>
          </w:p>
        </w:tc>
        <w:tc>
          <w:tcPr>
            <w:tcW w:w="1882" w:type="dxa"/>
            <w:tcBorders>
              <w:top w:val="nil"/>
              <w:left w:val="nil"/>
              <w:bottom w:val="single" w:color="auto" w:sz="4" w:space="0"/>
              <w:right w:val="single" w:color="auto" w:sz="4" w:space="0"/>
            </w:tcBorders>
            <w:noWrap w:val="0"/>
            <w:vAlign w:val="center"/>
          </w:tcPr>
          <w:p w14:paraId="2F0586FA">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合计总价</w:t>
            </w:r>
          </w:p>
        </w:tc>
        <w:tc>
          <w:tcPr>
            <w:tcW w:w="2910" w:type="dxa"/>
            <w:gridSpan w:val="3"/>
            <w:tcBorders>
              <w:top w:val="single" w:color="auto" w:sz="4" w:space="0"/>
              <w:left w:val="nil"/>
              <w:bottom w:val="single" w:color="auto" w:sz="4" w:space="0"/>
              <w:right w:val="single" w:color="auto" w:sz="4" w:space="0"/>
            </w:tcBorders>
            <w:noWrap w:val="0"/>
            <w:vAlign w:val="center"/>
          </w:tcPr>
          <w:p w14:paraId="45564814">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　</w:t>
            </w:r>
          </w:p>
        </w:tc>
        <w:tc>
          <w:tcPr>
            <w:tcW w:w="930" w:type="dxa"/>
            <w:tcBorders>
              <w:top w:val="nil"/>
              <w:left w:val="nil"/>
              <w:bottom w:val="single" w:color="auto" w:sz="4" w:space="0"/>
              <w:right w:val="single" w:color="auto" w:sz="4" w:space="0"/>
            </w:tcBorders>
            <w:noWrap w:val="0"/>
            <w:vAlign w:val="center"/>
          </w:tcPr>
          <w:p w14:paraId="57C8361D">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　</w:t>
            </w:r>
          </w:p>
        </w:tc>
        <w:tc>
          <w:tcPr>
            <w:tcW w:w="960" w:type="dxa"/>
            <w:tcBorders>
              <w:top w:val="nil"/>
              <w:left w:val="nil"/>
              <w:bottom w:val="single" w:color="auto" w:sz="4" w:space="0"/>
              <w:right w:val="single" w:color="auto" w:sz="4" w:space="0"/>
            </w:tcBorders>
            <w:noWrap w:val="0"/>
            <w:vAlign w:val="center"/>
          </w:tcPr>
          <w:p w14:paraId="5E488398">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lang w:val="en-US" w:eastAsia="zh-CN"/>
              </w:rPr>
            </w:pPr>
          </w:p>
        </w:tc>
        <w:tc>
          <w:tcPr>
            <w:tcW w:w="2485" w:type="dxa"/>
            <w:tcBorders>
              <w:top w:val="nil"/>
              <w:left w:val="nil"/>
              <w:bottom w:val="single" w:color="auto" w:sz="4" w:space="0"/>
              <w:right w:val="single" w:color="auto" w:sz="4" w:space="0"/>
            </w:tcBorders>
            <w:noWrap w:val="0"/>
            <w:vAlign w:val="center"/>
          </w:tcPr>
          <w:p w14:paraId="35166E91">
            <w:pPr>
              <w:keepNext w:val="0"/>
              <w:keepLines w:val="0"/>
              <w:pageBreakBefore w:val="0"/>
              <w:widowControl/>
              <w:suppressLineNumbers w:val="0"/>
              <w:kinsoku/>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　</w:t>
            </w:r>
          </w:p>
        </w:tc>
      </w:tr>
    </w:tbl>
    <w:p w14:paraId="03F870B5">
      <w:pPr>
        <w:pStyle w:val="13"/>
        <w:keepNext w:val="0"/>
        <w:keepLines w:val="0"/>
        <w:pageBreakBefore w:val="0"/>
        <w:tabs>
          <w:tab w:val="left" w:pos="180"/>
        </w:tabs>
        <w:kinsoku/>
        <w:overflowPunct/>
        <w:topLinePunct w:val="0"/>
        <w:autoSpaceDE/>
        <w:autoSpaceDN/>
        <w:bidi w:val="0"/>
        <w:adjustRightInd/>
        <w:snapToGrid/>
        <w:spacing w:line="360" w:lineRule="auto"/>
        <w:ind w:firstLine="48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说明：</w:t>
      </w:r>
    </w:p>
    <w:p w14:paraId="0E107BD4">
      <w:pPr>
        <w:keepNext w:val="0"/>
        <w:keepLines w:val="0"/>
        <w:pageBreakBefore w:val="0"/>
        <w:kinsoku/>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000000"/>
          <w:kern w:val="0"/>
          <w:sz w:val="24"/>
          <w:szCs w:val="24"/>
        </w:rPr>
        <w:t>1</w:t>
      </w:r>
      <w:r>
        <w:rPr>
          <w:rFonts w:hint="eastAsia" w:ascii="宋体" w:hAnsi="宋体" w:eastAsia="宋体" w:cs="宋体"/>
          <w:color w:val="000000"/>
          <w:sz w:val="24"/>
          <w:szCs w:val="24"/>
        </w:rPr>
        <w:t>、报价币种为人民币</w:t>
      </w:r>
      <w:r>
        <w:rPr>
          <w:rFonts w:hint="eastAsia" w:ascii="宋体" w:hAnsi="宋体" w:eastAsia="宋体" w:cs="宋体"/>
          <w:color w:val="000000"/>
          <w:kern w:val="0"/>
          <w:sz w:val="24"/>
          <w:szCs w:val="24"/>
        </w:rPr>
        <w:t>；</w:t>
      </w:r>
    </w:p>
    <w:p w14:paraId="250CE22C">
      <w:pPr>
        <w:keepNext w:val="0"/>
        <w:keepLines w:val="0"/>
        <w:pageBreakBefore w:val="0"/>
        <w:widowControl/>
        <w:shd w:val="clear" w:color="auto" w:fill="FFFFFF"/>
        <w:kinsoku/>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2、如果报价表大写金额与小写金额不一致，以大写的金额为准；</w:t>
      </w:r>
    </w:p>
    <w:p w14:paraId="50398657">
      <w:pPr>
        <w:keepNext w:val="0"/>
        <w:keepLines w:val="0"/>
        <w:pageBreakBefore w:val="0"/>
        <w:kinsoku/>
        <w:overflowPunct/>
        <w:topLinePunct w:val="0"/>
        <w:autoSpaceDE/>
        <w:autoSpaceDN/>
        <w:bidi w:val="0"/>
        <w:adjustRightInd/>
        <w:snapToGrid/>
        <w:spacing w:line="360" w:lineRule="auto"/>
        <w:ind w:firstLine="420"/>
        <w:textAlignment w:val="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磋商响应方的报价，应是实施、完成本竞争性磋商项目以及履行磋商文件中约定的所有责任和义务所发生的全部费用。价格为含税全包价，包括药品的采购、防治人工、喷药器械维修、验收等有害生物防治所需一切费用。（磋商代理服务费应分摊在报价中。）其中喷药机、烟雾机、高枝剪等防治器械由采购人提供。</w:t>
      </w:r>
    </w:p>
    <w:p w14:paraId="3397403F">
      <w:pPr>
        <w:keepNext w:val="0"/>
        <w:keepLines w:val="0"/>
        <w:pageBreakBefore w:val="0"/>
        <w:kinsoku/>
        <w:overflowPunct/>
        <w:topLinePunct w:val="0"/>
        <w:autoSpaceDE/>
        <w:autoSpaceDN/>
        <w:bidi w:val="0"/>
        <w:adjustRightInd/>
        <w:snapToGrid/>
        <w:spacing w:line="360" w:lineRule="auto"/>
        <w:ind w:firstLine="420"/>
        <w:textAlignment w:val="auto"/>
        <w:rPr>
          <w:rFonts w:hint="eastAsia" w:ascii="宋体" w:hAnsi="宋体" w:eastAsia="宋体" w:cs="宋体"/>
          <w:b/>
          <w:bCs/>
          <w:color w:val="000000"/>
          <w:sz w:val="24"/>
          <w:szCs w:val="24"/>
        </w:rPr>
      </w:pPr>
      <w:r>
        <w:rPr>
          <w:rFonts w:hint="eastAsia" w:ascii="宋体" w:hAnsi="宋体" w:eastAsia="宋体" w:cs="宋体"/>
          <w:color w:val="000000"/>
          <w:kern w:val="0"/>
          <w:sz w:val="24"/>
          <w:szCs w:val="24"/>
        </w:rPr>
        <w:t>4、合计总价应与初次报价表中的总报价一致。</w:t>
      </w:r>
    </w:p>
    <w:p w14:paraId="47599C61">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（单位盖章）</w:t>
      </w:r>
    </w:p>
    <w:p w14:paraId="29CB53E7">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法人代表或委托代理人：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签字或签章</w:t>
      </w:r>
      <w:r>
        <w:rPr>
          <w:rFonts w:hint="eastAsia" w:ascii="宋体" w:hAnsi="宋体" w:eastAsia="宋体" w:cs="宋体"/>
          <w:color w:val="auto"/>
          <w:sz w:val="24"/>
          <w:szCs w:val="24"/>
          <w:highlight w:val="none"/>
        </w:rPr>
        <w:t>）</w:t>
      </w:r>
    </w:p>
    <w:p w14:paraId="032BB792">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cs="宋体"/>
          <w:b/>
          <w:bCs/>
          <w:color w:val="000000"/>
          <w:sz w:val="24"/>
          <w:szCs w:val="24"/>
          <w:lang w:val="en-US" w:eastAsia="zh-CN"/>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FC74232">
      <w:pPr>
        <w:pageBreakBefore w:val="0"/>
        <w:kinsoku/>
        <w:overflowPunct/>
        <w:topLinePunct w:val="0"/>
        <w:bidi w:val="0"/>
        <w:spacing w:beforeAutospacing="0" w:afterAutospacing="0" w:line="360" w:lineRule="auto"/>
        <w:ind w:left="0" w:leftChars="0" w:right="0"/>
        <w:jc w:val="center"/>
        <w:textAlignment w:val="auto"/>
        <w:rPr>
          <w:rFonts w:hint="eastAsia" w:ascii="宋体" w:hAnsi="宋体" w:eastAsia="宋体" w:cs="宋体"/>
          <w:b/>
          <w:bCs/>
          <w:color w:val="000000"/>
          <w:sz w:val="24"/>
          <w:szCs w:val="24"/>
        </w:rPr>
      </w:pPr>
      <w:r>
        <w:rPr>
          <w:rFonts w:hint="eastAsia" w:ascii="宋体" w:hAnsi="宋体" w:cs="宋体"/>
          <w:b/>
          <w:bCs/>
          <w:color w:val="000000"/>
          <w:sz w:val="24"/>
          <w:szCs w:val="24"/>
          <w:lang w:val="en-US" w:eastAsia="zh-CN"/>
        </w:rPr>
        <w:t>四、</w:t>
      </w:r>
      <w:r>
        <w:rPr>
          <w:rFonts w:hint="eastAsia" w:ascii="宋体" w:hAnsi="宋体" w:eastAsia="宋体" w:cs="宋体"/>
          <w:b/>
          <w:bCs/>
          <w:color w:val="000000"/>
          <w:sz w:val="24"/>
          <w:szCs w:val="24"/>
        </w:rPr>
        <w:t>防治工作组人员、车辆配置一览表</w:t>
      </w:r>
    </w:p>
    <w:p w14:paraId="24B00E52">
      <w:pPr>
        <w:keepNext w:val="0"/>
        <w:keepLines w:val="0"/>
        <w:pageBreakBefore w:val="0"/>
        <w:widowControl w:val="0"/>
        <w:numPr>
          <w:ilvl w:val="0"/>
          <w:numId w:val="0"/>
        </w:numPr>
        <w:kinsoku/>
        <w:wordWrap/>
        <w:overflowPunct/>
        <w:topLinePunct w:val="0"/>
        <w:bidi w:val="0"/>
        <w:snapToGrid/>
        <w:spacing w:line="360" w:lineRule="auto"/>
        <w:jc w:val="both"/>
        <w:textAlignment w:val="auto"/>
        <w:rPr>
          <w:rFonts w:hint="eastAsia" w:ascii="宋体" w:hAnsi="宋体" w:eastAsia="宋体" w:cs="宋体"/>
          <w:b/>
          <w:bCs/>
          <w:color w:val="000000"/>
          <w:sz w:val="24"/>
          <w:szCs w:val="24"/>
        </w:rPr>
      </w:pPr>
    </w:p>
    <w:tbl>
      <w:tblPr>
        <w:tblStyle w:val="1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8"/>
        <w:gridCol w:w="403"/>
        <w:gridCol w:w="1233"/>
        <w:gridCol w:w="300"/>
        <w:gridCol w:w="813"/>
        <w:gridCol w:w="1420"/>
        <w:gridCol w:w="1588"/>
        <w:gridCol w:w="3006"/>
      </w:tblGrid>
      <w:tr w14:paraId="0B13D0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1"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6C5B03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职务</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50E97C44">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姓名</w:t>
            </w:r>
          </w:p>
        </w:tc>
        <w:tc>
          <w:tcPr>
            <w:tcW w:w="1113" w:type="dxa"/>
            <w:gridSpan w:val="2"/>
            <w:tcBorders>
              <w:top w:val="single" w:color="auto" w:sz="4" w:space="0"/>
              <w:left w:val="single" w:color="auto" w:sz="4" w:space="0"/>
              <w:right w:val="single" w:color="auto" w:sz="4" w:space="0"/>
            </w:tcBorders>
            <w:noWrap w:val="0"/>
            <w:vAlign w:val="center"/>
          </w:tcPr>
          <w:p w14:paraId="457CA318">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年龄</w:t>
            </w: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73B1D64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工作范围、职责</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4FA0E934">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其他</w:t>
            </w:r>
          </w:p>
        </w:tc>
      </w:tr>
      <w:tr w14:paraId="299141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5403B095">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40224B3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2C83844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4EAB03FD">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0CE718BF">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2D09E9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9B003E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1CACDC7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50075496">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0DB828B8">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75E08660">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1B1568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7A4AB9E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7886F02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1BC7A51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3FCEB071">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3A0B9F2D">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718D6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51B27E3E">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1C397170">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549A856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7DE4352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53654DE4">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01A02A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64A68A8">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2494B03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6830BF3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73555EF5">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41D5230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75BA9F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57C510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5779B8E6">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460843C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0F9A17DF">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3976A92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52A92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860B34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0760EAB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034290D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16930520">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0289445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5D99D0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1B927DB">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636" w:type="dxa"/>
            <w:gridSpan w:val="2"/>
            <w:tcBorders>
              <w:top w:val="single" w:color="auto" w:sz="4" w:space="0"/>
              <w:left w:val="single" w:color="auto" w:sz="4" w:space="0"/>
              <w:bottom w:val="single" w:color="auto" w:sz="4" w:space="0"/>
              <w:right w:val="single" w:color="auto" w:sz="4" w:space="0"/>
            </w:tcBorders>
            <w:noWrap w:val="0"/>
            <w:vAlign w:val="center"/>
          </w:tcPr>
          <w:p w14:paraId="69F085F6">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1113" w:type="dxa"/>
            <w:gridSpan w:val="2"/>
            <w:tcBorders>
              <w:top w:val="single" w:color="auto" w:sz="4" w:space="0"/>
              <w:left w:val="single" w:color="auto" w:sz="4" w:space="0"/>
              <w:bottom w:val="single" w:color="auto" w:sz="4" w:space="0"/>
              <w:right w:val="single" w:color="auto" w:sz="4" w:space="0"/>
            </w:tcBorders>
            <w:noWrap w:val="0"/>
            <w:vAlign w:val="top"/>
          </w:tcPr>
          <w:p w14:paraId="12D8BBC5">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8" w:type="dxa"/>
            <w:gridSpan w:val="2"/>
            <w:tcBorders>
              <w:top w:val="single" w:color="auto" w:sz="4" w:space="0"/>
              <w:left w:val="single" w:color="auto" w:sz="4" w:space="0"/>
              <w:bottom w:val="single" w:color="auto" w:sz="4" w:space="0"/>
              <w:right w:val="single" w:color="auto" w:sz="4" w:space="0"/>
            </w:tcBorders>
            <w:noWrap w:val="0"/>
            <w:vAlign w:val="center"/>
          </w:tcPr>
          <w:p w14:paraId="3E23AB1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607863E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70DD92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jc w:val="center"/>
        </w:trPr>
        <w:tc>
          <w:tcPr>
            <w:tcW w:w="9771" w:type="dxa"/>
            <w:gridSpan w:val="8"/>
            <w:tcBorders>
              <w:top w:val="single" w:color="auto" w:sz="4" w:space="0"/>
              <w:left w:val="single" w:color="auto" w:sz="4" w:space="0"/>
              <w:bottom w:val="single" w:color="auto" w:sz="4" w:space="0"/>
              <w:right w:val="single" w:color="auto" w:sz="4" w:space="0"/>
            </w:tcBorders>
            <w:noWrap w:val="0"/>
            <w:vAlign w:val="center"/>
          </w:tcPr>
          <w:p w14:paraId="2FAB2614">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p w14:paraId="7B6069B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车辆配置  </w:t>
            </w:r>
          </w:p>
        </w:tc>
      </w:tr>
      <w:tr w14:paraId="6BF0F7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jc w:val="center"/>
        </w:trPr>
        <w:tc>
          <w:tcPr>
            <w:tcW w:w="1411" w:type="dxa"/>
            <w:gridSpan w:val="2"/>
            <w:tcBorders>
              <w:top w:val="single" w:color="auto" w:sz="4" w:space="0"/>
              <w:left w:val="single" w:color="auto" w:sz="4" w:space="0"/>
              <w:bottom w:val="single" w:color="auto" w:sz="4" w:space="0"/>
              <w:right w:val="single" w:color="auto" w:sz="4" w:space="0"/>
            </w:tcBorders>
            <w:noWrap w:val="0"/>
            <w:vAlign w:val="center"/>
          </w:tcPr>
          <w:p w14:paraId="448B870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车辆名称</w:t>
            </w:r>
          </w:p>
        </w:tc>
        <w:tc>
          <w:tcPr>
            <w:tcW w:w="1533" w:type="dxa"/>
            <w:gridSpan w:val="2"/>
            <w:tcBorders>
              <w:top w:val="single" w:color="auto" w:sz="4" w:space="0"/>
              <w:left w:val="single" w:color="auto" w:sz="4" w:space="0"/>
              <w:bottom w:val="single" w:color="auto" w:sz="4" w:space="0"/>
              <w:right w:val="single" w:color="auto" w:sz="4" w:space="0"/>
            </w:tcBorders>
            <w:noWrap w:val="0"/>
            <w:vAlign w:val="center"/>
          </w:tcPr>
          <w:p w14:paraId="0C6A079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配置、参数</w:t>
            </w:r>
          </w:p>
        </w:tc>
        <w:tc>
          <w:tcPr>
            <w:tcW w:w="2233" w:type="dxa"/>
            <w:gridSpan w:val="2"/>
            <w:tcBorders>
              <w:top w:val="single" w:color="auto" w:sz="4" w:space="0"/>
              <w:left w:val="single" w:color="auto" w:sz="4" w:space="0"/>
              <w:bottom w:val="single" w:color="auto" w:sz="4" w:space="0"/>
              <w:right w:val="single" w:color="auto" w:sz="4" w:space="0"/>
            </w:tcBorders>
            <w:noWrap w:val="0"/>
            <w:vAlign w:val="center"/>
          </w:tcPr>
          <w:p w14:paraId="6D20250F">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单位</w:t>
            </w:r>
          </w:p>
        </w:tc>
        <w:tc>
          <w:tcPr>
            <w:tcW w:w="1588" w:type="dxa"/>
            <w:tcBorders>
              <w:top w:val="single" w:color="auto" w:sz="4" w:space="0"/>
              <w:left w:val="single" w:color="auto" w:sz="4" w:space="0"/>
              <w:bottom w:val="single" w:color="auto" w:sz="4" w:space="0"/>
              <w:right w:val="single" w:color="auto" w:sz="4" w:space="0"/>
            </w:tcBorders>
            <w:noWrap w:val="0"/>
            <w:vAlign w:val="center"/>
          </w:tcPr>
          <w:p w14:paraId="6A5C690F">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数量</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3F3157C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其他</w:t>
            </w:r>
          </w:p>
        </w:tc>
      </w:tr>
      <w:tr w14:paraId="2207DF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4" w:hRule="atLeast"/>
          <w:jc w:val="center"/>
        </w:trPr>
        <w:tc>
          <w:tcPr>
            <w:tcW w:w="1411" w:type="dxa"/>
            <w:gridSpan w:val="2"/>
            <w:tcBorders>
              <w:top w:val="single" w:color="auto" w:sz="4" w:space="0"/>
              <w:left w:val="single" w:color="auto" w:sz="4" w:space="0"/>
              <w:bottom w:val="single" w:color="auto" w:sz="4" w:space="0"/>
              <w:right w:val="single" w:color="auto" w:sz="4" w:space="0"/>
            </w:tcBorders>
            <w:noWrap w:val="0"/>
            <w:vAlign w:val="center"/>
          </w:tcPr>
          <w:p w14:paraId="0EAC7D5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533" w:type="dxa"/>
            <w:gridSpan w:val="2"/>
            <w:tcBorders>
              <w:top w:val="single" w:color="auto" w:sz="4" w:space="0"/>
              <w:left w:val="single" w:color="auto" w:sz="4" w:space="0"/>
              <w:bottom w:val="single" w:color="auto" w:sz="4" w:space="0"/>
              <w:right w:val="single" w:color="auto" w:sz="4" w:space="0"/>
            </w:tcBorders>
            <w:noWrap w:val="0"/>
            <w:vAlign w:val="center"/>
          </w:tcPr>
          <w:p w14:paraId="76567763">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2233" w:type="dxa"/>
            <w:gridSpan w:val="2"/>
            <w:tcBorders>
              <w:top w:val="single" w:color="auto" w:sz="4" w:space="0"/>
              <w:left w:val="single" w:color="auto" w:sz="4" w:space="0"/>
              <w:bottom w:val="single" w:color="auto" w:sz="4" w:space="0"/>
              <w:right w:val="single" w:color="auto" w:sz="4" w:space="0"/>
            </w:tcBorders>
            <w:noWrap w:val="0"/>
            <w:vAlign w:val="top"/>
          </w:tcPr>
          <w:p w14:paraId="355BD2FB">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588" w:type="dxa"/>
            <w:tcBorders>
              <w:top w:val="single" w:color="auto" w:sz="4" w:space="0"/>
              <w:left w:val="single" w:color="auto" w:sz="4" w:space="0"/>
              <w:bottom w:val="single" w:color="auto" w:sz="4" w:space="0"/>
              <w:right w:val="single" w:color="auto" w:sz="4" w:space="0"/>
            </w:tcBorders>
            <w:noWrap w:val="0"/>
            <w:vAlign w:val="center"/>
          </w:tcPr>
          <w:p w14:paraId="0755DFC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68A2C057">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r w14:paraId="7D88C4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jc w:val="center"/>
        </w:trPr>
        <w:tc>
          <w:tcPr>
            <w:tcW w:w="9771" w:type="dxa"/>
            <w:gridSpan w:val="8"/>
            <w:tcBorders>
              <w:top w:val="single" w:color="auto" w:sz="4" w:space="0"/>
              <w:left w:val="single" w:color="auto" w:sz="4" w:space="0"/>
              <w:bottom w:val="single" w:color="auto" w:sz="4" w:space="0"/>
              <w:right w:val="single" w:color="auto" w:sz="4" w:space="0"/>
            </w:tcBorders>
            <w:noWrap w:val="0"/>
            <w:vAlign w:val="center"/>
          </w:tcPr>
          <w:p w14:paraId="40A200ED">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w:t>
            </w:r>
          </w:p>
          <w:p w14:paraId="3D06471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药品配置  </w:t>
            </w:r>
          </w:p>
        </w:tc>
      </w:tr>
      <w:tr w14:paraId="098874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jc w:val="center"/>
        </w:trPr>
        <w:tc>
          <w:tcPr>
            <w:tcW w:w="1411" w:type="dxa"/>
            <w:gridSpan w:val="2"/>
            <w:tcBorders>
              <w:top w:val="single" w:color="auto" w:sz="4" w:space="0"/>
              <w:left w:val="single" w:color="auto" w:sz="4" w:space="0"/>
              <w:bottom w:val="single" w:color="auto" w:sz="4" w:space="0"/>
              <w:right w:val="single" w:color="auto" w:sz="4" w:space="0"/>
            </w:tcBorders>
            <w:noWrap w:val="0"/>
            <w:vAlign w:val="center"/>
          </w:tcPr>
          <w:p w14:paraId="45432C0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药品名称</w:t>
            </w:r>
          </w:p>
        </w:tc>
        <w:tc>
          <w:tcPr>
            <w:tcW w:w="1533" w:type="dxa"/>
            <w:gridSpan w:val="2"/>
            <w:tcBorders>
              <w:top w:val="single" w:color="auto" w:sz="4" w:space="0"/>
              <w:left w:val="single" w:color="auto" w:sz="4" w:space="0"/>
              <w:bottom w:val="single" w:color="auto" w:sz="4" w:space="0"/>
              <w:right w:val="single" w:color="auto" w:sz="4" w:space="0"/>
            </w:tcBorders>
            <w:noWrap w:val="0"/>
            <w:vAlign w:val="center"/>
          </w:tcPr>
          <w:p w14:paraId="739FE21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品牌、参数</w:t>
            </w:r>
          </w:p>
        </w:tc>
        <w:tc>
          <w:tcPr>
            <w:tcW w:w="2233" w:type="dxa"/>
            <w:gridSpan w:val="2"/>
            <w:tcBorders>
              <w:top w:val="single" w:color="auto" w:sz="4" w:space="0"/>
              <w:left w:val="single" w:color="auto" w:sz="4" w:space="0"/>
              <w:bottom w:val="single" w:color="auto" w:sz="4" w:space="0"/>
              <w:right w:val="single" w:color="auto" w:sz="4" w:space="0"/>
            </w:tcBorders>
            <w:noWrap w:val="0"/>
            <w:vAlign w:val="center"/>
          </w:tcPr>
          <w:p w14:paraId="66A212FB">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单位</w:t>
            </w:r>
          </w:p>
        </w:tc>
        <w:tc>
          <w:tcPr>
            <w:tcW w:w="1588" w:type="dxa"/>
            <w:tcBorders>
              <w:top w:val="single" w:color="auto" w:sz="4" w:space="0"/>
              <w:left w:val="single" w:color="auto" w:sz="4" w:space="0"/>
              <w:bottom w:val="single" w:color="auto" w:sz="4" w:space="0"/>
              <w:right w:val="single" w:color="auto" w:sz="4" w:space="0"/>
            </w:tcBorders>
            <w:noWrap w:val="0"/>
            <w:vAlign w:val="center"/>
          </w:tcPr>
          <w:p w14:paraId="33211DEF">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数量</w:t>
            </w:r>
          </w:p>
        </w:tc>
        <w:tc>
          <w:tcPr>
            <w:tcW w:w="3006" w:type="dxa"/>
            <w:tcBorders>
              <w:top w:val="single" w:color="auto" w:sz="4" w:space="0"/>
              <w:left w:val="single" w:color="auto" w:sz="4" w:space="0"/>
              <w:bottom w:val="single" w:color="auto" w:sz="4" w:space="0"/>
              <w:right w:val="single" w:color="auto" w:sz="4" w:space="0"/>
            </w:tcBorders>
            <w:noWrap w:val="0"/>
            <w:vAlign w:val="center"/>
          </w:tcPr>
          <w:p w14:paraId="2119F879">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其他</w:t>
            </w:r>
          </w:p>
        </w:tc>
      </w:tr>
      <w:tr w14:paraId="4E7ED0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1411" w:type="dxa"/>
            <w:gridSpan w:val="2"/>
            <w:tcBorders>
              <w:top w:val="single" w:color="auto" w:sz="4" w:space="0"/>
              <w:left w:val="single" w:color="auto" w:sz="4" w:space="0"/>
              <w:bottom w:val="single" w:color="auto" w:sz="4" w:space="0"/>
              <w:right w:val="single" w:color="auto" w:sz="4" w:space="0"/>
            </w:tcBorders>
            <w:noWrap w:val="0"/>
            <w:vAlign w:val="center"/>
          </w:tcPr>
          <w:p w14:paraId="1E2028A2">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533" w:type="dxa"/>
            <w:gridSpan w:val="2"/>
            <w:tcBorders>
              <w:top w:val="single" w:color="auto" w:sz="4" w:space="0"/>
              <w:left w:val="single" w:color="auto" w:sz="4" w:space="0"/>
              <w:bottom w:val="single" w:color="auto" w:sz="4" w:space="0"/>
              <w:right w:val="single" w:color="auto" w:sz="4" w:space="0"/>
            </w:tcBorders>
            <w:noWrap w:val="0"/>
            <w:vAlign w:val="center"/>
          </w:tcPr>
          <w:p w14:paraId="78A26D9A">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2233" w:type="dxa"/>
            <w:gridSpan w:val="2"/>
            <w:tcBorders>
              <w:top w:val="single" w:color="auto" w:sz="4" w:space="0"/>
              <w:left w:val="single" w:color="auto" w:sz="4" w:space="0"/>
              <w:bottom w:val="single" w:color="auto" w:sz="4" w:space="0"/>
              <w:right w:val="single" w:color="auto" w:sz="4" w:space="0"/>
            </w:tcBorders>
            <w:noWrap w:val="0"/>
            <w:vAlign w:val="top"/>
          </w:tcPr>
          <w:p w14:paraId="3025DD70">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1588" w:type="dxa"/>
            <w:tcBorders>
              <w:top w:val="single" w:color="auto" w:sz="4" w:space="0"/>
              <w:left w:val="single" w:color="auto" w:sz="4" w:space="0"/>
              <w:bottom w:val="single" w:color="auto" w:sz="4" w:space="0"/>
              <w:right w:val="single" w:color="auto" w:sz="4" w:space="0"/>
            </w:tcBorders>
            <w:noWrap w:val="0"/>
            <w:vAlign w:val="center"/>
          </w:tcPr>
          <w:p w14:paraId="5A0EE1AB">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c>
          <w:tcPr>
            <w:tcW w:w="3006" w:type="dxa"/>
            <w:tcBorders>
              <w:top w:val="single" w:color="auto" w:sz="4" w:space="0"/>
              <w:left w:val="single" w:color="auto" w:sz="4" w:space="0"/>
              <w:bottom w:val="single" w:color="auto" w:sz="4" w:space="0"/>
              <w:right w:val="single" w:color="auto" w:sz="4" w:space="0"/>
            </w:tcBorders>
            <w:noWrap w:val="0"/>
            <w:vAlign w:val="center"/>
          </w:tcPr>
          <w:p w14:paraId="1AEDC55C">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宋体" w:hAnsi="宋体" w:eastAsia="宋体" w:cs="宋体"/>
                <w:color w:val="000000"/>
                <w:sz w:val="24"/>
                <w:szCs w:val="24"/>
              </w:rPr>
            </w:pPr>
          </w:p>
        </w:tc>
      </w:tr>
    </w:tbl>
    <w:p w14:paraId="0AD015DF">
      <w:pPr>
        <w:keepNext w:val="0"/>
        <w:keepLines w:val="0"/>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注：本表供应商可自拟格式。</w:t>
      </w:r>
    </w:p>
    <w:p w14:paraId="7D8E6F31">
      <w:pPr>
        <w:keepNext w:val="0"/>
        <w:keepLines w:val="0"/>
        <w:pageBreakBefore w:val="0"/>
        <w:widowControl w:val="0"/>
        <w:tabs>
          <w:tab w:val="left" w:pos="0"/>
          <w:tab w:val="left" w:pos="720"/>
          <w:tab w:val="left" w:pos="1440"/>
          <w:tab w:val="left" w:pos="2160"/>
          <w:tab w:val="left" w:pos="2880"/>
          <w:tab w:val="left" w:pos="3600"/>
          <w:tab w:val="left" w:pos="4320"/>
        </w:tabs>
        <w:kinsoku/>
        <w:overflowPunct/>
        <w:topLinePunct w:val="0"/>
        <w:autoSpaceDE w:val="0"/>
        <w:autoSpaceDN w:val="0"/>
        <w:bidi w:val="0"/>
        <w:adjustRightInd w:val="0"/>
        <w:snapToGrid/>
        <w:spacing w:line="360" w:lineRule="auto"/>
        <w:textAlignment w:val="auto"/>
        <w:rPr>
          <w:rFonts w:hint="eastAsia" w:ascii="宋体" w:hAnsi="宋体" w:eastAsia="宋体" w:cs="宋体"/>
          <w:color w:val="000000"/>
          <w:sz w:val="24"/>
          <w:szCs w:val="24"/>
        </w:rPr>
      </w:pPr>
    </w:p>
    <w:p w14:paraId="6134F60D">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rPr>
        <w:t>供应商：</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（单位盖章）</w:t>
      </w:r>
    </w:p>
    <w:p w14:paraId="00985BE6">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681EFC1F">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法人代表或委托代理人：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签字或签章</w:t>
      </w:r>
      <w:r>
        <w:rPr>
          <w:rFonts w:hint="eastAsia" w:ascii="宋体" w:hAnsi="宋体" w:eastAsia="宋体" w:cs="宋体"/>
          <w:color w:val="auto"/>
          <w:sz w:val="24"/>
          <w:szCs w:val="24"/>
          <w:highlight w:val="none"/>
        </w:rPr>
        <w:t>）</w:t>
      </w:r>
    </w:p>
    <w:p w14:paraId="081588FE">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5640718B">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1D79F4F">
      <w:pPr>
        <w:spacing w:line="600" w:lineRule="auto"/>
        <w:jc w:val="both"/>
        <w:rPr>
          <w:rFonts w:hint="eastAsia" w:ascii="宋体"/>
          <w:b/>
          <w:color w:val="000000"/>
          <w:sz w:val="24"/>
          <w:szCs w:val="24"/>
          <w:lang w:val="en-US" w:eastAsia="zh-CN"/>
        </w:rPr>
      </w:pPr>
    </w:p>
    <w:p w14:paraId="7F87FB53">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五、</w:t>
      </w:r>
      <w:r>
        <w:rPr>
          <w:rFonts w:hint="eastAsia" w:ascii="宋体" w:hAnsi="宋体" w:eastAsia="宋体" w:cs="宋体"/>
          <w:b/>
          <w:color w:val="000000"/>
          <w:sz w:val="24"/>
          <w:szCs w:val="24"/>
        </w:rPr>
        <w:t>偏离表</w:t>
      </w:r>
    </w:p>
    <w:p w14:paraId="63DB4AA0">
      <w:pPr>
        <w:keepNext w:val="0"/>
        <w:keepLines w:val="0"/>
        <w:pageBreakBefore w:val="0"/>
        <w:widowControl w:val="0"/>
        <w:tabs>
          <w:tab w:val="left" w:pos="0"/>
          <w:tab w:val="left" w:pos="720"/>
          <w:tab w:val="left" w:pos="1440"/>
          <w:tab w:val="left" w:pos="2160"/>
          <w:tab w:val="left" w:pos="2880"/>
          <w:tab w:val="left" w:pos="3600"/>
          <w:tab w:val="left" w:pos="4320"/>
        </w:tabs>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color w:val="000000"/>
          <w:sz w:val="24"/>
          <w:szCs w:val="24"/>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2336"/>
        <w:gridCol w:w="2023"/>
        <w:gridCol w:w="2883"/>
        <w:gridCol w:w="1608"/>
      </w:tblGrid>
      <w:tr w14:paraId="78ACE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exact"/>
          <w:jc w:val="center"/>
        </w:trPr>
        <w:tc>
          <w:tcPr>
            <w:tcW w:w="888" w:type="dxa"/>
            <w:noWrap w:val="0"/>
            <w:vAlign w:val="center"/>
          </w:tcPr>
          <w:p w14:paraId="3A36A623">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2336" w:type="dxa"/>
            <w:noWrap w:val="0"/>
            <w:vAlign w:val="center"/>
          </w:tcPr>
          <w:p w14:paraId="3B0DC5C4">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偏差内容</w:t>
            </w:r>
          </w:p>
        </w:tc>
        <w:tc>
          <w:tcPr>
            <w:tcW w:w="2023" w:type="dxa"/>
            <w:noWrap w:val="0"/>
            <w:vAlign w:val="center"/>
          </w:tcPr>
          <w:p w14:paraId="09895B7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磋商文件要求</w:t>
            </w:r>
          </w:p>
        </w:tc>
        <w:tc>
          <w:tcPr>
            <w:tcW w:w="2883" w:type="dxa"/>
            <w:noWrap w:val="0"/>
            <w:vAlign w:val="center"/>
          </w:tcPr>
          <w:p w14:paraId="6142BC7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磋商响应文件实际情况</w:t>
            </w:r>
          </w:p>
        </w:tc>
        <w:tc>
          <w:tcPr>
            <w:tcW w:w="1608" w:type="dxa"/>
            <w:noWrap w:val="0"/>
            <w:vAlign w:val="center"/>
          </w:tcPr>
          <w:p w14:paraId="0DCC8615">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备注</w:t>
            </w:r>
          </w:p>
        </w:tc>
      </w:tr>
      <w:tr w14:paraId="27A02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0" w:hRule="exact"/>
          <w:jc w:val="center"/>
        </w:trPr>
        <w:tc>
          <w:tcPr>
            <w:tcW w:w="888" w:type="dxa"/>
            <w:noWrap w:val="0"/>
            <w:vAlign w:val="center"/>
          </w:tcPr>
          <w:p w14:paraId="60841E66">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2336" w:type="dxa"/>
            <w:noWrap w:val="0"/>
            <w:vAlign w:val="center"/>
          </w:tcPr>
          <w:p w14:paraId="0399459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permStart w:id="0" w:edGrp="everyone"/>
            <w:permEnd w:id="0"/>
          </w:p>
        </w:tc>
        <w:tc>
          <w:tcPr>
            <w:tcW w:w="2023" w:type="dxa"/>
            <w:noWrap w:val="0"/>
            <w:vAlign w:val="center"/>
          </w:tcPr>
          <w:p w14:paraId="4E7352C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permStart w:id="1" w:edGrp="everyone"/>
            <w:permEnd w:id="1"/>
          </w:p>
        </w:tc>
        <w:tc>
          <w:tcPr>
            <w:tcW w:w="2883" w:type="dxa"/>
            <w:noWrap w:val="0"/>
            <w:vAlign w:val="center"/>
          </w:tcPr>
          <w:p w14:paraId="4BABF0D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permStart w:id="2" w:edGrp="everyone"/>
            <w:permEnd w:id="2"/>
          </w:p>
        </w:tc>
        <w:tc>
          <w:tcPr>
            <w:tcW w:w="1608" w:type="dxa"/>
            <w:noWrap w:val="0"/>
            <w:vAlign w:val="center"/>
          </w:tcPr>
          <w:p w14:paraId="44F58494">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permStart w:id="3" w:edGrp="everyone"/>
            <w:permEnd w:id="3"/>
          </w:p>
          <w:p w14:paraId="18FEF208">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sz w:val="24"/>
                <w:szCs w:val="24"/>
              </w:rPr>
            </w:pPr>
          </w:p>
        </w:tc>
      </w:tr>
    </w:tbl>
    <w:p w14:paraId="7598FB33">
      <w:pPr>
        <w:tabs>
          <w:tab w:val="left" w:pos="0"/>
          <w:tab w:val="left" w:pos="720"/>
          <w:tab w:val="left" w:pos="1440"/>
          <w:tab w:val="left" w:pos="2160"/>
          <w:tab w:val="left" w:pos="2880"/>
          <w:tab w:val="left" w:pos="3600"/>
          <w:tab w:val="left" w:pos="4320"/>
        </w:tabs>
        <w:autoSpaceDE w:val="0"/>
        <w:autoSpaceDN w:val="0"/>
        <w:adjustRightInd w:val="0"/>
        <w:spacing w:line="240" w:lineRule="atLeast"/>
        <w:rPr>
          <w:rFonts w:hint="eastAsia" w:ascii="宋体" w:hAnsi="宋体"/>
          <w:color w:val="000000"/>
          <w:sz w:val="24"/>
          <w:szCs w:val="24"/>
        </w:rPr>
      </w:pPr>
    </w:p>
    <w:p w14:paraId="51DE3055">
      <w:pPr>
        <w:widowControl/>
        <w:spacing w:line="360" w:lineRule="atLeast"/>
        <w:rPr>
          <w:rFonts w:hint="eastAsia" w:ascii="宋体" w:hAnsi="宋体" w:cs="宋体"/>
          <w:color w:val="000000"/>
          <w:kern w:val="0"/>
          <w:sz w:val="24"/>
          <w:szCs w:val="24"/>
        </w:rPr>
      </w:pPr>
      <w:r>
        <w:rPr>
          <w:rFonts w:hint="eastAsia" w:ascii="宋体" w:hAnsi="宋体" w:cs="宋体"/>
          <w:color w:val="000000"/>
          <w:kern w:val="0"/>
          <w:sz w:val="24"/>
          <w:szCs w:val="24"/>
        </w:rPr>
        <w:t>注：1</w:t>
      </w:r>
      <w:r>
        <w:rPr>
          <w:rFonts w:hint="eastAsia" w:ascii="宋体" w:hAnsi="宋体" w:cs="宋体"/>
          <w:color w:val="000000"/>
          <w:kern w:val="0"/>
          <w:sz w:val="24"/>
          <w:szCs w:val="24"/>
          <w:lang w:eastAsia="zh-CN"/>
        </w:rPr>
        <w:t>、</w:t>
      </w:r>
      <w:r>
        <w:rPr>
          <w:rFonts w:hint="eastAsia" w:ascii="宋体" w:hAnsi="宋体" w:cs="宋体"/>
          <w:color w:val="000000"/>
          <w:kern w:val="0"/>
          <w:sz w:val="24"/>
          <w:szCs w:val="24"/>
        </w:rPr>
        <w:t>磋商响应方提交的磋商响应文件中与采购文件的技术部分的要求有不同时，应逐条列在偏离表中，否则将认为磋商响应方接受采购文件的要求。</w:t>
      </w:r>
    </w:p>
    <w:p w14:paraId="14073588">
      <w:pPr>
        <w:widowControl/>
        <w:numPr>
          <w:ilvl w:val="0"/>
          <w:numId w:val="0"/>
        </w:numPr>
        <w:spacing w:line="360" w:lineRule="atLeast"/>
        <w:ind w:firstLine="480" w:firstLineChars="200"/>
        <w:rPr>
          <w:rFonts w:hint="eastAsia" w:ascii="宋体" w:hAnsi="宋体" w:cs="宋体"/>
          <w:color w:val="000000"/>
          <w:kern w:val="0"/>
          <w:sz w:val="24"/>
          <w:szCs w:val="24"/>
        </w:rPr>
      </w:pPr>
      <w:r>
        <w:rPr>
          <w:rFonts w:hint="eastAsia" w:ascii="宋体" w:hAnsi="宋体" w:cs="宋体"/>
          <w:color w:val="000000"/>
          <w:kern w:val="0"/>
          <w:sz w:val="24"/>
          <w:szCs w:val="24"/>
          <w:lang w:val="en-US" w:eastAsia="zh-CN"/>
        </w:rPr>
        <w:t>2、</w:t>
      </w:r>
      <w:r>
        <w:rPr>
          <w:rFonts w:hint="eastAsia" w:ascii="宋体" w:hAnsi="宋体" w:cs="宋体"/>
          <w:color w:val="000000"/>
          <w:kern w:val="0"/>
          <w:sz w:val="24"/>
          <w:szCs w:val="24"/>
        </w:rPr>
        <w:t>磋商响应方应按本表所列项如实填写所报产品技术参数，若存在虚假一经查实按无效磋商响应文件处理。</w:t>
      </w:r>
    </w:p>
    <w:p w14:paraId="49E5C9B0">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38ED8B63">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rPr>
        <w:t>供应商：</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（单位盖章）</w:t>
      </w:r>
    </w:p>
    <w:p w14:paraId="221DAA04">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57A139EE">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法人代表或委托代理人：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签字或签章</w:t>
      </w:r>
      <w:r>
        <w:rPr>
          <w:rFonts w:hint="eastAsia" w:ascii="宋体" w:hAnsi="宋体" w:eastAsia="宋体" w:cs="宋体"/>
          <w:color w:val="auto"/>
          <w:sz w:val="24"/>
          <w:szCs w:val="24"/>
          <w:highlight w:val="none"/>
        </w:rPr>
        <w:t>）</w:t>
      </w:r>
    </w:p>
    <w:p w14:paraId="35C5822E">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3A588B63">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38DFF7F3">
      <w:pPr>
        <w:widowControl/>
        <w:numPr>
          <w:ilvl w:val="0"/>
          <w:numId w:val="0"/>
        </w:numPr>
        <w:spacing w:line="360" w:lineRule="atLeast"/>
        <w:rPr>
          <w:rFonts w:hint="eastAsia" w:ascii="宋体" w:hAnsi="宋体" w:cs="宋体"/>
          <w:color w:val="000000"/>
          <w:kern w:val="0"/>
          <w:sz w:val="24"/>
          <w:szCs w:val="24"/>
        </w:rPr>
      </w:pPr>
    </w:p>
    <w:p w14:paraId="2D6C0A08">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1E35E4D">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190F200">
      <w:pPr>
        <w:pStyle w:val="5"/>
        <w:keepNext w:val="0"/>
        <w:keepLines w:val="0"/>
        <w:pageBreakBefore w:val="0"/>
        <w:widowControl w:val="0"/>
        <w:kinsoku/>
        <w:overflowPunct/>
        <w:topLinePunct w:val="0"/>
        <w:autoSpaceDE/>
        <w:autoSpaceDN/>
        <w:bidi w:val="0"/>
        <w:snapToGrid/>
        <w:spacing w:line="360" w:lineRule="auto"/>
        <w:ind w:left="84" w:leftChars="40"/>
        <w:jc w:val="center"/>
        <w:rPr>
          <w:rFonts w:hint="eastAsia" w:ascii="宋体"/>
          <w:b/>
          <w:bCs/>
          <w:color w:val="000000"/>
          <w:sz w:val="24"/>
          <w:szCs w:val="24"/>
        </w:rPr>
      </w:pPr>
      <w:r>
        <w:rPr>
          <w:rFonts w:hint="eastAsia" w:ascii="宋体"/>
          <w:b/>
          <w:bCs/>
          <w:color w:val="000000"/>
          <w:sz w:val="24"/>
          <w:szCs w:val="24"/>
          <w:lang w:val="en-US" w:eastAsia="zh-CN"/>
        </w:rPr>
        <w:t>六、</w:t>
      </w:r>
      <w:r>
        <w:rPr>
          <w:rFonts w:hint="eastAsia" w:ascii="宋体"/>
          <w:b/>
          <w:bCs/>
          <w:color w:val="000000"/>
          <w:sz w:val="24"/>
          <w:szCs w:val="24"/>
        </w:rPr>
        <w:t>有害生物承包防控实施方案</w:t>
      </w:r>
    </w:p>
    <w:p w14:paraId="0579781E">
      <w:pPr>
        <w:pStyle w:val="5"/>
        <w:keepNext w:val="0"/>
        <w:keepLines w:val="0"/>
        <w:pageBreakBefore w:val="0"/>
        <w:widowControl w:val="0"/>
        <w:kinsoku/>
        <w:overflowPunct/>
        <w:topLinePunct w:val="0"/>
        <w:autoSpaceDE/>
        <w:autoSpaceDN/>
        <w:bidi w:val="0"/>
        <w:snapToGrid/>
        <w:spacing w:line="360" w:lineRule="auto"/>
        <w:ind w:firstLine="720" w:firstLineChars="300"/>
        <w:rPr>
          <w:rFonts w:hint="eastAsia" w:ascii="宋体"/>
          <w:color w:val="000000"/>
          <w:sz w:val="24"/>
          <w:szCs w:val="24"/>
        </w:rPr>
      </w:pPr>
    </w:p>
    <w:p w14:paraId="4BAFB38C">
      <w:pPr>
        <w:pStyle w:val="5"/>
        <w:keepNext w:val="0"/>
        <w:keepLines w:val="0"/>
        <w:pageBreakBefore w:val="0"/>
        <w:widowControl w:val="0"/>
        <w:kinsoku/>
        <w:overflowPunct/>
        <w:topLinePunct w:val="0"/>
        <w:autoSpaceDE/>
        <w:autoSpaceDN/>
        <w:bidi w:val="0"/>
        <w:snapToGrid/>
        <w:spacing w:line="360" w:lineRule="auto"/>
        <w:ind w:firstLine="720" w:firstLineChars="300"/>
        <w:rPr>
          <w:rFonts w:hint="eastAsia" w:ascii="宋体"/>
          <w:color w:val="000000"/>
          <w:sz w:val="24"/>
          <w:szCs w:val="24"/>
        </w:rPr>
      </w:pPr>
      <w:r>
        <w:rPr>
          <w:rFonts w:hint="eastAsia" w:ascii="宋体"/>
          <w:color w:val="000000"/>
          <w:sz w:val="24"/>
          <w:szCs w:val="24"/>
        </w:rPr>
        <w:t>主要内容应包括：</w:t>
      </w:r>
    </w:p>
    <w:p w14:paraId="208566A2">
      <w:pPr>
        <w:pStyle w:val="5"/>
        <w:keepNext w:val="0"/>
        <w:keepLines w:val="0"/>
        <w:pageBreakBefore w:val="0"/>
        <w:widowControl w:val="0"/>
        <w:kinsoku/>
        <w:overflowPunct/>
        <w:topLinePunct w:val="0"/>
        <w:autoSpaceDE/>
        <w:autoSpaceDN/>
        <w:bidi w:val="0"/>
        <w:snapToGrid/>
        <w:spacing w:line="360" w:lineRule="auto"/>
        <w:ind w:left="84" w:leftChars="40" w:firstLine="422"/>
        <w:rPr>
          <w:rFonts w:hint="eastAsia" w:ascii="宋体"/>
          <w:b/>
          <w:color w:val="000000"/>
          <w:sz w:val="24"/>
          <w:szCs w:val="24"/>
        </w:rPr>
      </w:pPr>
      <w:r>
        <w:rPr>
          <w:rFonts w:hint="eastAsia" w:ascii="宋体"/>
          <w:b/>
          <w:color w:val="000000"/>
          <w:sz w:val="24"/>
          <w:szCs w:val="24"/>
        </w:rPr>
        <w:t>供应商应根据磋商文件要求和对本项目区域的勘察情况，参考以下要点（不限于此）编制本项目的</w:t>
      </w:r>
      <w:r>
        <w:rPr>
          <w:rFonts w:hint="eastAsia" w:ascii="宋体" w:hAnsi="宋体"/>
          <w:b/>
          <w:color w:val="000000"/>
          <w:sz w:val="24"/>
          <w:szCs w:val="24"/>
        </w:rPr>
        <w:t>药剂计划、有害生物的监测方案与措施等</w:t>
      </w:r>
      <w:r>
        <w:rPr>
          <w:rFonts w:hint="eastAsia" w:ascii="宋体"/>
          <w:b/>
          <w:color w:val="000000"/>
          <w:sz w:val="24"/>
          <w:szCs w:val="24"/>
        </w:rPr>
        <w:t>有害生物防控方案。</w:t>
      </w:r>
    </w:p>
    <w:p w14:paraId="5D672D0C">
      <w:pPr>
        <w:keepNext w:val="0"/>
        <w:keepLines w:val="0"/>
        <w:pageBreakBefore w:val="0"/>
        <w:widowControl w:val="0"/>
        <w:kinsoku/>
        <w:overflowPunct/>
        <w:topLinePunct w:val="0"/>
        <w:autoSpaceDE/>
        <w:autoSpaceDN/>
        <w:bidi w:val="0"/>
        <w:snapToGrid/>
        <w:spacing w:line="360" w:lineRule="auto"/>
        <w:ind w:firstLine="480" w:firstLineChars="200"/>
        <w:jc w:val="center"/>
        <w:rPr>
          <w:rFonts w:hint="eastAsia" w:ascii="宋体"/>
          <w:color w:val="000000"/>
          <w:sz w:val="24"/>
        </w:rPr>
      </w:pPr>
    </w:p>
    <w:p w14:paraId="2238CA00">
      <w:pPr>
        <w:keepNext w:val="0"/>
        <w:keepLines w:val="0"/>
        <w:pageBreakBefore w:val="0"/>
        <w:widowControl w:val="0"/>
        <w:kinsoku/>
        <w:overflowPunct/>
        <w:topLinePunct w:val="0"/>
        <w:autoSpaceDE/>
        <w:autoSpaceDN/>
        <w:bidi w:val="0"/>
        <w:snapToGrid/>
        <w:spacing w:line="360" w:lineRule="auto"/>
        <w:ind w:firstLine="480" w:firstLineChars="200"/>
        <w:jc w:val="center"/>
        <w:rPr>
          <w:rFonts w:hint="eastAsia" w:hAnsi="宋体" w:cs="宋体"/>
          <w:color w:val="000000"/>
          <w:sz w:val="24"/>
        </w:rPr>
      </w:pPr>
      <w:r>
        <w:rPr>
          <w:rFonts w:hint="eastAsia" w:ascii="宋体"/>
          <w:color w:val="000000"/>
          <w:sz w:val="24"/>
        </w:rPr>
        <w:t>由响应方自行书写</w:t>
      </w:r>
    </w:p>
    <w:p w14:paraId="0D5121F6">
      <w:pPr>
        <w:pStyle w:val="5"/>
        <w:keepNext w:val="0"/>
        <w:keepLines w:val="0"/>
        <w:pageBreakBefore w:val="0"/>
        <w:widowControl w:val="0"/>
        <w:kinsoku/>
        <w:overflowPunct/>
        <w:topLinePunct w:val="0"/>
        <w:autoSpaceDE/>
        <w:autoSpaceDN/>
        <w:bidi w:val="0"/>
        <w:snapToGrid/>
        <w:spacing w:line="360" w:lineRule="auto"/>
        <w:ind w:left="84" w:leftChars="40" w:firstLine="422"/>
        <w:rPr>
          <w:rFonts w:hint="eastAsia" w:ascii="宋体"/>
          <w:b/>
          <w:color w:val="000000"/>
          <w:sz w:val="24"/>
          <w:szCs w:val="24"/>
        </w:rPr>
      </w:pPr>
    </w:p>
    <w:p w14:paraId="562B149C">
      <w:pPr>
        <w:pStyle w:val="5"/>
        <w:keepNext w:val="0"/>
        <w:keepLines w:val="0"/>
        <w:pageBreakBefore w:val="0"/>
        <w:widowControl w:val="0"/>
        <w:kinsoku/>
        <w:overflowPunct/>
        <w:topLinePunct w:val="0"/>
        <w:autoSpaceDE/>
        <w:autoSpaceDN/>
        <w:bidi w:val="0"/>
        <w:snapToGrid/>
        <w:spacing w:line="360" w:lineRule="auto"/>
        <w:ind w:left="84" w:leftChars="40" w:firstLine="422"/>
        <w:rPr>
          <w:rFonts w:hint="eastAsia" w:ascii="宋体"/>
          <w:b/>
          <w:color w:val="000000"/>
          <w:sz w:val="24"/>
          <w:szCs w:val="24"/>
        </w:rPr>
      </w:pPr>
    </w:p>
    <w:p w14:paraId="4CB2AA89">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065E746C">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129475F9">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4AD21A8D">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2FE3D41D">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10AEBF85">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5F549232">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1EFFF48D">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44517DF0">
      <w:pPr>
        <w:keepNext w:val="0"/>
        <w:keepLines w:val="0"/>
        <w:pageBreakBefore w:val="0"/>
        <w:widowControl w:val="0"/>
        <w:kinsoku/>
        <w:overflowPunct/>
        <w:topLinePunct w:val="0"/>
        <w:autoSpaceDE/>
        <w:autoSpaceDN/>
        <w:bidi w:val="0"/>
        <w:snapToGrid/>
        <w:spacing w:line="360" w:lineRule="auto"/>
        <w:rPr>
          <w:rFonts w:ascii="宋体"/>
          <w:bCs/>
          <w:color w:val="000000"/>
          <w:sz w:val="24"/>
        </w:rPr>
      </w:pPr>
    </w:p>
    <w:p w14:paraId="39F7B56E">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rPr>
        <w:t>供应商：</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（单位盖章）</w:t>
      </w:r>
    </w:p>
    <w:p w14:paraId="46AC563A">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07207748">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法人代表或委托代理人：</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签字或签章</w:t>
      </w:r>
      <w:r>
        <w:rPr>
          <w:rFonts w:hint="eastAsia" w:ascii="宋体" w:hAnsi="宋体" w:eastAsia="宋体" w:cs="宋体"/>
          <w:color w:val="auto"/>
          <w:sz w:val="24"/>
          <w:szCs w:val="24"/>
          <w:highlight w:val="none"/>
        </w:rPr>
        <w:t>）</w:t>
      </w:r>
    </w:p>
    <w:p w14:paraId="1EC3BB85">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p>
    <w:p w14:paraId="736DB56A">
      <w:pPr>
        <w:keepNext w:val="0"/>
        <w:keepLines w:val="0"/>
        <w:pageBreakBefore w:val="0"/>
        <w:widowControl w:val="0"/>
        <w:kinsoku/>
        <w:overflowPunct/>
        <w:topLinePunct w:val="0"/>
        <w:autoSpaceDE/>
        <w:autoSpaceDN/>
        <w:bidi w:val="0"/>
        <w:adjustRightInd/>
        <w:snapToGrid/>
        <w:spacing w:beforeAutospacing="0" w:afterAutospacing="0" w:line="360" w:lineRule="auto"/>
        <w:ind w:left="0" w:leftChars="0" w:right="0" w:firstLine="480" w:firstLineChars="200"/>
        <w:jc w:val="righ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D5A8C6F">
      <w:pPr>
        <w:keepNext w:val="0"/>
        <w:keepLines w:val="0"/>
        <w:pageBreakBefore w:val="0"/>
        <w:widowControl w:val="0"/>
        <w:kinsoku/>
        <w:overflowPunct/>
        <w:topLinePunct w:val="0"/>
        <w:autoSpaceDE/>
        <w:autoSpaceDN/>
        <w:bidi w:val="0"/>
        <w:snapToGrid/>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DBA5279">
      <w:pPr>
        <w:keepNext w:val="0"/>
        <w:keepLines w:val="0"/>
        <w:pageBreakBefore w:val="0"/>
        <w:widowControl w:val="0"/>
        <w:kinsoku/>
        <w:overflowPunct/>
        <w:topLinePunct w:val="0"/>
        <w:autoSpaceDE/>
        <w:autoSpaceDN/>
        <w:bidi w:val="0"/>
        <w:snapToGrid/>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9879180">
      <w:pPr>
        <w:keepNext w:val="0"/>
        <w:keepLines w:val="0"/>
        <w:pageBreakBefore w:val="0"/>
        <w:widowControl w:val="0"/>
        <w:kinsoku/>
        <w:overflowPunct/>
        <w:topLinePunct w:val="0"/>
        <w:autoSpaceDE/>
        <w:autoSpaceDN/>
        <w:bidi w:val="0"/>
        <w:snapToGrid/>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D915814">
      <w:pPr>
        <w:keepNext w:val="0"/>
        <w:keepLines w:val="0"/>
        <w:pageBreakBefore w:val="0"/>
        <w:widowControl w:val="0"/>
        <w:kinsoku/>
        <w:overflowPunct/>
        <w:topLinePunct w:val="0"/>
        <w:autoSpaceDE/>
        <w:autoSpaceDN/>
        <w:bidi w:val="0"/>
        <w:snapToGrid/>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21E42490">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08D4328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8C5481B">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6B9B3EC">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8FE1869">
      <w:pPr>
        <w:pStyle w:val="25"/>
        <w:spacing w:before="240" w:beforeLines="100" w:after="240" w:afterLines="100" w:line="360" w:lineRule="auto"/>
        <w:jc w:val="center"/>
        <w:outlineLvl w:val="9"/>
        <w:rPr>
          <w:rFonts w:hint="eastAsia" w:hAnsi="宋体" w:cs="宋体"/>
          <w:b/>
          <w:color w:val="000000"/>
          <w:sz w:val="24"/>
          <w:szCs w:val="24"/>
        </w:rPr>
      </w:pPr>
      <w:bookmarkStart w:id="45" w:name="_Toc18321"/>
      <w:r>
        <w:rPr>
          <w:rFonts w:hint="eastAsia" w:hAnsi="宋体" w:cs="宋体"/>
          <w:b/>
          <w:color w:val="000000"/>
          <w:sz w:val="24"/>
          <w:szCs w:val="24"/>
          <w:lang w:val="en-US" w:eastAsia="zh-CN"/>
        </w:rPr>
        <w:t>七、</w:t>
      </w:r>
      <w:r>
        <w:rPr>
          <w:rFonts w:hint="eastAsia" w:hAnsi="宋体" w:cs="宋体"/>
          <w:b/>
          <w:color w:val="000000"/>
          <w:sz w:val="24"/>
          <w:szCs w:val="24"/>
        </w:rPr>
        <w:t>磋商响应方的资格证明文件</w:t>
      </w:r>
      <w:bookmarkEnd w:id="45"/>
    </w:p>
    <w:p w14:paraId="37C25D97">
      <w:pPr>
        <w:pStyle w:val="26"/>
        <w:keepNext w:val="0"/>
        <w:keepLines w:val="0"/>
        <w:pageBreakBefore w:val="0"/>
        <w:widowControl/>
        <w:kinsoku/>
        <w:wordWrap/>
        <w:overflowPunct/>
        <w:topLinePunct w:val="0"/>
        <w:autoSpaceDE/>
        <w:autoSpaceDN/>
        <w:bidi w:val="0"/>
        <w:adjustRightInd/>
        <w:snapToGrid/>
        <w:spacing w:line="360" w:lineRule="auto"/>
        <w:ind w:right="482" w:firstLine="480" w:firstLineChars="200"/>
        <w:jc w:val="left"/>
        <w:textAlignment w:val="auto"/>
        <w:rPr>
          <w:rFonts w:hint="eastAsia" w:hAnsi="宋体" w:cs="宋体"/>
          <w:color w:val="000000"/>
          <w:sz w:val="24"/>
          <w:szCs w:val="24"/>
        </w:rPr>
      </w:pPr>
      <w:r>
        <w:rPr>
          <w:rFonts w:hint="eastAsia" w:hAnsi="宋体" w:cs="宋体"/>
          <w:color w:val="000000"/>
          <w:sz w:val="24"/>
          <w:szCs w:val="24"/>
        </w:rPr>
        <w:t>资格审查资料：主要包括提供供应商营业执照（副本原件）复印件（若为具有有害生物防治能力和经验的工程队需提供供应商本人出具的服务能力承诺书原件、供应商本人身份证原件</w:t>
      </w:r>
      <w:r>
        <w:rPr>
          <w:rFonts w:hint="eastAsia" w:hAnsi="宋体" w:cs="宋体"/>
          <w:color w:val="000000"/>
          <w:sz w:val="24"/>
          <w:szCs w:val="24"/>
          <w:lang w:val="en-US" w:eastAsia="zh-CN"/>
        </w:rPr>
        <w:t>等</w:t>
      </w:r>
      <w:r>
        <w:rPr>
          <w:rFonts w:hint="eastAsia" w:hAnsi="宋体" w:cs="宋体"/>
          <w:color w:val="000000"/>
          <w:sz w:val="24"/>
          <w:szCs w:val="24"/>
        </w:rPr>
        <w:t>）</w:t>
      </w:r>
      <w:r>
        <w:rPr>
          <w:rFonts w:hint="eastAsia" w:ascii="宋体" w:hAnsi="宋体" w:cs="黑体"/>
          <w:color w:val="000000"/>
          <w:sz w:val="24"/>
          <w:szCs w:val="24"/>
        </w:rPr>
        <w:t>。</w:t>
      </w:r>
    </w:p>
    <w:p w14:paraId="28A4EA51">
      <w:pPr>
        <w:pStyle w:val="26"/>
        <w:ind w:right="480"/>
        <w:jc w:val="left"/>
        <w:rPr>
          <w:rFonts w:hint="eastAsia"/>
          <w:color w:val="000000"/>
          <w:sz w:val="24"/>
          <w:szCs w:val="24"/>
        </w:rPr>
      </w:pPr>
    </w:p>
    <w:p w14:paraId="3B51737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77259490">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74867F21">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D89D59A">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4422430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0EE9F3FE">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B8A6914">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7F26E6AD">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BE7E7A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71A7F224">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98EED5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47F26D9E">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39F26F1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04EF024C">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3C33F68F">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9CFCC3F">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4C9414F">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30ED649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211B86CA">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7C42F9A1">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0767AEFA">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422817C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14EAD965">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B443C4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6B4C60EB">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p>
    <w:p w14:paraId="55DEC244">
      <w:pPr>
        <w:pageBreakBefore w:val="0"/>
        <w:kinsoku/>
        <w:overflowPunct/>
        <w:topLinePunct w:val="0"/>
        <w:bidi w:val="0"/>
        <w:spacing w:beforeAutospacing="0" w:afterAutospacing="0" w:line="360" w:lineRule="auto"/>
        <w:ind w:left="0" w:leftChars="0" w:right="0"/>
        <w:jc w:val="center"/>
        <w:textAlignment w:val="auto"/>
        <w:rPr>
          <w:rFonts w:hint="eastAsia" w:ascii="宋体" w:hAnsi="宋体" w:eastAsia="宋体" w:cs="宋体"/>
          <w:b/>
          <w:bCs/>
          <w:color w:val="auto"/>
          <w:sz w:val="24"/>
          <w:szCs w:val="24"/>
          <w:highlight w:val="none"/>
        </w:rPr>
      </w:pPr>
      <w:r>
        <w:rPr>
          <w:rFonts w:hint="eastAsia" w:ascii="宋体" w:hAnsi="宋体"/>
          <w:b/>
          <w:bCs/>
          <w:color w:val="000000"/>
          <w:sz w:val="24"/>
          <w:lang w:val="en-US" w:eastAsia="zh-CN"/>
        </w:rPr>
        <w:t>八、</w:t>
      </w:r>
      <w:r>
        <w:rPr>
          <w:rFonts w:hint="eastAsia" w:ascii="宋体" w:hAnsi="宋体"/>
          <w:b/>
          <w:bCs/>
          <w:color w:val="000000"/>
          <w:sz w:val="24"/>
        </w:rPr>
        <w:t>磋商响应方认为需要加以说明的其他内容和需要提供的证明文件</w:t>
      </w:r>
    </w:p>
    <w:p w14:paraId="208EB4D5">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br w:type="page"/>
      </w:r>
      <w:r>
        <w:rPr>
          <w:rFonts w:hint="eastAsia" w:ascii="宋体" w:hAnsi="宋体" w:eastAsia="宋体" w:cs="宋体"/>
          <w:b/>
          <w:bCs/>
          <w:color w:val="auto"/>
          <w:sz w:val="24"/>
          <w:szCs w:val="24"/>
          <w:highlight w:val="none"/>
        </w:rPr>
        <w:t>附件</w:t>
      </w:r>
    </w:p>
    <w:p w14:paraId="62AD3BFA">
      <w:pPr>
        <w:pStyle w:val="3"/>
        <w:pageBreakBefore w:val="0"/>
        <w:kinsoku/>
        <w:overflowPunct/>
        <w:topLinePunct w:val="0"/>
        <w:bidi w:val="0"/>
        <w:spacing w:before="0" w:beforeAutospacing="0" w:after="0" w:afterAutospacing="0" w:line="360" w:lineRule="auto"/>
        <w:ind w:left="0" w:leftChars="0" w:right="0"/>
        <w:jc w:val="center"/>
        <w:textAlignment w:val="auto"/>
        <w:outlineLvl w:val="0"/>
        <w:rPr>
          <w:rFonts w:hint="eastAsia" w:ascii="宋体" w:hAnsi="宋体" w:eastAsia="宋体" w:cs="宋体"/>
          <w:color w:val="auto"/>
          <w:sz w:val="24"/>
          <w:szCs w:val="24"/>
          <w:highlight w:val="none"/>
        </w:rPr>
      </w:pPr>
      <w:bookmarkStart w:id="46" w:name="_Toc10437"/>
      <w:r>
        <w:rPr>
          <w:rFonts w:hint="eastAsia" w:ascii="宋体" w:hAnsi="宋体" w:eastAsia="宋体" w:cs="宋体"/>
          <w:color w:val="auto"/>
          <w:sz w:val="24"/>
          <w:szCs w:val="24"/>
          <w:highlight w:val="none"/>
        </w:rPr>
        <w:t>磋商响应文件密封信封正面格式</w:t>
      </w:r>
      <w:bookmarkEnd w:id="46"/>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4"/>
      </w:tblGrid>
      <w:tr w14:paraId="15312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9234" w:type="dxa"/>
            <w:noWrap w:val="0"/>
            <w:vAlign w:val="top"/>
          </w:tcPr>
          <w:p w14:paraId="1BA98046">
            <w:pPr>
              <w:pageBreakBefore w:val="0"/>
              <w:kinsoku/>
              <w:overflowPunct/>
              <w:topLinePunct w:val="0"/>
              <w:bidi w:val="0"/>
              <w:spacing w:beforeAutospacing="0" w:afterAutospacing="0" w:line="360" w:lineRule="auto"/>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正（副）本</w:t>
            </w:r>
          </w:p>
          <w:p w14:paraId="3A8A9961">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7980D85">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w:t>
            </w:r>
          </w:p>
          <w:p w14:paraId="7B8D47FD">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p>
          <w:p w14:paraId="267C10E3">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5EB1EE9">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6B7B7A8">
            <w:pPr>
              <w:pageBreakBefore w:val="0"/>
              <w:kinsoku/>
              <w:overflowPunct/>
              <w:topLinePunct w:val="0"/>
              <w:bidi w:val="0"/>
              <w:spacing w:beforeAutospacing="0" w:afterAutospacing="0" w:line="360" w:lineRule="auto"/>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tc>
      </w:tr>
    </w:tbl>
    <w:p w14:paraId="72A8FA3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r>
        <w:rPr>
          <w:rFonts w:hint="eastAsia" w:ascii="宋体" w:hAnsi="宋体" w:eastAsia="宋体" w:cs="宋体"/>
          <w:b/>
          <w:bCs/>
          <w:color w:val="auto"/>
          <w:kern w:val="0"/>
          <w:sz w:val="24"/>
          <w:szCs w:val="24"/>
          <w:highlight w:val="none"/>
        </w:rPr>
        <w:t xml:space="preserve"> </w:t>
      </w:r>
      <w:r>
        <w:rPr>
          <w:rFonts w:hint="eastAsia" w:ascii="宋体" w:hAnsi="宋体" w:eastAsia="宋体" w:cs="宋体"/>
          <w:color w:val="auto"/>
          <w:sz w:val="24"/>
          <w:szCs w:val="24"/>
          <w:highlight w:val="none"/>
        </w:rPr>
        <w:t>正副本分开包装密封的应标记“正本”或“副本”，正副本一起包装密封的可标记“正（副）本”或不用标记。</w:t>
      </w:r>
    </w:p>
    <w:p w14:paraId="18754BC1">
      <w:pPr>
        <w:pageBreakBefore w:val="0"/>
        <w:kinsoku/>
        <w:overflowPunct/>
        <w:topLinePunct w:val="0"/>
        <w:bidi w:val="0"/>
        <w:spacing w:beforeAutospacing="0" w:afterAutospacing="0" w:line="360" w:lineRule="auto"/>
        <w:ind w:left="0" w:leftChars="0" w:right="0"/>
        <w:jc w:val="center"/>
        <w:textAlignment w:val="auto"/>
        <w:outlineLvl w:val="9"/>
        <w:rPr>
          <w:rFonts w:hint="eastAsia" w:ascii="宋体" w:hAnsi="宋体" w:eastAsia="宋体" w:cs="宋体"/>
          <w:bCs/>
          <w:color w:val="auto"/>
          <w:sz w:val="24"/>
          <w:szCs w:val="24"/>
          <w:highlight w:val="none"/>
        </w:rPr>
      </w:pPr>
      <w:bookmarkStart w:id="47" w:name="_Toc1195"/>
      <w:r>
        <w:rPr>
          <w:rFonts w:hint="eastAsia" w:ascii="宋体" w:hAnsi="宋体" w:eastAsia="宋体" w:cs="宋体"/>
          <w:color w:val="auto"/>
          <w:kern w:val="0"/>
          <w:sz w:val="24"/>
          <w:szCs w:val="24"/>
          <w:highlight w:val="none"/>
        </w:rPr>
        <w:t>磋商</w:t>
      </w:r>
      <w:r>
        <w:rPr>
          <w:rFonts w:hint="eastAsia" w:ascii="宋体" w:hAnsi="宋体" w:eastAsia="宋体" w:cs="宋体"/>
          <w:bCs/>
          <w:color w:val="auto"/>
          <w:sz w:val="24"/>
          <w:szCs w:val="24"/>
          <w:highlight w:val="none"/>
        </w:rPr>
        <w:t>响应文件密封信封封口格式</w:t>
      </w:r>
      <w:bookmarkEnd w:id="47"/>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0"/>
      </w:tblGrid>
      <w:tr w14:paraId="33692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9570" w:type="dxa"/>
            <w:noWrap w:val="0"/>
            <w:vAlign w:val="top"/>
          </w:tcPr>
          <w:p w14:paraId="5E28D8B9">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0E0A91F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73C3369C">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6431B40A">
            <w:pPr>
              <w:pageBreakBefore w:val="0"/>
              <w:kinsoku/>
              <w:overflowPunct/>
              <w:topLinePunct w:val="0"/>
              <w:bidi w:val="0"/>
              <w:spacing w:beforeAutospacing="0" w:afterAutospacing="0" w:line="360" w:lineRule="auto"/>
              <w:ind w:left="0" w:leftChars="0" w:right="0"/>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于</w:t>
            </w:r>
            <w:r>
              <w:rPr>
                <w:rFonts w:hint="eastAsia" w:ascii="宋体" w:hAnsi="宋体" w:eastAsia="宋体" w:cs="宋体"/>
                <w:bCs/>
                <w:color w:val="auto"/>
                <w:sz w:val="24"/>
                <w:szCs w:val="24"/>
                <w:highlight w:val="none"/>
                <w:lang w:eastAsia="zh-CN"/>
              </w:rPr>
              <w:t>202</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年  月  日  时  分（北京时间）前不准启封</w:t>
            </w:r>
          </w:p>
          <w:p w14:paraId="772EF7BC">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5080"/>
                      <wp:wrapNone/>
                      <wp:docPr id="5" name="直接连接符 5"/>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&#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AmRSFjBgIAAPMDAAAOAAAAAAAAAAEAIAAAACYB&#10;AABkcnMvZTJvRG9jLnhtbFBLBQYAAAAABgAGAFkBAACeBQAAAAA=&#10;">
                      <v:fill on="f" focussize="0,0"/>
                      <v:stroke color="#000000" joinstyle="round" endarrow="block"/>
                      <v:imagedata o:title=""/>
                      <o:lock v:ext="edit" aspectratio="f"/>
                    </v:line>
                  </w:pict>
                </mc:Fallback>
              </mc:AlternateContent>
            </w:r>
          </w:p>
          <w:p w14:paraId="17CB9F66">
            <w:pPr>
              <w:pStyle w:val="10"/>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2DB8B5B2">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45FE8BB6">
            <w:pPr>
              <w:pageBreakBefore w:val="0"/>
              <w:kinsoku/>
              <w:overflowPunct/>
              <w:topLinePunct w:val="0"/>
              <w:bidi w:val="0"/>
              <w:spacing w:beforeAutospacing="0" w:afterAutospacing="0" w:line="360" w:lineRule="auto"/>
              <w:ind w:left="0" w:leftChars="0" w:right="0"/>
              <w:textAlignment w:val="auto"/>
              <w:rPr>
                <w:rFonts w:hint="eastAsia" w:ascii="宋体" w:hAnsi="宋体" w:eastAsia="宋体" w:cs="宋体"/>
                <w:bCs/>
                <w:color w:val="auto"/>
                <w:sz w:val="24"/>
                <w:szCs w:val="24"/>
                <w:highlight w:val="none"/>
              </w:rPr>
            </w:pPr>
          </w:p>
          <w:p w14:paraId="1A404229">
            <w:pPr>
              <w:pStyle w:val="24"/>
              <w:pageBreakBefore w:val="0"/>
              <w:widowControl w:val="0"/>
              <w:kinsoku/>
              <w:overflowPunct/>
              <w:topLinePunct w:val="0"/>
              <w:bidi w:val="0"/>
              <w:spacing w:before="0" w:beforeLines="0" w:beforeAutospacing="0" w:after="0" w:afterLines="0" w:afterAutospacing="0" w:line="360" w:lineRule="auto"/>
              <w:ind w:left="0" w:leftChars="0" w:right="0"/>
              <w:textAlignment w:val="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（封口处）</w:t>
            </w:r>
          </w:p>
        </w:tc>
      </w:tr>
    </w:tbl>
    <w:p w14:paraId="0B316E9A">
      <w:pPr>
        <w:spacing w:line="360" w:lineRule="auto"/>
        <w:rPr>
          <w:rFonts w:hint="eastAsia" w:ascii="宋体" w:hAnsi="宋体" w:eastAsia="宋体" w:cs="宋体"/>
          <w:color w:val="auto"/>
          <w:sz w:val="24"/>
          <w:szCs w:val="24"/>
          <w:highlight w:val="none"/>
        </w:rPr>
      </w:pPr>
    </w:p>
    <w:p w14:paraId="19297F1F">
      <w:pPr>
        <w:pStyle w:val="26"/>
        <w:spacing w:line="360" w:lineRule="auto"/>
        <w:ind w:right="480"/>
        <w:rPr>
          <w:rFonts w:hint="eastAsia" w:ascii="宋体" w:hAnsi="宋体" w:eastAsia="宋体" w:cs="宋体"/>
          <w:color w:val="auto"/>
          <w:sz w:val="24"/>
          <w:szCs w:val="24"/>
          <w:highlight w:val="none"/>
        </w:rPr>
      </w:pPr>
    </w:p>
    <w:p w14:paraId="7AC8F5DA">
      <w:pPr>
        <w:pStyle w:val="7"/>
        <w:pageBreakBefore w:val="0"/>
        <w:wordWrap/>
        <w:bidi w:val="0"/>
        <w:spacing w:line="360" w:lineRule="auto"/>
        <w:ind w:left="0" w:leftChars="0" w:right="0" w:rightChars="0" w:firstLine="0" w:firstLineChars="0"/>
        <w:textAlignment w:val="auto"/>
        <w:rPr>
          <w:rFonts w:hint="eastAsia" w:ascii="宋体" w:hAnsi="宋体" w:eastAsia="宋体" w:cs="宋体"/>
          <w:sz w:val="24"/>
          <w:highlight w:val="none"/>
        </w:rPr>
      </w:pPr>
    </w:p>
    <w:p w14:paraId="3C5088C4"/>
    <w:sectPr>
      <w:headerReference r:id="rId7" w:type="default"/>
      <w:footerReference r:id="rId8" w:type="default"/>
      <w:pgSz w:w="11906" w:h="16838"/>
      <w:pgMar w:top="1134" w:right="1134" w:bottom="1134" w:left="113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2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Arial"/>
    <w:panose1 w:val="020B0604020202020204"/>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B5314">
    <w:pPr>
      <w:adjustRightInd w:val="0"/>
      <w:snapToGrid w:val="0"/>
      <w:spacing w:line="500" w:lineRule="exact"/>
      <w:rPr>
        <w:rFonts w:hint="eastAsia" w:ascii="宋体" w:hAnsi="宋体"/>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4E7C1">
    <w:pPr>
      <w:pStyle w:val="11"/>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B0577">
    <w:pPr>
      <w:pStyle w:val="11"/>
      <w:jc w:val="center"/>
      <w:rPr>
        <w:rFonts w:hint="eastAsia"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148350">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4148350">
                    <w:pPr>
                      <w:pStyle w:val="11"/>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7" name="文本框 7"/>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540298B1">
                          <w:pPr>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PlfknQAAAAAwEAAA8AAAAAAAAAAQAgAAAAIgAAAGRycy9kb3du&#10;cmV2LnhtbFBLAQIUABQAAAAIAIdO4kCjLnRlzgEAAJcDAAAOAAAAAAAAAAEAIAAAAB8BAABkcnMv&#10;ZTJvRG9jLnhtbFBLBQYAAAAABgAGAFkBAABfBQAAAAA=&#10;">
              <v:fill on="f" focussize="0,0"/>
              <v:stroke on="f"/>
              <v:imagedata o:title=""/>
              <o:lock v:ext="edit" aspectratio="f"/>
              <v:textbox inset="0mm,0mm,0mm,0mm" style="mso-fit-shape-to-text:t;">
                <w:txbxContent>
                  <w:p w14:paraId="540298B1">
                    <w:pPr>
                      <w:rPr>
                        <w:rFonts w:hint="eastAsia"/>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4500C">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DE4E86">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ADE4E86">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CC8DE">
    <w:pPr>
      <w:pStyle w:val="12"/>
      <w:pBdr>
        <w:bottom w:val="none" w:color="auto" w:sz="0" w:space="0"/>
      </w:pBdr>
      <w:jc w:val="both"/>
      <w:rPr>
        <w:rFonts w:hint="eastAsia"/>
        <w:sz w:val="21"/>
        <w:szCs w:val="21"/>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FB78A">
    <w:pPr>
      <w:pStyle w:val="12"/>
      <w:pBdr>
        <w:top w:val="none" w:color="auto" w:sz="0" w:space="0"/>
        <w:left w:val="none" w:color="auto" w:sz="0" w:space="0"/>
        <w:bottom w:val="none" w:color="auto" w:sz="0" w:space="1"/>
        <w:right w:val="none" w:color="auto" w:sz="0" w:space="0"/>
        <w:between w:val="none" w:color="auto" w:sz="0" w:space="0"/>
      </w:pBdr>
      <w:jc w:val="both"/>
      <w:rPr>
        <w:rFonts w:hint="eastAsia" w:hAnsi="宋体" w:cs="宋体"/>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43E7D1"/>
    <w:multiLevelType w:val="singleLevel"/>
    <w:tmpl w:val="4043E7D1"/>
    <w:lvl w:ilvl="0" w:tentative="0">
      <w:start w:val="3"/>
      <w:numFmt w:val="chineseCounting"/>
      <w:suff w:val="nothing"/>
      <w:lvlText w:val="%1、"/>
      <w:lvlJc w:val="left"/>
      <w:rPr>
        <w:rFonts w:hint="eastAsia"/>
      </w:rPr>
    </w:lvl>
  </w:abstractNum>
  <w:abstractNum w:abstractNumId="1">
    <w:nsid w:val="7F746245"/>
    <w:multiLevelType w:val="multilevel"/>
    <w:tmpl w:val="7F746245"/>
    <w:lvl w:ilvl="0" w:tentative="0">
      <w:start w:val="1"/>
      <w:numFmt w:val="none"/>
      <w:pStyle w:val="28"/>
      <w:lvlText w:val="一、"/>
      <w:lvlJc w:val="left"/>
      <w:pPr>
        <w:tabs>
          <w:tab w:val="left" w:pos="600"/>
        </w:tabs>
        <w:ind w:left="600" w:hanging="60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974549"/>
    <w:rsid w:val="0345269C"/>
    <w:rsid w:val="0B6E2CCD"/>
    <w:rsid w:val="0C5D6507"/>
    <w:rsid w:val="0F4609FE"/>
    <w:rsid w:val="1C974549"/>
    <w:rsid w:val="1DC94DC3"/>
    <w:rsid w:val="20AD547B"/>
    <w:rsid w:val="360842CE"/>
    <w:rsid w:val="395C0D3D"/>
    <w:rsid w:val="3C2C1DE6"/>
    <w:rsid w:val="3C372D8E"/>
    <w:rsid w:val="3E3E0080"/>
    <w:rsid w:val="40AD633A"/>
    <w:rsid w:val="47E2448D"/>
    <w:rsid w:val="4B1C1D79"/>
    <w:rsid w:val="4BC8004E"/>
    <w:rsid w:val="576E6D51"/>
    <w:rsid w:val="588315D7"/>
    <w:rsid w:val="5AD72BFF"/>
    <w:rsid w:val="5FB82637"/>
    <w:rsid w:val="71F204AE"/>
    <w:rsid w:val="75FF2240"/>
    <w:rsid w:val="7DB42E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line="360" w:lineRule="auto"/>
      <w:outlineLvl w:val="2"/>
    </w:pPr>
    <w:rPr>
      <w:b/>
      <w:bCs/>
      <w:sz w:val="24"/>
      <w:szCs w:val="32"/>
    </w:rPr>
  </w:style>
  <w:style w:type="character" w:default="1" w:styleId="19">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0"/>
    <w:pPr>
      <w:spacing w:before="120" w:beforeLines="0"/>
    </w:pPr>
    <w:rPr>
      <w:rFonts w:ascii="Arial" w:hAnsi="Arial"/>
      <w:sz w:val="24"/>
      <w:szCs w:val="20"/>
    </w:rPr>
  </w:style>
  <w:style w:type="paragraph" w:styleId="5">
    <w:name w:val="Normal Indent"/>
    <w:basedOn w:val="1"/>
    <w:qFormat/>
    <w:uiPriority w:val="0"/>
    <w:pPr>
      <w:adjustRightInd w:val="0"/>
      <w:spacing w:line="360" w:lineRule="atLeast"/>
      <w:ind w:firstLine="420"/>
      <w:textAlignment w:val="baseline"/>
    </w:pPr>
    <w:rPr>
      <w:szCs w:val="20"/>
    </w:rPr>
  </w:style>
  <w:style w:type="paragraph" w:styleId="6">
    <w:name w:val="Body Text"/>
    <w:basedOn w:val="1"/>
    <w:next w:val="1"/>
    <w:qFormat/>
    <w:uiPriority w:val="0"/>
    <w:rPr>
      <w:rFonts w:ascii="宋体"/>
      <w:sz w:val="32"/>
      <w:szCs w:val="20"/>
    </w:rPr>
  </w:style>
  <w:style w:type="paragraph" w:styleId="7">
    <w:name w:val="Body Text Indent"/>
    <w:basedOn w:val="1"/>
    <w:next w:val="8"/>
    <w:qFormat/>
    <w:uiPriority w:val="0"/>
    <w:pPr>
      <w:spacing w:line="500" w:lineRule="exact"/>
      <w:ind w:left="1588" w:leftChars="832" w:firstLine="433" w:firstLineChars="196"/>
    </w:pPr>
    <w:rPr>
      <w:sz w:val="24"/>
    </w:rPr>
  </w:style>
  <w:style w:type="paragraph" w:styleId="8">
    <w:name w:val="envelope return"/>
    <w:basedOn w:val="1"/>
    <w:qFormat/>
    <w:uiPriority w:val="99"/>
    <w:pPr>
      <w:snapToGrid w:val="0"/>
    </w:pPr>
    <w:rPr>
      <w:rFonts w:ascii="Arial" w:hAnsi="Arial" w:cs="Arial"/>
    </w:rPr>
  </w:style>
  <w:style w:type="paragraph" w:styleId="9">
    <w:name w:val="Plain Text"/>
    <w:basedOn w:val="1"/>
    <w:qFormat/>
    <w:uiPriority w:val="0"/>
    <w:pPr>
      <w:adjustRightInd w:val="0"/>
      <w:jc w:val="left"/>
      <w:textAlignment w:val="baseline"/>
    </w:pPr>
    <w:rPr>
      <w:rFonts w:ascii="宋体" w:hAnsi="Courier New"/>
      <w:sz w:val="24"/>
      <w:szCs w:val="20"/>
    </w:rPr>
  </w:style>
  <w:style w:type="paragraph" w:styleId="10">
    <w:name w:val="Date"/>
    <w:basedOn w:val="1"/>
    <w:next w:val="1"/>
    <w:qFormat/>
    <w:uiPriority w:val="0"/>
    <w:rPr>
      <w:szCs w:val="2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pPr>
      <w:spacing w:after="120"/>
      <w:jc w:val="left"/>
    </w:pPr>
    <w:rPr>
      <w:rFonts w:ascii="Times New Roman" w:hAnsi="Times New Roman"/>
      <w:b/>
      <w:bCs/>
      <w:caps/>
      <w:sz w:val="20"/>
    </w:rPr>
  </w:style>
  <w:style w:type="paragraph" w:styleId="14">
    <w:name w:val="Body Text 2"/>
    <w:basedOn w:val="1"/>
    <w:qFormat/>
    <w:uiPriority w:val="0"/>
    <w:rPr>
      <w:sz w:val="28"/>
    </w:rPr>
  </w:style>
  <w:style w:type="paragraph" w:styleId="15">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0"/>
    </w:rPr>
  </w:style>
  <w:style w:type="paragraph" w:styleId="16">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7">
    <w:name w:val="Body Text First Indent 2"/>
    <w:basedOn w:val="7"/>
    <w:next w:val="1"/>
    <w:qFormat/>
    <w:uiPriority w:val="99"/>
    <w:pPr>
      <w:spacing w:after="120" w:line="240" w:lineRule="auto"/>
      <w:ind w:left="420" w:leftChars="200" w:firstLine="420" w:firstLineChars="200"/>
    </w:pPr>
    <w:rPr>
      <w:rFonts w:hint="eastAsia"/>
      <w:sz w:val="21"/>
      <w:szCs w:val="20"/>
    </w:rPr>
  </w:style>
  <w:style w:type="character" w:styleId="20">
    <w:name w:val="page number"/>
    <w:basedOn w:val="19"/>
    <w:qFormat/>
    <w:uiPriority w:val="0"/>
  </w:style>
  <w:style w:type="character" w:styleId="21">
    <w:name w:val="Hyperlink"/>
    <w:basedOn w:val="19"/>
    <w:qFormat/>
    <w:uiPriority w:val="0"/>
    <w:rPr>
      <w:color w:val="000000"/>
      <w:u w:val="none"/>
    </w:rPr>
  </w:style>
  <w:style w:type="paragraph" w:customStyle="1" w:styleId="22">
    <w:name w:val=" Char Char Char Char"/>
    <w:basedOn w:val="1"/>
    <w:autoRedefine/>
    <w:qFormat/>
    <w:uiPriority w:val="0"/>
    <w:rPr>
      <w:kern w:val="0"/>
      <w:sz w:val="24"/>
      <w:szCs w:val="20"/>
    </w:rPr>
  </w:style>
  <w:style w:type="paragraph" w:customStyle="1" w:styleId="23">
    <w:name w:val="Default"/>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4">
    <w:name w:val="xl27"/>
    <w:basedOn w:val="1"/>
    <w:autoRedefine/>
    <w:qFormat/>
    <w:uiPriority w:val="0"/>
    <w:pPr>
      <w:widowControl/>
      <w:spacing w:before="100" w:beforeLines="0" w:beforeAutospacing="1" w:after="100" w:afterLines="0" w:afterAutospacing="1"/>
      <w:jc w:val="center"/>
      <w:textAlignment w:val="center"/>
    </w:pPr>
    <w:rPr>
      <w:rFonts w:ascii="Arial Unicode MS" w:hAnsi="Arial Unicode MS" w:eastAsia="Arial Unicode MS" w:cs="Arial Unicode MS"/>
      <w:kern w:val="0"/>
      <w:sz w:val="24"/>
    </w:rPr>
  </w:style>
  <w:style w:type="paragraph" w:customStyle="1" w:styleId="25">
    <w:name w:val="样式3"/>
    <w:basedOn w:val="9"/>
    <w:autoRedefine/>
    <w:qFormat/>
    <w:uiPriority w:val="0"/>
    <w:pPr>
      <w:adjustRightInd/>
      <w:spacing w:line="0" w:lineRule="atLeast"/>
      <w:jc w:val="both"/>
      <w:textAlignment w:val="auto"/>
      <w:outlineLvl w:val="0"/>
    </w:pPr>
    <w:rPr>
      <w:sz w:val="28"/>
    </w:rPr>
  </w:style>
  <w:style w:type="paragraph" w:customStyle="1" w:styleId="26">
    <w:name w:val="p0"/>
    <w:basedOn w:val="1"/>
    <w:autoRedefine/>
    <w:qFormat/>
    <w:uiPriority w:val="0"/>
    <w:pPr>
      <w:widowControl/>
    </w:pPr>
    <w:rPr>
      <w:kern w:val="0"/>
      <w:szCs w:val="21"/>
    </w:rPr>
  </w:style>
  <w:style w:type="paragraph" w:customStyle="1" w:styleId="27">
    <w:name w:val="WPSOffice手动目录 1"/>
    <w:qFormat/>
    <w:uiPriority w:val="0"/>
    <w:pPr>
      <w:ind w:leftChars="0"/>
    </w:pPr>
    <w:rPr>
      <w:rFonts w:ascii="Times New Roman" w:hAnsi="Times New Roman" w:eastAsia="宋体" w:cs="Times New Roman"/>
      <w:sz w:val="20"/>
      <w:szCs w:val="20"/>
    </w:rPr>
  </w:style>
  <w:style w:type="paragraph" w:customStyle="1" w:styleId="28">
    <w:name w:val="合同文件"/>
    <w:basedOn w:val="1"/>
    <w:qFormat/>
    <w:uiPriority w:val="0"/>
    <w:pPr>
      <w:numPr>
        <w:ilvl w:val="0"/>
        <w:numId w:val="1"/>
      </w:numPr>
      <w:tabs>
        <w:tab w:val="left" w:pos="720"/>
        <w:tab w:val="clear" w:pos="600"/>
      </w:tabs>
      <w:spacing w:before="156" w:beforeLines="50" w:line="400" w:lineRule="exact"/>
    </w:pPr>
    <w:rPr>
      <w:b/>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35</Pages>
  <Words>13224</Words>
  <Characters>13774</Characters>
  <Lines>0</Lines>
  <Paragraphs>0</Paragraphs>
  <TotalTime>109</TotalTime>
  <ScaleCrop>false</ScaleCrop>
  <LinksUpToDate>false</LinksUpToDate>
  <CharactersWithSpaces>15712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2025-04-24T05:42:00Z</dcterms:created>
  <dc:creator>趙 傢 釺 唫 ☀</dc:creator>
  <cp:lastModifiedBy>趙 傢 釺 唫 ☀</cp:lastModifiedBy>
  <dcterms:modified xsi:type="dcterms:W3CDTF">2025-04-30T02:35:19Z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9381923254BE44CFB22852E151BEBF1A_11</vt:lpwstr>
  </property>
  <property fmtid="{D5CDD505-2E9C-101B-9397-08002B2CF9AE}" pid="4" name="KSOTemplateDocerSaveRecord">
    <vt:lpwstr>eyJoZGlkIjoiMzdhOWE3MGMzMzE1ZjJkMDdjODdhOWQwNjA4YWJjNTYiLCJ1c2VySWQiOiIyODE5NTY5MDcifQ==</vt:lpwstr>
  </property>
</Properties>
</file>