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860AAF">
      <w:pPr>
        <w:pStyle w:val="18"/>
        <w:jc w:val="center"/>
        <w:rPr>
          <w:rFonts w:hint="eastAsia" w:hAnsi="宋体"/>
          <w:b/>
          <w:color w:val="auto"/>
          <w:sz w:val="52"/>
          <w:szCs w:val="52"/>
          <w:lang w:eastAsia="zh-CN"/>
        </w:rPr>
      </w:pPr>
      <w:bookmarkStart w:id="0" w:name="_Toc381880843"/>
      <w:r>
        <w:rPr>
          <w:rFonts w:hint="eastAsia" w:hAnsi="宋体"/>
          <w:b/>
          <w:color w:val="auto"/>
          <w:sz w:val="52"/>
          <w:szCs w:val="52"/>
          <w:lang w:eastAsia="zh-CN"/>
        </w:rPr>
        <w:t>千泉街道郭庄社区低压线路升级改造工程</w:t>
      </w:r>
    </w:p>
    <w:p w14:paraId="5F0A0FB4">
      <w:pPr>
        <w:pStyle w:val="18"/>
        <w:jc w:val="center"/>
        <w:rPr>
          <w:rFonts w:hint="eastAsia" w:hAnsi="宋体"/>
          <w:b/>
          <w:color w:val="auto"/>
          <w:sz w:val="52"/>
          <w:szCs w:val="52"/>
          <w:lang w:eastAsia="zh-CN"/>
        </w:rPr>
      </w:pPr>
    </w:p>
    <w:p w14:paraId="1DBE97EA">
      <w:pPr>
        <w:pStyle w:val="18"/>
        <w:jc w:val="center"/>
        <w:outlineLvl w:val="0"/>
        <w:rPr>
          <w:rFonts w:hAnsi="宋体"/>
          <w:b/>
          <w:color w:val="auto"/>
          <w:sz w:val="72"/>
          <w:szCs w:val="72"/>
        </w:rPr>
      </w:pPr>
      <w:bookmarkStart w:id="1" w:name="_Toc19227"/>
      <w:r>
        <w:rPr>
          <w:rFonts w:hint="eastAsia" w:hAnsi="宋体"/>
          <w:b/>
          <w:color w:val="auto"/>
          <w:sz w:val="72"/>
          <w:szCs w:val="72"/>
        </w:rPr>
        <w:t>竞争性磋商文件</w:t>
      </w:r>
      <w:bookmarkEnd w:id="0"/>
      <w:bookmarkEnd w:id="1"/>
    </w:p>
    <w:p w14:paraId="56CE5128">
      <w:pPr>
        <w:pStyle w:val="18"/>
        <w:jc w:val="center"/>
        <w:rPr>
          <w:rFonts w:hint="eastAsia" w:hAnsi="宋体" w:eastAsia="宋体"/>
          <w:b/>
          <w:color w:val="auto"/>
          <w:sz w:val="18"/>
          <w:szCs w:val="18"/>
          <w:lang w:eastAsia="zh-CN"/>
        </w:rPr>
      </w:pPr>
    </w:p>
    <w:p w14:paraId="198B69E3">
      <w:pPr>
        <w:pStyle w:val="18"/>
        <w:ind w:firstLine="2872" w:firstLineChars="894"/>
        <w:outlineLvl w:val="0"/>
        <w:rPr>
          <w:rFonts w:hint="eastAsia" w:hAnsi="宋体" w:eastAsia="宋体"/>
          <w:b/>
          <w:color w:val="auto"/>
          <w:sz w:val="32"/>
          <w:lang w:val="en-US" w:eastAsia="zh-CN"/>
        </w:rPr>
      </w:pPr>
      <w:bookmarkStart w:id="2" w:name="_Toc1930"/>
      <w:r>
        <w:rPr>
          <w:rFonts w:hint="eastAsia" w:hAnsi="宋体"/>
          <w:b/>
          <w:color w:val="auto"/>
          <w:sz w:val="32"/>
        </w:rPr>
        <w:t>项目编号</w:t>
      </w:r>
      <w:bookmarkEnd w:id="2"/>
      <w:r>
        <w:rPr>
          <w:rFonts w:hint="eastAsia" w:hAnsi="宋体"/>
          <w:b/>
          <w:color w:val="auto"/>
          <w:sz w:val="32"/>
          <w:lang w:val="en-US" w:eastAsia="zh-CN"/>
        </w:rPr>
        <w:t>:</w:t>
      </w:r>
      <w:r>
        <w:rPr>
          <w:rFonts w:hint="eastAsia" w:hAnsi="宋体"/>
          <w:b/>
          <w:color w:val="auto"/>
          <w:sz w:val="32"/>
          <w:lang w:eastAsia="zh-CN"/>
        </w:rPr>
        <w:t>XSSD-ZB-2025-011</w:t>
      </w:r>
    </w:p>
    <w:p w14:paraId="50CBFF4F">
      <w:pPr>
        <w:jc w:val="center"/>
        <w:rPr>
          <w:rFonts w:ascii="宋体" w:hAnsi="宋体"/>
          <w:b/>
          <w:color w:val="auto"/>
          <w:sz w:val="36"/>
          <w:szCs w:val="36"/>
        </w:rPr>
      </w:pPr>
    </w:p>
    <w:p w14:paraId="7BFCD8B6">
      <w:pPr>
        <w:jc w:val="center"/>
        <w:rPr>
          <w:rFonts w:ascii="宋体" w:hAnsi="宋体"/>
          <w:b/>
          <w:color w:val="auto"/>
          <w:sz w:val="36"/>
          <w:szCs w:val="36"/>
        </w:rPr>
      </w:pPr>
    </w:p>
    <w:p w14:paraId="322B757B">
      <w:pPr>
        <w:jc w:val="center"/>
        <w:rPr>
          <w:rFonts w:ascii="宋体" w:hAnsi="宋体"/>
          <w:b/>
          <w:bCs/>
          <w:color w:val="auto"/>
          <w:kern w:val="16"/>
          <w:sz w:val="36"/>
          <w:szCs w:val="36"/>
        </w:rPr>
      </w:pPr>
    </w:p>
    <w:p w14:paraId="2F849492">
      <w:pPr>
        <w:pStyle w:val="10"/>
        <w:rPr>
          <w:rFonts w:ascii="宋体" w:hAnsi="宋体"/>
          <w:b/>
          <w:bCs/>
          <w:color w:val="auto"/>
          <w:kern w:val="16"/>
          <w:sz w:val="36"/>
          <w:szCs w:val="36"/>
        </w:rPr>
      </w:pPr>
    </w:p>
    <w:p w14:paraId="255D8996">
      <w:pPr>
        <w:pStyle w:val="85"/>
        <w:spacing w:line="600" w:lineRule="auto"/>
        <w:ind w:firstLine="1446" w:firstLineChars="400"/>
        <w:jc w:val="both"/>
        <w:rPr>
          <w:rFonts w:hint="eastAsia" w:ascii="宋体" w:hAnsi="宋体"/>
          <w:b/>
          <w:color w:val="auto"/>
          <w:sz w:val="36"/>
          <w:szCs w:val="36"/>
        </w:rPr>
      </w:pPr>
    </w:p>
    <w:p w14:paraId="74E989B8">
      <w:pPr>
        <w:pStyle w:val="85"/>
        <w:spacing w:line="600" w:lineRule="auto"/>
        <w:ind w:firstLine="1446" w:firstLineChars="400"/>
        <w:jc w:val="both"/>
        <w:rPr>
          <w:rFonts w:hint="eastAsia" w:ascii="宋体" w:hAnsi="宋体"/>
          <w:b/>
          <w:color w:val="auto"/>
          <w:sz w:val="36"/>
          <w:szCs w:val="36"/>
        </w:rPr>
      </w:pPr>
    </w:p>
    <w:p w14:paraId="708B3E39">
      <w:pPr>
        <w:pStyle w:val="85"/>
        <w:spacing w:line="600" w:lineRule="auto"/>
        <w:ind w:firstLine="1446" w:firstLineChars="400"/>
        <w:jc w:val="both"/>
        <w:rPr>
          <w:rFonts w:hint="eastAsia" w:ascii="宋体" w:hAnsi="宋体"/>
          <w:b/>
          <w:color w:val="auto"/>
          <w:sz w:val="36"/>
          <w:szCs w:val="36"/>
        </w:rPr>
      </w:pPr>
    </w:p>
    <w:p w14:paraId="00C74719">
      <w:pPr>
        <w:pStyle w:val="85"/>
        <w:spacing w:line="600" w:lineRule="auto"/>
        <w:ind w:firstLine="1446" w:firstLineChars="400"/>
        <w:jc w:val="both"/>
        <w:rPr>
          <w:rFonts w:hint="eastAsia" w:ascii="宋体" w:hAnsi="宋体"/>
          <w:b/>
          <w:color w:val="auto"/>
          <w:sz w:val="36"/>
          <w:szCs w:val="36"/>
        </w:rPr>
      </w:pPr>
    </w:p>
    <w:p w14:paraId="6E49E01E">
      <w:pPr>
        <w:pStyle w:val="85"/>
        <w:spacing w:line="600" w:lineRule="auto"/>
        <w:ind w:firstLine="1446" w:firstLineChars="400"/>
        <w:jc w:val="both"/>
        <w:rPr>
          <w:rFonts w:hint="eastAsia" w:ascii="宋体" w:hAnsi="宋体"/>
          <w:b/>
          <w:color w:val="auto"/>
          <w:sz w:val="36"/>
          <w:szCs w:val="36"/>
        </w:rPr>
      </w:pPr>
    </w:p>
    <w:p w14:paraId="42CDAC36">
      <w:pPr>
        <w:pStyle w:val="85"/>
        <w:spacing w:line="600" w:lineRule="auto"/>
        <w:ind w:firstLine="1446" w:firstLineChars="400"/>
        <w:jc w:val="both"/>
        <w:rPr>
          <w:rFonts w:hint="default" w:ascii="宋体" w:hAnsi="宋体" w:eastAsia="宋体"/>
          <w:b/>
          <w:color w:val="auto"/>
          <w:sz w:val="36"/>
          <w:szCs w:val="36"/>
          <w:lang w:val="en-US" w:eastAsia="zh-CN"/>
        </w:rPr>
      </w:pPr>
      <w:r>
        <w:rPr>
          <w:rFonts w:hint="eastAsia" w:ascii="宋体" w:hAnsi="宋体"/>
          <w:b/>
          <w:color w:val="auto"/>
          <w:sz w:val="36"/>
          <w:szCs w:val="36"/>
          <w:lang w:val="en-US" w:eastAsia="zh-CN"/>
        </w:rPr>
        <w:t xml:space="preserve">  </w:t>
      </w:r>
    </w:p>
    <w:p w14:paraId="5D0B8E22">
      <w:pPr>
        <w:pStyle w:val="85"/>
        <w:keepNext w:val="0"/>
        <w:keepLines w:val="0"/>
        <w:pageBreakBefore w:val="0"/>
        <w:widowControl w:val="0"/>
        <w:kinsoku/>
        <w:wordWrap/>
        <w:overflowPunct/>
        <w:topLinePunct w:val="0"/>
        <w:autoSpaceDE/>
        <w:autoSpaceDN/>
        <w:bidi w:val="0"/>
        <w:adjustRightInd/>
        <w:snapToGrid/>
        <w:spacing w:line="720" w:lineRule="auto"/>
        <w:ind w:firstLine="1446" w:firstLineChars="400"/>
        <w:jc w:val="both"/>
        <w:textAlignment w:val="auto"/>
        <w:outlineLvl w:val="0"/>
        <w:rPr>
          <w:rFonts w:hint="eastAsia" w:ascii="宋体" w:hAnsi="宋体" w:eastAsia="宋体"/>
          <w:b/>
          <w:color w:val="auto"/>
          <w:sz w:val="36"/>
          <w:szCs w:val="36"/>
          <w:lang w:val="en-US" w:eastAsia="zh-CN"/>
        </w:rPr>
      </w:pPr>
      <w:bookmarkStart w:id="3" w:name="_Toc23738"/>
      <w:r>
        <w:rPr>
          <w:rFonts w:hint="eastAsia" w:ascii="宋体" w:hAnsi="宋体"/>
          <w:b/>
          <w:color w:val="auto"/>
          <w:sz w:val="36"/>
          <w:szCs w:val="36"/>
        </w:rPr>
        <w:t>采 购 人：</w:t>
      </w:r>
      <w:bookmarkEnd w:id="3"/>
      <w:r>
        <w:rPr>
          <w:rFonts w:hint="eastAsia" w:ascii="宋体" w:hAnsi="宋体"/>
          <w:b/>
          <w:color w:val="auto"/>
          <w:sz w:val="36"/>
          <w:szCs w:val="36"/>
          <w:lang w:eastAsia="zh-CN"/>
        </w:rPr>
        <w:t>邹城市千泉街道郭庄社区居民委员会</w:t>
      </w:r>
    </w:p>
    <w:p w14:paraId="71F5CE57">
      <w:pPr>
        <w:pStyle w:val="85"/>
        <w:keepNext w:val="0"/>
        <w:keepLines w:val="0"/>
        <w:pageBreakBefore w:val="0"/>
        <w:widowControl w:val="0"/>
        <w:kinsoku/>
        <w:wordWrap/>
        <w:overflowPunct/>
        <w:topLinePunct w:val="0"/>
        <w:autoSpaceDE/>
        <w:autoSpaceDN/>
        <w:bidi w:val="0"/>
        <w:adjustRightInd/>
        <w:snapToGrid/>
        <w:spacing w:line="720" w:lineRule="auto"/>
        <w:ind w:firstLine="1446" w:firstLineChars="400"/>
        <w:jc w:val="both"/>
        <w:textAlignment w:val="auto"/>
        <w:rPr>
          <w:rFonts w:hint="eastAsia" w:ascii="宋体" w:hAnsi="宋体" w:eastAsia="宋体"/>
          <w:b/>
          <w:color w:val="auto"/>
          <w:sz w:val="36"/>
          <w:szCs w:val="36"/>
          <w:lang w:eastAsia="zh-CN"/>
        </w:rPr>
      </w:pPr>
      <w:r>
        <w:rPr>
          <w:rFonts w:hint="eastAsia" w:ascii="宋体" w:hAnsi="宋体"/>
          <w:b/>
          <w:color w:val="auto"/>
          <w:sz w:val="36"/>
          <w:szCs w:val="36"/>
        </w:rPr>
        <w:t>代理机构：</w:t>
      </w:r>
      <w:r>
        <w:rPr>
          <w:rFonts w:hint="eastAsia" w:ascii="宋体" w:hAnsi="宋体"/>
          <w:b/>
          <w:color w:val="auto"/>
          <w:sz w:val="36"/>
          <w:szCs w:val="36"/>
          <w:lang w:eastAsia="zh-CN"/>
        </w:rPr>
        <w:t>信硕 (山东) 项目咨询有限公司</w:t>
      </w:r>
    </w:p>
    <w:p w14:paraId="1528C409">
      <w:pPr>
        <w:keepNext w:val="0"/>
        <w:keepLines w:val="0"/>
        <w:pageBreakBefore w:val="0"/>
        <w:widowControl w:val="0"/>
        <w:tabs>
          <w:tab w:val="left" w:pos="1080"/>
        </w:tabs>
        <w:kinsoku/>
        <w:wordWrap/>
        <w:overflowPunct/>
        <w:topLinePunct w:val="0"/>
        <w:autoSpaceDE/>
        <w:autoSpaceDN/>
        <w:bidi w:val="0"/>
        <w:adjustRightInd/>
        <w:snapToGrid/>
        <w:spacing w:line="720" w:lineRule="auto"/>
        <w:ind w:firstLine="1446" w:firstLineChars="400"/>
        <w:textAlignment w:val="auto"/>
        <w:rPr>
          <w:rFonts w:ascii="宋体" w:hAnsi="宋体"/>
          <w:b/>
          <w:color w:val="auto"/>
          <w:sz w:val="36"/>
          <w:szCs w:val="36"/>
        </w:rPr>
        <w:sectPr>
          <w:headerReference r:id="rId3" w:type="first"/>
          <w:footerReference r:id="rId5" w:type="first"/>
          <w:footerReference r:id="rId4" w:type="default"/>
          <w:pgSz w:w="11906" w:h="16838"/>
          <w:pgMar w:top="1440" w:right="1080" w:bottom="1440" w:left="1080" w:header="851" w:footer="992" w:gutter="0"/>
          <w:pgNumType w:start="0"/>
          <w:cols w:space="720" w:num="1"/>
          <w:docGrid w:type="lines" w:linePitch="286" w:charSpace="0"/>
        </w:sectPr>
      </w:pPr>
      <w:r>
        <w:rPr>
          <w:rFonts w:hint="eastAsia" w:ascii="宋体" w:hAnsi="宋体"/>
          <w:b/>
          <w:color w:val="auto"/>
          <w:sz w:val="36"/>
          <w:szCs w:val="36"/>
        </w:rPr>
        <w:t>日    期：二○二</w:t>
      </w:r>
      <w:r>
        <w:rPr>
          <w:rFonts w:hint="eastAsia" w:ascii="宋体" w:hAnsi="宋体"/>
          <w:b/>
          <w:color w:val="auto"/>
          <w:sz w:val="36"/>
          <w:szCs w:val="36"/>
          <w:lang w:eastAsia="zh-CN"/>
        </w:rPr>
        <w:t>五</w:t>
      </w:r>
      <w:r>
        <w:rPr>
          <w:rFonts w:hint="eastAsia" w:ascii="宋体" w:hAnsi="宋体"/>
          <w:b/>
          <w:color w:val="auto"/>
          <w:sz w:val="36"/>
          <w:szCs w:val="36"/>
        </w:rPr>
        <w:t>年</w:t>
      </w:r>
      <w:r>
        <w:rPr>
          <w:rFonts w:hint="eastAsia" w:ascii="宋体" w:hAnsi="宋体"/>
          <w:b/>
          <w:color w:val="auto"/>
          <w:sz w:val="36"/>
          <w:szCs w:val="36"/>
          <w:lang w:eastAsia="zh-CN"/>
        </w:rPr>
        <w:t>四</w:t>
      </w:r>
      <w:r>
        <w:rPr>
          <w:rFonts w:hint="eastAsia" w:ascii="宋体" w:hAnsi="宋体"/>
          <w:b/>
          <w:color w:val="auto"/>
          <w:sz w:val="36"/>
          <w:szCs w:val="36"/>
        </w:rPr>
        <w:t>月</w:t>
      </w:r>
    </w:p>
    <w:sdt>
      <w:sdtPr>
        <w:rPr>
          <w:rFonts w:ascii="宋体" w:hAnsi="宋体" w:eastAsia="宋体" w:cs="Times New Roman"/>
          <w:color w:val="auto"/>
          <w:kern w:val="2"/>
          <w:sz w:val="21"/>
          <w:szCs w:val="24"/>
          <w:lang w:val="en-US" w:eastAsia="zh-CN" w:bidi="ar-SA"/>
        </w:rPr>
        <w:id w:val="147477112"/>
        <w15:color w:val="DBDBDB"/>
        <w:docPartObj>
          <w:docPartGallery w:val="Table of Contents"/>
          <w:docPartUnique/>
        </w:docPartObj>
      </w:sdtPr>
      <w:sdtEndPr>
        <w:rPr>
          <w:rFonts w:ascii="宋体" w:hAnsi="宋体" w:eastAsia="宋体" w:cs="Times New Roman"/>
          <w:color w:val="auto"/>
          <w:kern w:val="2"/>
          <w:sz w:val="21"/>
          <w:szCs w:val="24"/>
          <w:lang w:val="en-US" w:eastAsia="zh-CN" w:bidi="ar-SA"/>
        </w:rPr>
      </w:sdtEndPr>
      <w:sdtContent>
        <w:p w14:paraId="6B349610">
          <w:pPr>
            <w:spacing w:before="0" w:beforeLines="0" w:after="0" w:afterLines="0" w:line="240" w:lineRule="auto"/>
            <w:ind w:left="0" w:leftChars="0" w:right="0" w:rightChars="0" w:firstLine="0" w:firstLineChars="0"/>
            <w:jc w:val="center"/>
            <w:rPr>
              <w:b/>
              <w:bCs/>
              <w:color w:val="auto"/>
              <w:sz w:val="28"/>
              <w:szCs w:val="36"/>
            </w:rPr>
          </w:pPr>
          <w:r>
            <w:rPr>
              <w:rFonts w:ascii="宋体" w:hAnsi="宋体" w:eastAsia="宋体"/>
              <w:b/>
              <w:bCs/>
              <w:color w:val="auto"/>
              <w:sz w:val="28"/>
              <w:szCs w:val="36"/>
            </w:rPr>
            <w:t>目</w:t>
          </w:r>
          <w:r>
            <w:rPr>
              <w:rFonts w:hint="eastAsia" w:ascii="宋体" w:hAnsi="宋体" w:eastAsia="宋体"/>
              <w:b/>
              <w:bCs/>
              <w:color w:val="auto"/>
              <w:sz w:val="28"/>
              <w:szCs w:val="36"/>
              <w:lang w:val="en-US" w:eastAsia="zh-CN"/>
            </w:rPr>
            <w:t xml:space="preserve"> </w:t>
          </w:r>
          <w:r>
            <w:rPr>
              <w:rFonts w:ascii="宋体" w:hAnsi="宋体" w:eastAsia="宋体"/>
              <w:b/>
              <w:bCs/>
              <w:color w:val="auto"/>
              <w:sz w:val="28"/>
              <w:szCs w:val="36"/>
            </w:rPr>
            <w:t>录</w:t>
          </w:r>
        </w:p>
        <w:p w14:paraId="318B0A4B">
          <w:pPr>
            <w:pStyle w:val="191"/>
            <w:tabs>
              <w:tab w:val="right" w:leader="dot" w:pos="9746"/>
            </w:tabs>
            <w:rPr>
              <w:color w:val="auto"/>
            </w:rPr>
          </w:pPr>
          <w:r>
            <w:rPr>
              <w:rFonts w:ascii="宋体" w:hAnsi="宋体"/>
              <w:color w:val="auto"/>
              <w:sz w:val="24"/>
            </w:rPr>
            <w:fldChar w:fldCharType="begin"/>
          </w:r>
          <w:r>
            <w:rPr>
              <w:rFonts w:ascii="宋体" w:hAnsi="宋体"/>
              <w:color w:val="auto"/>
              <w:sz w:val="24"/>
            </w:rPr>
            <w:instrText xml:space="preserve">TOC \o "1-1" \h \u </w:instrText>
          </w:r>
          <w:r>
            <w:rPr>
              <w:rFonts w:ascii="宋体" w:hAnsi="宋体"/>
              <w:color w:val="auto"/>
              <w:sz w:val="24"/>
            </w:rPr>
            <w:fldChar w:fldCharType="separate"/>
          </w:r>
        </w:p>
        <w:p w14:paraId="089E36C5">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_Toc27750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第一部分  竞争性磋商公告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_Toc27750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1DAA16B4">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_Toc17307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eastAsia="zh-CN"/>
            </w:rPr>
            <w:t>第二部分</w:t>
          </w:r>
          <w:r>
            <w:rPr>
              <w:rFonts w:hint="eastAsia" w:ascii="宋体" w:hAnsi="宋体" w:eastAsia="宋体" w:cs="宋体"/>
              <w:color w:val="auto"/>
              <w:sz w:val="24"/>
              <w:szCs w:val="24"/>
            </w:rPr>
            <w:t xml:space="preserve"> 磋商响应方须知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_Toc17307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25BB370B">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_Toc20347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第三部分  磋商组织、步骤与评审方法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_Toc20347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13</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604D129A">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_Toc19153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第四部分  采购内容及要求</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_Toc19153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6C919B98">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_Toc16799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第五部分  合同授予</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_Toc16799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17</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52544FE2">
          <w:pPr>
            <w:pStyle w:val="191"/>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color w:val="auto"/>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_Toc30486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第六部分  响应文件格式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_Toc30486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58</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4BAA1703">
          <w:pPr>
            <w:tabs>
              <w:tab w:val="left" w:pos="1080"/>
            </w:tabs>
            <w:snapToGrid w:val="0"/>
            <w:spacing w:line="720" w:lineRule="auto"/>
            <w:ind w:firstLine="3045" w:firstLineChars="1450"/>
            <w:rPr>
              <w:rFonts w:ascii="宋体" w:hAnsi="宋体"/>
              <w:color w:val="auto"/>
              <w:sz w:val="24"/>
            </w:rPr>
          </w:pPr>
          <w:r>
            <w:rPr>
              <w:rFonts w:ascii="宋体" w:hAnsi="宋体"/>
              <w:color w:val="auto"/>
            </w:rPr>
            <w:fldChar w:fldCharType="end"/>
          </w:r>
        </w:p>
      </w:sdtContent>
    </w:sdt>
    <w:p w14:paraId="598AB221">
      <w:pPr>
        <w:spacing w:line="360" w:lineRule="auto"/>
        <w:jc w:val="center"/>
        <w:outlineLvl w:val="9"/>
        <w:rPr>
          <w:rFonts w:ascii="宋体" w:hAnsi="宋体"/>
          <w:b/>
          <w:color w:val="auto"/>
          <w:sz w:val="32"/>
          <w:szCs w:val="32"/>
        </w:rPr>
      </w:pPr>
      <w:bookmarkStart w:id="4" w:name="_Toc15040"/>
    </w:p>
    <w:p w14:paraId="52408E63">
      <w:pPr>
        <w:spacing w:line="360" w:lineRule="auto"/>
        <w:jc w:val="center"/>
        <w:outlineLvl w:val="9"/>
        <w:rPr>
          <w:rFonts w:ascii="宋体" w:hAnsi="宋体"/>
          <w:b/>
          <w:color w:val="auto"/>
          <w:sz w:val="32"/>
          <w:szCs w:val="32"/>
        </w:rPr>
      </w:pPr>
    </w:p>
    <w:p w14:paraId="7EDA81E5">
      <w:pPr>
        <w:spacing w:line="360" w:lineRule="auto"/>
        <w:jc w:val="center"/>
        <w:outlineLvl w:val="9"/>
        <w:rPr>
          <w:rFonts w:ascii="宋体" w:hAnsi="宋体"/>
          <w:color w:val="auto"/>
          <w:sz w:val="32"/>
          <w:szCs w:val="32"/>
        </w:rPr>
      </w:pPr>
    </w:p>
    <w:p w14:paraId="4CC6DF7A">
      <w:pPr>
        <w:tabs>
          <w:tab w:val="left" w:pos="6210"/>
        </w:tabs>
        <w:rPr>
          <w:rFonts w:ascii="宋体" w:hAnsi="宋体"/>
          <w:color w:val="auto"/>
          <w:sz w:val="32"/>
          <w:szCs w:val="32"/>
        </w:rPr>
        <w:sectPr>
          <w:headerReference r:id="rId6" w:type="default"/>
          <w:footerReference r:id="rId7" w:type="default"/>
          <w:pgSz w:w="11906" w:h="16838"/>
          <w:pgMar w:top="1440" w:right="1080" w:bottom="1440" w:left="1080" w:header="851" w:footer="992" w:gutter="0"/>
          <w:pgNumType w:fmt="decimal" w:start="1"/>
          <w:cols w:space="720" w:num="1"/>
          <w:docGrid w:type="lines" w:linePitch="286" w:charSpace="0"/>
        </w:sectPr>
      </w:pPr>
      <w:r>
        <w:rPr>
          <w:rFonts w:ascii="宋体" w:hAnsi="宋体"/>
          <w:color w:val="auto"/>
          <w:sz w:val="32"/>
          <w:szCs w:val="32"/>
        </w:rPr>
        <w:tab/>
      </w:r>
    </w:p>
    <w:p w14:paraId="5124831C">
      <w:pPr>
        <w:pStyle w:val="3"/>
        <w:bidi w:val="0"/>
        <w:jc w:val="center"/>
        <w:outlineLvl w:val="0"/>
        <w:rPr>
          <w:rFonts w:hint="eastAsia" w:ascii="宋体" w:hAnsi="宋体" w:eastAsia="宋体" w:cs="宋体"/>
          <w:color w:val="auto"/>
          <w:sz w:val="24"/>
          <w:szCs w:val="24"/>
        </w:rPr>
      </w:pPr>
      <w:bookmarkStart w:id="5" w:name="_Toc27750"/>
      <w:r>
        <w:rPr>
          <w:rFonts w:hint="eastAsia" w:ascii="宋体" w:hAnsi="宋体" w:eastAsia="宋体" w:cs="宋体"/>
          <w:color w:val="auto"/>
          <w:sz w:val="24"/>
          <w:szCs w:val="24"/>
        </w:rPr>
        <w:t>第一部分  竞争性磋商公告</w:t>
      </w:r>
      <w:bookmarkEnd w:id="4"/>
      <w:bookmarkEnd w:id="5"/>
    </w:p>
    <w:p w14:paraId="76AE223B">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center"/>
        <w:textAlignment w:val="auto"/>
        <w:rPr>
          <w:rFonts w:ascii="宋体" w:hAnsi="宋体" w:cs="Helvetica"/>
          <w:b/>
          <w:bCs/>
          <w:color w:val="auto"/>
          <w:kern w:val="0"/>
          <w:sz w:val="24"/>
          <w:lang w:val="en"/>
        </w:rPr>
      </w:pPr>
      <w:bookmarkStart w:id="6" w:name="_Hlk62638239"/>
      <w:r>
        <w:rPr>
          <w:rFonts w:hint="eastAsia" w:ascii="宋体" w:hAnsi="宋体" w:cs="Helvetica"/>
          <w:b/>
          <w:bCs/>
          <w:color w:val="auto"/>
          <w:kern w:val="0"/>
          <w:sz w:val="24"/>
          <w:lang w:val="en" w:eastAsia="zh-CN"/>
        </w:rPr>
        <w:t>千泉街道郭庄社区低压线路升级改造工程</w:t>
      </w:r>
      <w:r>
        <w:rPr>
          <w:rFonts w:hint="eastAsia" w:ascii="宋体" w:hAnsi="宋体" w:cs="Helvetica"/>
          <w:b/>
          <w:bCs/>
          <w:color w:val="auto"/>
          <w:kern w:val="0"/>
          <w:sz w:val="24"/>
          <w:lang w:val="en"/>
        </w:rPr>
        <w:t>竞争性磋商公告</w:t>
      </w:r>
    </w:p>
    <w:p w14:paraId="2FA4D444">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eastAsia="zh-CN"/>
        </w:rPr>
      </w:pPr>
      <w:bookmarkStart w:id="7" w:name="_Hlk52379596"/>
      <w:r>
        <w:rPr>
          <w:rFonts w:hint="eastAsia" w:ascii="宋体" w:hAnsi="宋体" w:cs="宋体"/>
          <w:b/>
          <w:bCs/>
          <w:color w:val="auto"/>
          <w:kern w:val="0"/>
          <w:sz w:val="24"/>
        </w:rPr>
        <w:t>一、采 购 人：</w:t>
      </w:r>
      <w:r>
        <w:rPr>
          <w:rFonts w:hint="eastAsia" w:ascii="宋体" w:hAnsi="宋体" w:cs="宋体"/>
          <w:b w:val="0"/>
          <w:bCs w:val="0"/>
          <w:color w:val="auto"/>
          <w:kern w:val="0"/>
          <w:sz w:val="24"/>
          <w:lang w:eastAsia="zh-CN"/>
        </w:rPr>
        <w:t>邹城市千泉街道郭庄社区居民委员会</w:t>
      </w:r>
    </w:p>
    <w:p w14:paraId="0F75E66A">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cs="宋体"/>
          <w:b/>
          <w:bCs/>
          <w:color w:val="auto"/>
          <w:kern w:val="0"/>
          <w:sz w:val="24"/>
        </w:rPr>
        <w:t>二、项目名称：</w:t>
      </w:r>
      <w:r>
        <w:rPr>
          <w:rFonts w:hint="eastAsia" w:ascii="宋体" w:hAnsi="宋体" w:cs="宋体"/>
          <w:b w:val="0"/>
          <w:bCs w:val="0"/>
          <w:color w:val="auto"/>
          <w:kern w:val="0"/>
          <w:sz w:val="24"/>
          <w:lang w:eastAsia="zh-CN"/>
        </w:rPr>
        <w:t>千泉街道郭庄社区低压线路升级改造工程</w:t>
      </w:r>
    </w:p>
    <w:p w14:paraId="4BF1C1DF">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cs="宋体"/>
          <w:b w:val="0"/>
          <w:bCs w:val="0"/>
          <w:color w:val="auto"/>
          <w:kern w:val="0"/>
          <w:sz w:val="24"/>
          <w:lang w:val="en-US" w:eastAsia="zh-CN"/>
        </w:rPr>
      </w:pPr>
      <w:r>
        <w:rPr>
          <w:rFonts w:hint="eastAsia" w:ascii="宋体" w:hAnsi="宋体" w:cs="宋体"/>
          <w:b/>
          <w:bCs/>
          <w:color w:val="auto"/>
          <w:kern w:val="0"/>
          <w:sz w:val="24"/>
        </w:rPr>
        <w:t>三、项目编号：</w:t>
      </w:r>
      <w:r>
        <w:rPr>
          <w:rFonts w:hint="eastAsia" w:ascii="宋体" w:hAnsi="宋体" w:cs="宋体"/>
          <w:b w:val="0"/>
          <w:bCs w:val="0"/>
          <w:color w:val="auto"/>
          <w:kern w:val="0"/>
          <w:sz w:val="24"/>
          <w:lang w:eastAsia="zh-CN"/>
        </w:rPr>
        <w:t>XSSD-ZB-2025-011</w:t>
      </w:r>
    </w:p>
    <w:p w14:paraId="1453A6F7">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cs="宋体"/>
          <w:b/>
          <w:bCs/>
          <w:color w:val="auto"/>
          <w:kern w:val="0"/>
          <w:sz w:val="24"/>
          <w:lang w:eastAsia="zh-CN"/>
        </w:rPr>
      </w:pPr>
      <w:r>
        <w:rPr>
          <w:rFonts w:hint="eastAsia" w:ascii="宋体" w:hAnsi="宋体" w:cs="宋体"/>
          <w:b/>
          <w:bCs/>
          <w:color w:val="auto"/>
          <w:kern w:val="0"/>
          <w:sz w:val="24"/>
          <w:lang w:eastAsia="zh-CN"/>
        </w:rPr>
        <w:t>四、采购内容：</w:t>
      </w:r>
    </w:p>
    <w:p w14:paraId="1D10AA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rPr>
      </w:pPr>
      <w:r>
        <w:rPr>
          <w:rFonts w:hint="eastAsia" w:ascii="宋体" w:hAnsi="宋体" w:cs="宋体"/>
          <w:color w:val="auto"/>
          <w:sz w:val="24"/>
          <w:szCs w:val="24"/>
          <w:lang w:eastAsia="zh-CN"/>
        </w:rPr>
        <w:t>千泉街道郭庄社区低压线路升级改造工程</w:t>
      </w:r>
      <w:r>
        <w:rPr>
          <w:rFonts w:hint="eastAsia" w:ascii="宋体" w:hAnsi="宋体" w:eastAsia="宋体" w:cs="宋体"/>
          <w:color w:val="auto"/>
          <w:sz w:val="24"/>
          <w:szCs w:val="24"/>
          <w:lang w:eastAsia="zh-CN"/>
        </w:rPr>
        <w:t>主要包括：</w:t>
      </w:r>
      <w:r>
        <w:rPr>
          <w:rFonts w:hint="eastAsia" w:ascii="宋体" w:hAnsi="宋体" w:cs="宋体"/>
          <w:color w:val="auto"/>
          <w:sz w:val="24"/>
          <w:szCs w:val="24"/>
          <w:lang w:val="en-US" w:eastAsia="zh-CN"/>
        </w:rPr>
        <w:t>更换10㎡铝芯线30000米、更换智能扫码电表645块、更换150㎡主线5000米、更换箱式变压器一台，安装路灯 40 盏等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eastAsia="zh-CN"/>
        </w:rPr>
        <w:t>采购预算为</w:t>
      </w:r>
      <w:r>
        <w:rPr>
          <w:rFonts w:hint="eastAsia" w:ascii="宋体" w:hAnsi="宋体" w:cs="宋体"/>
          <w:color w:val="auto"/>
          <w:sz w:val="24"/>
          <w:szCs w:val="24"/>
          <w:lang w:val="en-US" w:eastAsia="zh-CN"/>
        </w:rPr>
        <w:t>1127047.96</w:t>
      </w:r>
      <w:r>
        <w:rPr>
          <w:rFonts w:hint="eastAsia" w:ascii="宋体" w:hAnsi="宋体" w:eastAsia="宋体" w:cs="宋体"/>
          <w:color w:val="auto"/>
          <w:sz w:val="24"/>
          <w:szCs w:val="24"/>
          <w:lang w:eastAsia="zh-CN"/>
        </w:rPr>
        <w:t xml:space="preserve"> 元 (详见第四章采购内容及要求)</w:t>
      </w:r>
      <w:r>
        <w:rPr>
          <w:rFonts w:hint="eastAsia" w:ascii="宋体" w:hAnsi="宋体" w:cs="宋体"/>
          <w:color w:val="auto"/>
          <w:kern w:val="0"/>
          <w:sz w:val="24"/>
          <w:shd w:val="clear" w:color="auto" w:fill="FFFFFF"/>
          <w:lang w:val="en-US" w:eastAsia="zh-CN" w:bidi="ar"/>
        </w:rPr>
        <w:t>。</w:t>
      </w:r>
    </w:p>
    <w:p w14:paraId="2A1D62F6">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宋体"/>
          <w:b/>
          <w:bCs/>
          <w:color w:val="auto"/>
          <w:kern w:val="0"/>
          <w:sz w:val="24"/>
        </w:rPr>
      </w:pPr>
      <w:r>
        <w:rPr>
          <w:rFonts w:hint="eastAsia" w:ascii="宋体" w:hAnsi="宋体" w:cs="宋体"/>
          <w:b/>
          <w:bCs/>
          <w:color w:val="auto"/>
          <w:kern w:val="0"/>
          <w:sz w:val="24"/>
        </w:rPr>
        <w:t>五、供应商资格要求：</w:t>
      </w:r>
    </w:p>
    <w:p w14:paraId="22A7CF97">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color w:val="auto"/>
          <w:kern w:val="0"/>
          <w:sz w:val="24"/>
        </w:rPr>
        <w:t>1、具备《政府采购法》第二十二条规定的条件。</w:t>
      </w:r>
    </w:p>
    <w:p w14:paraId="41E61CF1">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（一）具有独立承担民事责任的能力；</w:t>
      </w:r>
    </w:p>
    <w:p w14:paraId="75C479EB">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（二）具有良好的商业信誉和健全的财务会计制度；</w:t>
      </w:r>
    </w:p>
    <w:p w14:paraId="646EDC86">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（三）具有履行合同所必需的货物和专业技术能力；</w:t>
      </w:r>
    </w:p>
    <w:p w14:paraId="330D5A4A">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（四）有依法缴纳税收和社会保障资金的良好记录；</w:t>
      </w:r>
    </w:p>
    <w:p w14:paraId="101A417D">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（五）参加政府采购活动前三年内，在经营活动中没有重大违法记录；</w:t>
      </w:r>
    </w:p>
    <w:p w14:paraId="1AA9B55C">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bCs/>
          <w:color w:val="auto"/>
          <w:kern w:val="0"/>
          <w:sz w:val="24"/>
        </w:rPr>
        <w:t>（六）法律、行政法规规定的其他条件。</w:t>
      </w:r>
    </w:p>
    <w:p w14:paraId="4880EBF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color w:val="auto"/>
          <w:sz w:val="24"/>
        </w:rPr>
      </w:pPr>
      <w:r>
        <w:rPr>
          <w:rFonts w:hint="eastAsia" w:ascii="宋体" w:hAnsi="宋体" w:cs="宋体"/>
          <w:bCs/>
          <w:color w:val="auto"/>
          <w:kern w:val="0"/>
          <w:sz w:val="24"/>
        </w:rPr>
        <w:t>2、</w:t>
      </w:r>
      <w:r>
        <w:rPr>
          <w:rFonts w:ascii="宋体" w:hAnsi="宋体" w:eastAsia="宋体" w:cs="宋体"/>
          <w:color w:val="auto"/>
          <w:spacing w:val="12"/>
          <w:sz w:val="24"/>
          <w:szCs w:val="24"/>
        </w:rPr>
        <w:t>本</w:t>
      </w:r>
      <w:r>
        <w:rPr>
          <w:rFonts w:ascii="宋体" w:hAnsi="宋体" w:eastAsia="宋体" w:cs="宋体"/>
          <w:color w:val="auto"/>
          <w:spacing w:val="11"/>
          <w:sz w:val="24"/>
          <w:szCs w:val="24"/>
        </w:rPr>
        <w:t>次采购要求：</w:t>
      </w:r>
      <w:r>
        <w:rPr>
          <w:rFonts w:hint="eastAsia" w:ascii="宋体" w:hAnsi="宋体" w:eastAsia="宋体" w:cs="宋体"/>
          <w:i w:val="0"/>
          <w:iCs w:val="0"/>
          <w:caps w:val="0"/>
          <w:color w:val="auto"/>
          <w:spacing w:val="0"/>
          <w:sz w:val="24"/>
          <w:szCs w:val="24"/>
          <w:shd w:val="clear" w:fill="FFFFFF"/>
        </w:rPr>
        <w:t>供应商须具备</w:t>
      </w:r>
      <w:r>
        <w:rPr>
          <w:rFonts w:hint="eastAsia" w:ascii="宋体" w:hAnsi="宋体" w:cs="宋体"/>
          <w:b/>
          <w:bCs/>
          <w:i w:val="0"/>
          <w:iCs w:val="0"/>
          <w:caps w:val="0"/>
          <w:color w:val="auto"/>
          <w:spacing w:val="0"/>
          <w:sz w:val="24"/>
          <w:szCs w:val="24"/>
          <w:u w:val="single"/>
          <w:shd w:val="clear" w:fill="FFFFFF"/>
          <w:lang w:eastAsia="zh-CN"/>
        </w:rPr>
        <w:t>电力工程施工总承包三级（含）以上资质及承装(修、试)电力设施许可证（须含承装类和承试类）四级（含）以上资质；或输变电工程专业承包三级（含）以上资质及承装(修、试)电力设施许可证（须含承装类和承试类）四级（含）以上资质</w:t>
      </w:r>
      <w:r>
        <w:rPr>
          <w:rFonts w:hint="eastAsia" w:ascii="宋体" w:hAnsi="宋体" w:eastAsia="宋体" w:cs="宋体"/>
          <w:i w:val="0"/>
          <w:iCs w:val="0"/>
          <w:caps w:val="0"/>
          <w:color w:val="auto"/>
          <w:spacing w:val="0"/>
          <w:sz w:val="24"/>
          <w:szCs w:val="24"/>
          <w:shd w:val="clear" w:fill="FFFFFF"/>
        </w:rPr>
        <w:t>，并在人员、设备、资金等方面具有相应的施工能力，</w:t>
      </w:r>
      <w:r>
        <w:rPr>
          <w:rFonts w:hint="eastAsia" w:ascii="宋体" w:hAnsi="宋体" w:eastAsia="宋体" w:cs="宋体"/>
          <w:i w:val="0"/>
          <w:iCs w:val="0"/>
          <w:caps w:val="0"/>
          <w:color w:val="auto"/>
          <w:spacing w:val="0"/>
          <w:sz w:val="24"/>
          <w:szCs w:val="24"/>
          <w:shd w:val="clear" w:color="auto" w:fill="FFFFFF"/>
        </w:rPr>
        <w:t>无拖欠农民工工资的不良行为</w:t>
      </w:r>
      <w:r>
        <w:rPr>
          <w:rFonts w:hint="eastAsia" w:ascii="宋体" w:hAnsi="宋体" w:eastAsia="宋体" w:cs="宋体"/>
          <w:i w:val="0"/>
          <w:iCs w:val="0"/>
          <w:caps w:val="0"/>
          <w:color w:val="auto"/>
          <w:spacing w:val="0"/>
          <w:sz w:val="24"/>
          <w:szCs w:val="24"/>
          <w:shd w:val="clear" w:color="auto" w:fill="FFFFFF"/>
          <w:lang w:eastAsia="zh-CN"/>
        </w:rPr>
        <w:t>。</w:t>
      </w:r>
      <w:r>
        <w:rPr>
          <w:rFonts w:hint="eastAsia" w:ascii="宋体" w:hAnsi="宋体" w:eastAsia="宋体" w:cs="宋体"/>
          <w:i w:val="0"/>
          <w:iCs w:val="0"/>
          <w:caps w:val="0"/>
          <w:color w:val="auto"/>
          <w:spacing w:val="0"/>
          <w:sz w:val="24"/>
          <w:szCs w:val="24"/>
          <w:shd w:val="clear" w:fill="FFFFFF"/>
        </w:rPr>
        <w:t>其中，供应商拟派项目经理须</w:t>
      </w:r>
      <w:r>
        <w:rPr>
          <w:rFonts w:hint="eastAsia" w:ascii="宋体" w:hAnsi="宋体" w:cs="宋体"/>
          <w:b/>
          <w:bCs/>
          <w:i w:val="0"/>
          <w:iCs w:val="0"/>
          <w:caps w:val="0"/>
          <w:color w:val="auto"/>
          <w:spacing w:val="0"/>
          <w:sz w:val="24"/>
          <w:szCs w:val="24"/>
          <w:u w:val="single"/>
          <w:shd w:val="clear" w:fill="FFFFFF"/>
          <w:lang w:eastAsia="zh-CN"/>
        </w:rPr>
        <w:t>具备本单位注册的机电专业贰级（含）以上注册建造师执业资格；或电力专业贰级（含）以上注册建造师执业资格，具备有效的安全生产考核证书B证</w:t>
      </w:r>
      <w:r>
        <w:rPr>
          <w:rFonts w:hint="eastAsia" w:ascii="宋体" w:hAnsi="宋体" w:eastAsia="宋体" w:cs="宋体"/>
          <w:i w:val="0"/>
          <w:iCs w:val="0"/>
          <w:caps w:val="0"/>
          <w:color w:val="auto"/>
          <w:spacing w:val="0"/>
          <w:sz w:val="24"/>
          <w:szCs w:val="24"/>
          <w:shd w:val="clear" w:fill="FFFFFF"/>
        </w:rPr>
        <w:t>，且未担任其他在施建设工程项目的项目经理</w:t>
      </w:r>
      <w:r>
        <w:rPr>
          <w:rFonts w:hint="eastAsia" w:ascii="宋体" w:hAnsi="宋体" w:cs="宋体"/>
          <w:bCs/>
          <w:color w:val="auto"/>
          <w:kern w:val="0"/>
          <w:sz w:val="24"/>
        </w:rPr>
        <w:t>。</w:t>
      </w:r>
    </w:p>
    <w:p w14:paraId="7F8BB1AF">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3、因建设工地扬尘污染暂扣安全生产许可证的施工单位，不得参与本项目的磋商；因拖欠农民工工资，计入山东省（省级）及济宁市诚信黑榜，被限制济宁市内建设工程投标资格的施工单位，不得参与本项目的磋商。</w:t>
      </w:r>
    </w:p>
    <w:p w14:paraId="6FD4FB4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
          <w:bCs w:val="0"/>
          <w:color w:val="auto"/>
          <w:kern w:val="0"/>
          <w:sz w:val="24"/>
        </w:rPr>
      </w:pPr>
      <w:r>
        <w:rPr>
          <w:rFonts w:hint="eastAsia" w:ascii="宋体" w:hAnsi="宋体" w:cs="宋体"/>
          <w:bCs/>
          <w:color w:val="auto"/>
          <w:kern w:val="0"/>
          <w:sz w:val="24"/>
        </w:rPr>
        <w:t>4、供应商在递交响应文件时需同时提供</w:t>
      </w:r>
      <w:r>
        <w:rPr>
          <w:rFonts w:hint="eastAsia" w:ascii="宋体" w:hAnsi="宋体" w:cs="宋体"/>
          <w:b/>
          <w:bCs w:val="0"/>
          <w:color w:val="auto"/>
          <w:kern w:val="0"/>
          <w:sz w:val="24"/>
        </w:rPr>
        <w:t>本单位营业执照(副本原件或加盖单位公章复印件)、资质证书（原件或加盖单位公章复印件）、安全生产许可证（副本原件或加盖单位公章复印件）、项目经理</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建造师注册证（原件或加盖单位公章复印件）及建造师安全生产考核合格证B证（</w:t>
      </w:r>
      <w:r>
        <w:rPr>
          <w:rFonts w:hint="eastAsia" w:ascii="宋体" w:hAnsi="宋体" w:cs="宋体"/>
          <w:b/>
          <w:bCs w:val="0"/>
          <w:color w:val="auto"/>
          <w:kern w:val="0"/>
          <w:sz w:val="24"/>
          <w:lang w:eastAsia="zh-CN"/>
        </w:rPr>
        <w:t>原件或加盖单位公章复印件</w:t>
      </w:r>
      <w:r>
        <w:rPr>
          <w:rFonts w:hint="eastAsia" w:ascii="宋体" w:hAnsi="宋体" w:cs="宋体"/>
          <w:b/>
          <w:bCs w:val="0"/>
          <w:color w:val="auto"/>
          <w:kern w:val="0"/>
          <w:sz w:val="24"/>
        </w:rPr>
        <w:t>）、法定代表人或授权委托人有效身份证原件及法人授权委托书原件以及竞争性磋商文件第三部分磋商组织、步骤与评审方法中要求的相关证件资料等。</w:t>
      </w:r>
    </w:p>
    <w:p w14:paraId="1798331E">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2"/>
        <w:jc w:val="left"/>
        <w:textAlignment w:val="baseline"/>
        <w:rPr>
          <w:rFonts w:hint="eastAsia" w:ascii="微软雅黑" w:hAnsi="微软雅黑" w:eastAsia="微软雅黑" w:cs="微软雅黑"/>
          <w:i w:val="0"/>
          <w:iCs w:val="0"/>
          <w:caps w:val="0"/>
          <w:color w:val="auto"/>
          <w:spacing w:val="0"/>
          <w:sz w:val="24"/>
          <w:szCs w:val="24"/>
        </w:rPr>
      </w:pPr>
      <w:r>
        <w:rPr>
          <w:rFonts w:hint="eastAsia" w:ascii="宋体" w:hAnsi="宋体" w:cs="宋体"/>
          <w:b/>
          <w:bCs w:val="0"/>
          <w:color w:val="auto"/>
          <w:kern w:val="0"/>
          <w:sz w:val="24"/>
        </w:rPr>
        <w:t>注：</w:t>
      </w:r>
      <w:r>
        <w:rPr>
          <w:rFonts w:hint="eastAsia" w:ascii="宋体" w:hAnsi="宋体" w:cs="宋体"/>
          <w:b/>
          <w:bCs w:val="0"/>
          <w:color w:val="auto"/>
          <w:kern w:val="0"/>
          <w:sz w:val="24"/>
          <w:lang w:eastAsia="zh-CN"/>
        </w:rPr>
        <w:t>供应商应按</w:t>
      </w:r>
      <w:r>
        <w:rPr>
          <w:rFonts w:hint="eastAsia" w:ascii="宋体" w:hAnsi="宋体" w:cs="宋体"/>
          <w:b/>
          <w:bCs w:val="0"/>
          <w:color w:val="auto"/>
          <w:kern w:val="0"/>
          <w:sz w:val="24"/>
        </w:rPr>
        <w:t>上述</w:t>
      </w:r>
      <w:r>
        <w:rPr>
          <w:rFonts w:hint="eastAsia" w:ascii="宋体" w:hAnsi="宋体" w:cs="宋体"/>
          <w:b/>
          <w:bCs w:val="0"/>
          <w:color w:val="auto"/>
          <w:kern w:val="0"/>
          <w:sz w:val="24"/>
          <w:lang w:eastAsia="zh-CN"/>
        </w:rPr>
        <w:t>要求提供有关</w:t>
      </w:r>
      <w:r>
        <w:rPr>
          <w:rFonts w:hint="eastAsia" w:ascii="宋体" w:hAnsi="宋体" w:cs="宋体"/>
          <w:b/>
          <w:bCs w:val="0"/>
          <w:color w:val="auto"/>
          <w:kern w:val="0"/>
          <w:sz w:val="24"/>
        </w:rPr>
        <w:t>材料、证件，</w:t>
      </w:r>
      <w:r>
        <w:rPr>
          <w:rFonts w:hint="eastAsia" w:ascii="宋体" w:hAnsi="宋体" w:cs="宋体"/>
          <w:b/>
          <w:bCs w:val="0"/>
          <w:color w:val="auto"/>
          <w:kern w:val="0"/>
          <w:sz w:val="24"/>
          <w:lang w:eastAsia="zh-CN"/>
        </w:rPr>
        <w:t>要求可以提供加盖公章复印件的材料、证件，已</w:t>
      </w:r>
      <w:r>
        <w:rPr>
          <w:rFonts w:hint="eastAsia" w:ascii="宋体" w:hAnsi="宋体" w:cs="宋体"/>
          <w:b/>
          <w:bCs w:val="0"/>
          <w:color w:val="auto"/>
          <w:kern w:val="0"/>
          <w:sz w:val="24"/>
        </w:rPr>
        <w:t>编制在响应文件中</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w:t>
      </w:r>
      <w:r>
        <w:rPr>
          <w:rFonts w:hint="eastAsia" w:ascii="宋体" w:hAnsi="宋体" w:cs="宋体"/>
          <w:b/>
          <w:bCs w:val="0"/>
          <w:color w:val="auto"/>
          <w:kern w:val="0"/>
          <w:sz w:val="24"/>
          <w:lang w:eastAsia="zh-CN"/>
        </w:rPr>
        <w:t>无需再单独提供；</w:t>
      </w:r>
      <w:r>
        <w:rPr>
          <w:rFonts w:hint="eastAsia" w:ascii="宋体" w:hAnsi="宋体" w:cs="宋体"/>
          <w:b/>
          <w:bCs w:val="0"/>
          <w:color w:val="auto"/>
          <w:kern w:val="0"/>
          <w:sz w:val="24"/>
        </w:rPr>
        <w:t>若供应商未将</w:t>
      </w:r>
      <w:r>
        <w:rPr>
          <w:rFonts w:hint="eastAsia" w:ascii="宋体" w:hAnsi="宋体" w:cs="宋体"/>
          <w:b/>
          <w:bCs w:val="0"/>
          <w:color w:val="auto"/>
          <w:kern w:val="0"/>
          <w:sz w:val="24"/>
          <w:lang w:eastAsia="zh-CN"/>
        </w:rPr>
        <w:t>相关材料、证件的</w:t>
      </w:r>
      <w:r>
        <w:rPr>
          <w:rFonts w:hint="eastAsia" w:ascii="宋体" w:hAnsi="宋体" w:cs="宋体"/>
          <w:b/>
          <w:bCs w:val="0"/>
          <w:color w:val="auto"/>
          <w:kern w:val="0"/>
          <w:sz w:val="24"/>
        </w:rPr>
        <w:t>复印件编制在响应文件中，则涉及资格等无效磋商响应文件情形的，将</w:t>
      </w:r>
      <w:r>
        <w:rPr>
          <w:rFonts w:hint="eastAsia" w:ascii="宋体" w:hAnsi="宋体" w:cs="宋体"/>
          <w:b/>
          <w:bCs w:val="0"/>
          <w:color w:val="auto"/>
          <w:kern w:val="0"/>
          <w:sz w:val="24"/>
          <w:lang w:eastAsia="zh-CN"/>
        </w:rPr>
        <w:t>按照无效响应处理</w:t>
      </w:r>
      <w:r>
        <w:rPr>
          <w:rFonts w:hint="eastAsia" w:ascii="宋体" w:hAnsi="宋体" w:cs="宋体"/>
          <w:b/>
          <w:bCs w:val="0"/>
          <w:color w:val="auto"/>
          <w:kern w:val="0"/>
          <w:sz w:val="24"/>
        </w:rPr>
        <w:t>，且不因</w:t>
      </w:r>
      <w:r>
        <w:rPr>
          <w:rFonts w:hint="eastAsia" w:ascii="宋体" w:hAnsi="宋体" w:cs="宋体"/>
          <w:b/>
          <w:bCs w:val="0"/>
          <w:color w:val="auto"/>
          <w:kern w:val="0"/>
          <w:sz w:val="24"/>
          <w:lang w:eastAsia="zh-CN"/>
        </w:rPr>
        <w:t>单独提供了有关材料、证件</w:t>
      </w:r>
      <w:r>
        <w:rPr>
          <w:rFonts w:hint="eastAsia" w:ascii="宋体" w:hAnsi="宋体" w:cs="宋体"/>
          <w:b/>
          <w:bCs w:val="0"/>
          <w:color w:val="auto"/>
          <w:kern w:val="0"/>
          <w:sz w:val="24"/>
        </w:rPr>
        <w:t>而改变。供应商在磋商时未按上述要求提供证明材料的，按无效响应文件处理或按评审办法规定不予认可</w:t>
      </w:r>
      <w:r>
        <w:rPr>
          <w:rFonts w:hint="eastAsia" w:ascii="宋体" w:hAnsi="宋体" w:eastAsia="宋体" w:cs="宋体"/>
          <w:b/>
          <w:bCs/>
          <w:i w:val="0"/>
          <w:iCs w:val="0"/>
          <w:caps w:val="0"/>
          <w:color w:val="auto"/>
          <w:spacing w:val="0"/>
          <w:sz w:val="24"/>
          <w:szCs w:val="24"/>
          <w:shd w:val="clear" w:fill="FFFFFF"/>
        </w:rPr>
        <w:t>。</w:t>
      </w:r>
    </w:p>
    <w:p w14:paraId="157959E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kern w:val="0"/>
          <w:sz w:val="24"/>
        </w:rPr>
      </w:pPr>
      <w:r>
        <w:rPr>
          <w:rFonts w:hint="eastAsia" w:ascii="宋体" w:hAnsi="宋体" w:eastAsia="宋体" w:cs="宋体"/>
          <w:i w:val="0"/>
          <w:iCs w:val="0"/>
          <w:caps w:val="0"/>
          <w:color w:val="auto"/>
          <w:spacing w:val="0"/>
          <w:sz w:val="24"/>
          <w:szCs w:val="24"/>
          <w:shd w:val="clear" w:fill="FFFFFF"/>
        </w:rPr>
        <w:t>5、本次竞争性磋商不接受联合体</w:t>
      </w:r>
      <w:r>
        <w:rPr>
          <w:rFonts w:hint="eastAsia" w:ascii="宋体" w:hAnsi="宋体" w:cs="宋体"/>
          <w:color w:val="auto"/>
          <w:kern w:val="0"/>
          <w:sz w:val="24"/>
        </w:rPr>
        <w:t>。</w:t>
      </w:r>
    </w:p>
    <w:bookmarkEnd w:id="6"/>
    <w:bookmarkEnd w:id="7"/>
    <w:p w14:paraId="1930C2FA">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rPr>
      </w:pPr>
      <w:r>
        <w:rPr>
          <w:rFonts w:hint="eastAsia" w:ascii="宋体" w:hAnsi="宋体" w:eastAsia="宋体" w:cs="宋体"/>
          <w:b/>
          <w:bCs/>
          <w:color w:val="auto"/>
          <w:kern w:val="0"/>
          <w:sz w:val="24"/>
        </w:rPr>
        <w:t>六、磋商文件的获取：</w:t>
      </w:r>
    </w:p>
    <w:p w14:paraId="13CDDAF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1、时间：</w:t>
      </w:r>
      <w:r>
        <w:rPr>
          <w:rFonts w:hint="eastAsia" w:ascii="宋体" w:hAnsi="宋体" w:cs="宋体"/>
          <w:color w:val="auto"/>
          <w:sz w:val="24"/>
          <w:szCs w:val="24"/>
          <w:lang w:eastAsia="zh-CN"/>
        </w:rPr>
        <w:t>2025</w:t>
      </w:r>
      <w:r>
        <w:rPr>
          <w:rFonts w:hint="eastAsia" w:ascii="宋体" w:hAnsi="宋体" w:eastAsia="宋体" w:cs="宋体"/>
          <w:color w:val="auto"/>
          <w:sz w:val="24"/>
          <w:szCs w:val="24"/>
          <w:lang w:eastAsia="zh-CN"/>
        </w:rPr>
        <w:t>年</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eastAsia="zh-CN"/>
        </w:rPr>
        <w:t>月</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eastAsia="zh-CN"/>
        </w:rPr>
        <w:t>日至</w:t>
      </w:r>
      <w:r>
        <w:rPr>
          <w:rFonts w:hint="eastAsia" w:ascii="宋体" w:hAnsi="宋体" w:cs="宋体"/>
          <w:color w:val="auto"/>
          <w:sz w:val="24"/>
          <w:szCs w:val="24"/>
          <w:lang w:eastAsia="zh-CN"/>
        </w:rPr>
        <w:t>2025年</w:t>
      </w:r>
      <w:r>
        <w:rPr>
          <w:rFonts w:hint="eastAsia" w:ascii="宋体" w:hAnsi="宋体" w:cs="宋体"/>
          <w:color w:val="auto"/>
          <w:sz w:val="24"/>
          <w:szCs w:val="24"/>
          <w:lang w:val="en-US" w:eastAsia="zh-CN"/>
        </w:rPr>
        <w:t>4</w:t>
      </w:r>
      <w:r>
        <w:rPr>
          <w:rFonts w:hint="eastAsia" w:ascii="宋体" w:hAnsi="宋体" w:cs="宋体"/>
          <w:color w:val="auto"/>
          <w:sz w:val="24"/>
          <w:szCs w:val="24"/>
          <w:lang w:eastAsia="zh-CN"/>
        </w:rPr>
        <w:t>月</w:t>
      </w:r>
      <w:r>
        <w:rPr>
          <w:rFonts w:hint="eastAsia" w:ascii="宋体" w:hAnsi="宋体" w:cs="宋体"/>
          <w:color w:val="auto"/>
          <w:sz w:val="24"/>
          <w:szCs w:val="24"/>
          <w:lang w:val="en-US" w:eastAsia="zh-CN"/>
        </w:rPr>
        <w:t>15</w:t>
      </w:r>
      <w:r>
        <w:rPr>
          <w:rFonts w:hint="eastAsia" w:ascii="宋体" w:hAnsi="宋体" w:cs="宋体"/>
          <w:color w:val="auto"/>
          <w:sz w:val="24"/>
          <w:szCs w:val="24"/>
          <w:lang w:eastAsia="zh-CN"/>
        </w:rPr>
        <w:t>日09时00分</w:t>
      </w:r>
    </w:p>
    <w:p w14:paraId="7BCD531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2、地点：邹城市外宣网(http://w.mencius.gov.cn/)。</w:t>
      </w:r>
    </w:p>
    <w:p w14:paraId="65C1320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3、方式：登录邹城市外宣网(http://w.mencius.gov.cn/)直接点击公告下方附件下载竞争性磋商文件。</w:t>
      </w:r>
    </w:p>
    <w:p w14:paraId="11BCD845">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七、磋商响应文件的递交：</w:t>
      </w:r>
    </w:p>
    <w:p w14:paraId="0F16FCB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w:t>
      </w:r>
      <w:r>
        <w:rPr>
          <w:rFonts w:hint="eastAsia" w:ascii="宋体" w:hAnsi="宋体" w:cs="宋体"/>
          <w:color w:val="auto"/>
          <w:sz w:val="24"/>
          <w:szCs w:val="24"/>
          <w:lang w:eastAsia="zh-CN"/>
        </w:rPr>
        <w:t>邹城市千泉街道郭庄社区居民委员会</w:t>
      </w:r>
      <w:r>
        <w:rPr>
          <w:rFonts w:hint="eastAsia" w:ascii="宋体" w:hAnsi="宋体" w:eastAsia="宋体" w:cs="宋体"/>
          <w:color w:val="auto"/>
          <w:sz w:val="24"/>
          <w:szCs w:val="24"/>
          <w:lang w:eastAsia="zh-CN"/>
        </w:rPr>
        <w:t>于</w:t>
      </w:r>
      <w:r>
        <w:rPr>
          <w:rFonts w:hint="eastAsia" w:ascii="宋体" w:hAnsi="宋体" w:cs="宋体"/>
          <w:color w:val="auto"/>
          <w:sz w:val="24"/>
          <w:szCs w:val="24"/>
          <w:lang w:eastAsia="zh-CN"/>
        </w:rPr>
        <w:t>2025年4月15日09时00分</w:t>
      </w:r>
      <w:r>
        <w:rPr>
          <w:rFonts w:hint="eastAsia" w:ascii="宋体" w:hAnsi="宋体" w:eastAsia="宋体" w:cs="宋体"/>
          <w:color w:val="auto"/>
          <w:sz w:val="24"/>
          <w:szCs w:val="24"/>
          <w:lang w:eastAsia="zh-CN"/>
        </w:rPr>
        <w:t>磋商开始前在</w:t>
      </w:r>
      <w:r>
        <w:rPr>
          <w:rFonts w:hint="eastAsia" w:ascii="宋体" w:hAnsi="宋体" w:cs="宋体"/>
          <w:color w:val="auto"/>
          <w:sz w:val="24"/>
          <w:szCs w:val="24"/>
          <w:lang w:eastAsia="zh-CN"/>
        </w:rPr>
        <w:t>邹城市人民政府千泉街道办事处公共资源交易中心开标室</w:t>
      </w:r>
      <w:r>
        <w:rPr>
          <w:rFonts w:hint="eastAsia" w:ascii="宋体" w:hAnsi="宋体" w:eastAsia="宋体" w:cs="宋体"/>
          <w:color w:val="auto"/>
          <w:sz w:val="24"/>
          <w:szCs w:val="24"/>
          <w:lang w:eastAsia="zh-CN"/>
        </w:rPr>
        <w:t>受理供应商磋商响应文件的递交；</w:t>
      </w:r>
    </w:p>
    <w:p w14:paraId="69A97DA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2、逾期送达或未送达指定地点的磋商响应文件，采购人不予受理。</w:t>
      </w:r>
    </w:p>
    <w:p w14:paraId="11A76FE9">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八、磋商时间与地点：</w:t>
      </w:r>
    </w:p>
    <w:p w14:paraId="308319B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时间：</w:t>
      </w:r>
      <w:r>
        <w:rPr>
          <w:rFonts w:hint="eastAsia" w:ascii="宋体" w:hAnsi="宋体" w:cs="宋体"/>
          <w:color w:val="auto"/>
          <w:sz w:val="24"/>
          <w:szCs w:val="24"/>
          <w:lang w:eastAsia="zh-CN"/>
        </w:rPr>
        <w:t>2025年4月15日09时00分</w:t>
      </w:r>
      <w:r>
        <w:rPr>
          <w:rFonts w:hint="eastAsia" w:ascii="宋体" w:hAnsi="宋体" w:eastAsia="宋体" w:cs="宋体"/>
          <w:color w:val="auto"/>
          <w:sz w:val="24"/>
          <w:szCs w:val="24"/>
          <w:lang w:eastAsia="zh-CN"/>
        </w:rPr>
        <w:t>。</w:t>
      </w:r>
    </w:p>
    <w:p w14:paraId="0BD8437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地点：</w:t>
      </w:r>
      <w:r>
        <w:rPr>
          <w:rFonts w:hint="eastAsia" w:ascii="宋体" w:hAnsi="宋体" w:cs="宋体"/>
          <w:color w:val="auto"/>
          <w:sz w:val="24"/>
          <w:szCs w:val="24"/>
          <w:lang w:eastAsia="zh-CN"/>
        </w:rPr>
        <w:t>邹城市人民政府千泉街道办事处公共资源交易中心开标室</w:t>
      </w:r>
      <w:r>
        <w:rPr>
          <w:rFonts w:hint="eastAsia" w:ascii="宋体" w:hAnsi="宋体" w:eastAsia="宋体" w:cs="宋体"/>
          <w:color w:val="auto"/>
          <w:sz w:val="24"/>
          <w:szCs w:val="24"/>
          <w:lang w:eastAsia="zh-CN"/>
        </w:rPr>
        <w:t>。</w:t>
      </w:r>
    </w:p>
    <w:p w14:paraId="211F96B6">
      <w:pPr>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lang w:eastAsia="zh-CN"/>
        </w:rPr>
        <w:t>九、联系方式：</w:t>
      </w:r>
    </w:p>
    <w:p w14:paraId="2B64AC1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 购 人：</w:t>
      </w:r>
      <w:r>
        <w:rPr>
          <w:rFonts w:hint="eastAsia" w:ascii="宋体" w:hAnsi="宋体" w:cs="宋体"/>
          <w:color w:val="auto"/>
          <w:sz w:val="24"/>
          <w:szCs w:val="24"/>
          <w:lang w:eastAsia="zh-CN"/>
        </w:rPr>
        <w:t>邹城市千泉街道郭庄社区居民委员会</w:t>
      </w:r>
    </w:p>
    <w:p w14:paraId="145E12B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    址：</w:t>
      </w:r>
      <w:r>
        <w:rPr>
          <w:rFonts w:hint="eastAsia" w:ascii="宋体" w:hAnsi="宋体" w:cs="宋体"/>
          <w:color w:val="auto"/>
          <w:sz w:val="24"/>
          <w:szCs w:val="24"/>
          <w:lang w:eastAsia="zh-CN"/>
        </w:rPr>
        <w:t>邹城市千泉街道郭庄社区</w:t>
      </w:r>
    </w:p>
    <w:p w14:paraId="111CDFB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 系 人：</w:t>
      </w:r>
      <w:r>
        <w:rPr>
          <w:rFonts w:hint="eastAsia" w:ascii="宋体" w:hAnsi="宋体" w:cs="宋体"/>
          <w:color w:val="auto"/>
          <w:sz w:val="24"/>
          <w:szCs w:val="24"/>
          <w:lang w:eastAsia="zh-CN"/>
        </w:rPr>
        <w:t>陈主任</w:t>
      </w:r>
    </w:p>
    <w:p w14:paraId="70A3B7E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联系电话：</w:t>
      </w:r>
      <w:r>
        <w:rPr>
          <w:rFonts w:hint="eastAsia" w:ascii="宋体" w:hAnsi="宋体" w:cs="宋体"/>
          <w:color w:val="auto"/>
          <w:sz w:val="24"/>
          <w:szCs w:val="24"/>
          <w:lang w:eastAsia="zh-CN"/>
        </w:rPr>
        <w:t>18678756088</w:t>
      </w:r>
    </w:p>
    <w:p w14:paraId="309D5B9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代理机构：</w:t>
      </w:r>
      <w:r>
        <w:rPr>
          <w:rFonts w:hint="eastAsia" w:ascii="宋体" w:hAnsi="宋体" w:cs="宋体"/>
          <w:color w:val="auto"/>
          <w:sz w:val="24"/>
          <w:szCs w:val="24"/>
          <w:lang w:eastAsia="zh-CN"/>
        </w:rPr>
        <w:t>信硕 (山东) 项目咨询有限公司</w:t>
      </w:r>
    </w:p>
    <w:p w14:paraId="43F3EF1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   址：</w:t>
      </w:r>
      <w:r>
        <w:rPr>
          <w:rFonts w:hint="eastAsia" w:ascii="宋体" w:hAnsi="宋体" w:cs="宋体"/>
          <w:color w:val="auto"/>
          <w:sz w:val="24"/>
          <w:szCs w:val="24"/>
          <w:lang w:eastAsia="zh-CN"/>
        </w:rPr>
        <w:t>邹城市鑫琦商贸城沿街门头</w:t>
      </w:r>
    </w:p>
    <w:p w14:paraId="597916F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 系 人：</w:t>
      </w:r>
      <w:r>
        <w:rPr>
          <w:rFonts w:hint="eastAsia" w:ascii="宋体" w:hAnsi="宋体" w:cs="宋体"/>
          <w:color w:val="auto"/>
          <w:sz w:val="24"/>
          <w:szCs w:val="24"/>
          <w:lang w:eastAsia="zh-CN"/>
        </w:rPr>
        <w:t>陈工</w:t>
      </w:r>
    </w:p>
    <w:p w14:paraId="3275311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联系电话：</w:t>
      </w:r>
      <w:r>
        <w:rPr>
          <w:rFonts w:hint="eastAsia" w:ascii="宋体" w:hAnsi="宋体" w:cs="宋体"/>
          <w:color w:val="auto"/>
          <w:sz w:val="24"/>
          <w:szCs w:val="24"/>
          <w:lang w:val="en-US" w:eastAsia="zh-CN"/>
        </w:rPr>
        <w:t>17860166186</w:t>
      </w:r>
      <w:r>
        <w:rPr>
          <w:rFonts w:hint="eastAsia" w:ascii="宋体" w:hAnsi="宋体" w:eastAsia="宋体" w:cs="宋体"/>
          <w:color w:val="auto"/>
          <w:sz w:val="24"/>
          <w:szCs w:val="24"/>
          <w:lang w:val="en-US" w:eastAsia="zh-CN"/>
        </w:rPr>
        <w:t xml:space="preserve">     </w:t>
      </w:r>
    </w:p>
    <w:p w14:paraId="22FDAE7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电子邮箱：</w:t>
      </w:r>
      <w:r>
        <w:rPr>
          <w:rFonts w:hint="eastAsia" w:ascii="宋体" w:hAnsi="宋体" w:cs="宋体"/>
          <w:color w:val="auto"/>
          <w:sz w:val="24"/>
          <w:szCs w:val="24"/>
          <w:lang w:eastAsia="zh-CN"/>
        </w:rPr>
        <w:t>xssdxmzx@163.com</w:t>
      </w:r>
    </w:p>
    <w:p w14:paraId="61D1922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十、重要说明</w:t>
      </w:r>
    </w:p>
    <w:p w14:paraId="737D07B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1、竞争性磋商文件等相关资料一经在邹城市外宣网 (http://w.mencius.gov.cn/）</w:t>
      </w:r>
    </w:p>
    <w:p w14:paraId="10E79DB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发布，视作已发放给所有潜在供应商 (发布时间即为发出磋商文件的时间)，各供应商应随时关注邹城市外宣网下载电子版磋商文件，否则所造成的一切后果由供应商自负。</w:t>
      </w:r>
    </w:p>
    <w:p w14:paraId="7232197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本项目如有必要澄清和修改需要发布变更公告的，将在本网站及时发布。请各潜在供应商及时关注相关信息。同时，依据相关法律法规规定，变更公告一旦发布即视为以书面形式通知所有潜在供应商。</w:t>
      </w:r>
    </w:p>
    <w:p w14:paraId="6C40853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eastAsia="zh-CN"/>
        </w:rPr>
        <w:t>邹城市千泉街道郭庄社区居民委员会</w:t>
      </w:r>
    </w:p>
    <w:p w14:paraId="0476175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eastAsia="zh-CN"/>
        </w:rPr>
        <w:t>信硕 (山东) 项目咨询有限公司</w:t>
      </w:r>
      <w:r>
        <w:rPr>
          <w:rFonts w:hint="eastAsia" w:ascii="宋体" w:hAnsi="宋体" w:eastAsia="宋体" w:cs="宋体"/>
          <w:color w:val="auto"/>
          <w:sz w:val="24"/>
          <w:szCs w:val="24"/>
          <w:lang w:eastAsia="zh-CN"/>
        </w:rPr>
        <w:t xml:space="preserve"> </w:t>
      </w:r>
    </w:p>
    <w:p w14:paraId="0263110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right"/>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发布时间：</w:t>
      </w:r>
      <w:r>
        <w:rPr>
          <w:rFonts w:hint="eastAsia" w:ascii="宋体" w:hAnsi="宋体" w:cs="宋体"/>
          <w:color w:val="auto"/>
          <w:sz w:val="24"/>
          <w:szCs w:val="24"/>
          <w:lang w:eastAsia="zh-CN"/>
        </w:rPr>
        <w:t>2025</w:t>
      </w:r>
      <w:r>
        <w:rPr>
          <w:rFonts w:hint="eastAsia" w:ascii="宋体" w:hAnsi="宋体" w:eastAsia="宋体" w:cs="宋体"/>
          <w:color w:val="auto"/>
          <w:sz w:val="24"/>
          <w:szCs w:val="24"/>
          <w:lang w:eastAsia="zh-CN"/>
        </w:rPr>
        <w:t>年</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eastAsia="zh-CN"/>
        </w:rPr>
        <w:t>月</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eastAsia="zh-CN"/>
        </w:rPr>
        <w:t>日</w:t>
      </w:r>
    </w:p>
    <w:p w14:paraId="5945E49C">
      <w:pPr>
        <w:widowControl/>
        <w:shd w:val="clear" w:color="auto" w:fill="FFFFFF"/>
        <w:spacing w:line="560" w:lineRule="exact"/>
        <w:ind w:firstLine="480"/>
        <w:jc w:val="left"/>
        <w:rPr>
          <w:rFonts w:ascii="宋体" w:hAnsi="宋体" w:cs="Helvetica"/>
          <w:color w:val="auto"/>
          <w:kern w:val="0"/>
          <w:sz w:val="24"/>
          <w:lang w:val="en"/>
        </w:rPr>
      </w:pPr>
    </w:p>
    <w:p w14:paraId="24E7C9B1">
      <w:pPr>
        <w:widowControl/>
        <w:shd w:val="clear" w:color="auto" w:fill="FFFFFF"/>
        <w:spacing w:line="560" w:lineRule="exact"/>
        <w:ind w:firstLine="480"/>
        <w:jc w:val="left"/>
        <w:rPr>
          <w:rFonts w:ascii="宋体" w:hAnsi="宋体" w:cs="Helvetica"/>
          <w:color w:val="auto"/>
          <w:kern w:val="0"/>
          <w:sz w:val="24"/>
          <w:lang w:val="en"/>
        </w:rPr>
      </w:pPr>
    </w:p>
    <w:p w14:paraId="3621F64B">
      <w:pPr>
        <w:widowControl/>
        <w:shd w:val="clear" w:color="auto" w:fill="FFFFFF"/>
        <w:spacing w:line="560" w:lineRule="exact"/>
        <w:ind w:firstLine="480"/>
        <w:jc w:val="left"/>
        <w:rPr>
          <w:rFonts w:ascii="宋体" w:hAnsi="宋体" w:cs="Helvetica"/>
          <w:color w:val="auto"/>
          <w:kern w:val="0"/>
          <w:sz w:val="24"/>
          <w:lang w:val="en"/>
        </w:rPr>
      </w:pPr>
    </w:p>
    <w:p w14:paraId="551FEFAF">
      <w:pPr>
        <w:widowControl/>
        <w:shd w:val="clear" w:color="auto" w:fill="FFFFFF"/>
        <w:spacing w:line="560" w:lineRule="exact"/>
        <w:ind w:firstLine="480"/>
        <w:jc w:val="left"/>
        <w:rPr>
          <w:rFonts w:ascii="宋体" w:hAnsi="宋体" w:cs="Helvetica"/>
          <w:color w:val="auto"/>
          <w:kern w:val="0"/>
          <w:sz w:val="24"/>
          <w:lang w:val="en"/>
        </w:rPr>
      </w:pPr>
    </w:p>
    <w:p w14:paraId="74E02F73">
      <w:pPr>
        <w:widowControl/>
        <w:shd w:val="clear" w:color="auto" w:fill="FFFFFF"/>
        <w:spacing w:line="560" w:lineRule="exact"/>
        <w:ind w:firstLine="480"/>
        <w:jc w:val="left"/>
        <w:rPr>
          <w:rFonts w:ascii="宋体" w:hAnsi="宋体" w:cs="Helvetica"/>
          <w:color w:val="auto"/>
          <w:kern w:val="0"/>
          <w:sz w:val="24"/>
          <w:lang w:val="en"/>
        </w:rPr>
      </w:pPr>
    </w:p>
    <w:p w14:paraId="3958DCC2">
      <w:pPr>
        <w:widowControl/>
        <w:shd w:val="clear" w:color="auto" w:fill="FFFFFF"/>
        <w:spacing w:line="560" w:lineRule="exact"/>
        <w:ind w:firstLine="480"/>
        <w:jc w:val="left"/>
        <w:rPr>
          <w:rFonts w:ascii="宋体" w:hAnsi="宋体" w:cs="Helvetica"/>
          <w:color w:val="auto"/>
          <w:kern w:val="0"/>
          <w:sz w:val="24"/>
          <w:lang w:val="en"/>
        </w:rPr>
      </w:pPr>
    </w:p>
    <w:p w14:paraId="5C8BD528">
      <w:pPr>
        <w:widowControl/>
        <w:shd w:val="clear" w:color="auto" w:fill="FFFFFF"/>
        <w:spacing w:line="360" w:lineRule="auto"/>
        <w:jc w:val="both"/>
        <w:rPr>
          <w:rFonts w:hint="eastAsia" w:ascii="宋体" w:hAnsi="宋体"/>
          <w:b/>
          <w:color w:val="auto"/>
          <w:sz w:val="28"/>
          <w:szCs w:val="32"/>
        </w:rPr>
      </w:pPr>
      <w:bookmarkStart w:id="8" w:name="_Toc474"/>
    </w:p>
    <w:p w14:paraId="3D79FAEB">
      <w:pPr>
        <w:widowControl/>
        <w:shd w:val="clear" w:color="auto" w:fill="FFFFFF"/>
        <w:spacing w:line="360" w:lineRule="auto"/>
        <w:jc w:val="center"/>
        <w:rPr>
          <w:rFonts w:hint="eastAsia" w:ascii="宋体" w:hAnsi="宋体"/>
          <w:b/>
          <w:color w:val="auto"/>
          <w:sz w:val="28"/>
          <w:szCs w:val="32"/>
        </w:rPr>
      </w:pPr>
    </w:p>
    <w:p w14:paraId="2A6BC071">
      <w:pPr>
        <w:widowControl/>
        <w:shd w:val="clear" w:color="auto" w:fill="FFFFFF"/>
        <w:spacing w:line="360" w:lineRule="auto"/>
        <w:jc w:val="center"/>
        <w:rPr>
          <w:rFonts w:hint="eastAsia" w:ascii="宋体" w:hAnsi="宋体"/>
          <w:b/>
          <w:color w:val="auto"/>
          <w:sz w:val="28"/>
          <w:szCs w:val="32"/>
        </w:rPr>
      </w:pPr>
    </w:p>
    <w:p w14:paraId="6B7D33E1">
      <w:pPr>
        <w:widowControl/>
        <w:shd w:val="clear" w:color="auto" w:fill="FFFFFF"/>
        <w:spacing w:line="360" w:lineRule="auto"/>
        <w:jc w:val="center"/>
        <w:rPr>
          <w:rFonts w:hint="eastAsia" w:ascii="宋体" w:hAnsi="宋体"/>
          <w:b/>
          <w:color w:val="auto"/>
          <w:sz w:val="28"/>
          <w:szCs w:val="32"/>
        </w:rPr>
      </w:pPr>
    </w:p>
    <w:p w14:paraId="7353B8D9">
      <w:pPr>
        <w:pStyle w:val="21"/>
        <w:rPr>
          <w:rFonts w:hint="eastAsia" w:ascii="宋体" w:hAnsi="宋体"/>
          <w:b/>
          <w:color w:val="auto"/>
          <w:sz w:val="28"/>
          <w:szCs w:val="32"/>
        </w:rPr>
      </w:pPr>
    </w:p>
    <w:p w14:paraId="7F6A8313">
      <w:pPr>
        <w:pStyle w:val="22"/>
        <w:rPr>
          <w:rFonts w:hint="eastAsia"/>
          <w:color w:val="auto"/>
        </w:rPr>
      </w:pPr>
    </w:p>
    <w:p w14:paraId="3B93CA4B">
      <w:pPr>
        <w:pStyle w:val="3"/>
        <w:bidi w:val="0"/>
        <w:jc w:val="center"/>
        <w:outlineLvl w:val="0"/>
        <w:rPr>
          <w:rFonts w:hint="eastAsia" w:ascii="宋体" w:hAnsi="宋体" w:eastAsia="宋体" w:cs="宋体"/>
          <w:color w:val="auto"/>
          <w:sz w:val="24"/>
          <w:szCs w:val="24"/>
        </w:rPr>
      </w:pPr>
      <w:bookmarkStart w:id="9" w:name="_Toc17307"/>
      <w:r>
        <w:rPr>
          <w:rFonts w:hint="eastAsia" w:ascii="宋体" w:hAnsi="宋体" w:eastAsia="宋体" w:cs="宋体"/>
          <w:color w:val="auto"/>
          <w:sz w:val="24"/>
          <w:szCs w:val="24"/>
          <w:lang w:eastAsia="zh-CN"/>
        </w:rPr>
        <w:t>第二部分</w:t>
      </w:r>
      <w:r>
        <w:rPr>
          <w:rFonts w:hint="eastAsia" w:ascii="宋体" w:hAnsi="宋体" w:eastAsia="宋体" w:cs="宋体"/>
          <w:color w:val="auto"/>
          <w:sz w:val="24"/>
          <w:szCs w:val="24"/>
        </w:rPr>
        <w:t xml:space="preserve"> 磋商响应方须知</w:t>
      </w:r>
      <w:bookmarkEnd w:id="8"/>
      <w:bookmarkEnd w:id="9"/>
    </w:p>
    <w:p w14:paraId="3BF94E90">
      <w:pPr>
        <w:pStyle w:val="10"/>
        <w:numPr>
          <w:ilvl w:val="0"/>
          <w:numId w:val="1"/>
        </w:num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响应方须知前附表</w:t>
      </w:r>
    </w:p>
    <w:tbl>
      <w:tblPr>
        <w:tblStyle w:val="39"/>
        <w:tblpPr w:leftFromText="180" w:rightFromText="180" w:vertAnchor="text" w:horzAnchor="page" w:tblpX="1369" w:tblpY="47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1716"/>
        <w:gridCol w:w="6753"/>
      </w:tblGrid>
      <w:tr w14:paraId="03FA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1B791085">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项号</w:t>
            </w:r>
          </w:p>
        </w:tc>
        <w:tc>
          <w:tcPr>
            <w:tcW w:w="1716" w:type="dxa"/>
            <w:noWrap w:val="0"/>
            <w:vAlign w:val="center"/>
          </w:tcPr>
          <w:p w14:paraId="1406B7C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内容</w:t>
            </w:r>
          </w:p>
        </w:tc>
        <w:tc>
          <w:tcPr>
            <w:tcW w:w="6753" w:type="dxa"/>
            <w:noWrap w:val="0"/>
            <w:vAlign w:val="center"/>
          </w:tcPr>
          <w:p w14:paraId="49BD64C0">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说明与要求</w:t>
            </w:r>
          </w:p>
        </w:tc>
      </w:tr>
      <w:tr w14:paraId="46761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909" w:type="dxa"/>
            <w:noWrap w:val="0"/>
            <w:vAlign w:val="center"/>
          </w:tcPr>
          <w:p w14:paraId="083D48D7">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716" w:type="dxa"/>
            <w:noWrap w:val="0"/>
            <w:vAlign w:val="center"/>
          </w:tcPr>
          <w:p w14:paraId="59346757">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w:t>
            </w:r>
          </w:p>
        </w:tc>
        <w:tc>
          <w:tcPr>
            <w:tcW w:w="6753" w:type="dxa"/>
            <w:noWrap w:val="0"/>
            <w:vAlign w:val="center"/>
          </w:tcPr>
          <w:p w14:paraId="22A205AB">
            <w:pPr>
              <w:spacing w:line="440" w:lineRule="exact"/>
              <w:jc w:val="both"/>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千泉街道郭庄社区低压线路升级改造工程</w:t>
            </w:r>
          </w:p>
        </w:tc>
      </w:tr>
      <w:tr w14:paraId="00326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909" w:type="dxa"/>
            <w:noWrap w:val="0"/>
            <w:vAlign w:val="center"/>
          </w:tcPr>
          <w:p w14:paraId="2389A1E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716" w:type="dxa"/>
            <w:noWrap w:val="0"/>
            <w:vAlign w:val="center"/>
          </w:tcPr>
          <w:p w14:paraId="7E8CE446">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项目编号</w:t>
            </w:r>
          </w:p>
        </w:tc>
        <w:tc>
          <w:tcPr>
            <w:tcW w:w="6753" w:type="dxa"/>
            <w:noWrap w:val="0"/>
            <w:vAlign w:val="center"/>
          </w:tcPr>
          <w:p w14:paraId="20BC32A4">
            <w:pPr>
              <w:spacing w:line="440" w:lineRule="exact"/>
              <w:jc w:val="both"/>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XSSD-ZB-2025-011</w:t>
            </w:r>
          </w:p>
        </w:tc>
      </w:tr>
      <w:tr w14:paraId="7A89F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EAB888A">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716" w:type="dxa"/>
            <w:noWrap w:val="0"/>
            <w:vAlign w:val="center"/>
          </w:tcPr>
          <w:p w14:paraId="0A84080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项目地点</w:t>
            </w:r>
          </w:p>
        </w:tc>
        <w:tc>
          <w:tcPr>
            <w:tcW w:w="6753" w:type="dxa"/>
            <w:noWrap w:val="0"/>
            <w:vAlign w:val="center"/>
          </w:tcPr>
          <w:p w14:paraId="1B284589">
            <w:pPr>
              <w:spacing w:line="440" w:lineRule="exact"/>
              <w:jc w:val="both"/>
              <w:rPr>
                <w:rFonts w:hint="default" w:ascii="宋体" w:hAnsi="宋体" w:eastAsia="宋体" w:cs="宋体"/>
                <w:color w:val="auto"/>
                <w:sz w:val="24"/>
                <w:szCs w:val="24"/>
                <w:lang w:val="en-US" w:eastAsia="zh-CN"/>
              </w:rPr>
            </w:pPr>
            <w:r>
              <w:rPr>
                <w:rFonts w:hint="eastAsia" w:ascii="宋体" w:hAnsi="宋体" w:cs="宋体"/>
                <w:color w:val="auto"/>
                <w:kern w:val="0"/>
                <w:sz w:val="24"/>
                <w:szCs w:val="24"/>
                <w:lang w:eastAsia="zh-CN"/>
              </w:rPr>
              <w:t>邹城市千泉街道郭庄社区</w:t>
            </w:r>
          </w:p>
        </w:tc>
      </w:tr>
      <w:tr w14:paraId="53F67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0BE50B9D">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716" w:type="dxa"/>
            <w:noWrap w:val="0"/>
            <w:vAlign w:val="center"/>
          </w:tcPr>
          <w:p w14:paraId="6896CF8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工期</w:t>
            </w:r>
          </w:p>
        </w:tc>
        <w:tc>
          <w:tcPr>
            <w:tcW w:w="6753" w:type="dxa"/>
            <w:noWrap w:val="0"/>
            <w:vAlign w:val="center"/>
          </w:tcPr>
          <w:p w14:paraId="2E97DD64">
            <w:pPr>
              <w:spacing w:line="440" w:lineRule="exact"/>
              <w:jc w:val="both"/>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60日历天</w:t>
            </w:r>
          </w:p>
        </w:tc>
      </w:tr>
      <w:tr w14:paraId="41861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909" w:type="dxa"/>
            <w:noWrap w:val="0"/>
            <w:vAlign w:val="center"/>
          </w:tcPr>
          <w:p w14:paraId="691522F1">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716" w:type="dxa"/>
            <w:noWrap w:val="0"/>
            <w:vAlign w:val="center"/>
          </w:tcPr>
          <w:p w14:paraId="553021F0">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缺陷责任期</w:t>
            </w:r>
          </w:p>
        </w:tc>
        <w:tc>
          <w:tcPr>
            <w:tcW w:w="6753" w:type="dxa"/>
            <w:noWrap w:val="0"/>
            <w:vAlign w:val="center"/>
          </w:tcPr>
          <w:p w14:paraId="399D6383">
            <w:pPr>
              <w:spacing w:line="440" w:lineRule="exact"/>
              <w:jc w:val="both"/>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两年</w:t>
            </w:r>
          </w:p>
        </w:tc>
      </w:tr>
      <w:tr w14:paraId="6D8CC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2300A8A">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716" w:type="dxa"/>
            <w:noWrap w:val="0"/>
            <w:vAlign w:val="center"/>
          </w:tcPr>
          <w:p w14:paraId="2EFDE5F0">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采购内容</w:t>
            </w:r>
          </w:p>
        </w:tc>
        <w:tc>
          <w:tcPr>
            <w:tcW w:w="6753" w:type="dxa"/>
            <w:noWrap w:val="0"/>
            <w:vAlign w:val="center"/>
          </w:tcPr>
          <w:p w14:paraId="0FA0345F">
            <w:pPr>
              <w:spacing w:line="440" w:lineRule="exact"/>
              <w:jc w:val="both"/>
              <w:rPr>
                <w:rFonts w:hint="eastAsia" w:ascii="宋体" w:hAnsi="宋体" w:eastAsia="宋体" w:cs="宋体"/>
                <w:color w:val="auto"/>
                <w:sz w:val="24"/>
                <w:szCs w:val="24"/>
              </w:rPr>
            </w:pPr>
            <w:r>
              <w:rPr>
                <w:rFonts w:hint="eastAsia" w:ascii="宋体" w:hAnsi="宋体" w:eastAsia="宋体" w:cs="宋体"/>
                <w:color w:val="auto"/>
                <w:sz w:val="24"/>
                <w:szCs w:val="24"/>
              </w:rPr>
              <w:t>详见第四部分采购内容及要求。</w:t>
            </w:r>
          </w:p>
        </w:tc>
      </w:tr>
      <w:tr w14:paraId="497F0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393C798E">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7</w:t>
            </w:r>
          </w:p>
        </w:tc>
        <w:tc>
          <w:tcPr>
            <w:tcW w:w="1716" w:type="dxa"/>
            <w:noWrap w:val="0"/>
            <w:vAlign w:val="center"/>
          </w:tcPr>
          <w:p w14:paraId="267F40D6">
            <w:pPr>
              <w:spacing w:line="44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付款方式</w:t>
            </w:r>
          </w:p>
        </w:tc>
        <w:tc>
          <w:tcPr>
            <w:tcW w:w="6753" w:type="dxa"/>
            <w:noWrap w:val="0"/>
            <w:vAlign w:val="center"/>
          </w:tcPr>
          <w:p w14:paraId="348B4711">
            <w:pPr>
              <w:keepNext w:val="0"/>
              <w:keepLines w:val="0"/>
              <w:pageBreakBefore w:val="0"/>
              <w:widowControl w:val="0"/>
              <w:tabs>
                <w:tab w:val="left" w:pos="315"/>
              </w:tabs>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val="en-US" w:eastAsia="zh-CN"/>
              </w:rPr>
            </w:pPr>
            <w:r>
              <w:rPr>
                <w:rFonts w:hint="eastAsia" w:ascii="宋体" w:hAnsi="宋体" w:cs="宋体"/>
                <w:b/>
                <w:color w:val="auto"/>
                <w:sz w:val="24"/>
                <w:szCs w:val="24"/>
                <w:lang w:eastAsia="zh-CN"/>
              </w:rPr>
              <w:t>本项目无预付款，工程竣工验收合格并经结算审计完成后付至审定结算价款的30%;剩余合同价款在结算审计完成后2年内付清。（工程最终结算造价以审核部门审定的造价为准）</w:t>
            </w:r>
          </w:p>
        </w:tc>
      </w:tr>
      <w:tr w14:paraId="2F4F4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A043BB2">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8</w:t>
            </w:r>
          </w:p>
        </w:tc>
        <w:tc>
          <w:tcPr>
            <w:tcW w:w="1716" w:type="dxa"/>
            <w:noWrap w:val="0"/>
            <w:vAlign w:val="center"/>
          </w:tcPr>
          <w:p w14:paraId="7AAAD8E3">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磋商响应方资格要求</w:t>
            </w:r>
          </w:p>
        </w:tc>
        <w:tc>
          <w:tcPr>
            <w:tcW w:w="6753" w:type="dxa"/>
            <w:noWrap w:val="0"/>
            <w:vAlign w:val="center"/>
          </w:tcPr>
          <w:p w14:paraId="5ABAB312">
            <w:pPr>
              <w:keepNext w:val="0"/>
              <w:keepLines w:val="0"/>
              <w:pageBreakBefore w:val="0"/>
              <w:widowControl w:val="0"/>
              <w:tabs>
                <w:tab w:val="left" w:pos="315"/>
              </w:tabs>
              <w:kinsoku/>
              <w:wordWrap/>
              <w:overflowPunct/>
              <w:topLinePunct w:val="0"/>
              <w:autoSpaceDE/>
              <w:autoSpaceDN/>
              <w:bidi w:val="0"/>
              <w:adjustRightInd/>
              <w:snapToGrid/>
              <w:spacing w:line="520" w:lineRule="exact"/>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详见磋商响应方须知：三、</w:t>
            </w:r>
            <w:r>
              <w:rPr>
                <w:rFonts w:hint="eastAsia" w:ascii="宋体" w:hAnsi="宋体" w:cs="宋体"/>
                <w:b/>
                <w:color w:val="auto"/>
                <w:sz w:val="24"/>
                <w:szCs w:val="24"/>
                <w:lang w:eastAsia="zh-CN"/>
              </w:rPr>
              <w:t>供应商应具备的条件</w:t>
            </w:r>
          </w:p>
        </w:tc>
      </w:tr>
      <w:tr w14:paraId="6662B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noWrap w:val="0"/>
            <w:vAlign w:val="center"/>
          </w:tcPr>
          <w:p w14:paraId="2E77C3D2">
            <w:pPr>
              <w:spacing w:line="440" w:lineRule="exact"/>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9</w:t>
            </w:r>
          </w:p>
        </w:tc>
        <w:tc>
          <w:tcPr>
            <w:tcW w:w="1716" w:type="dxa"/>
            <w:noWrap w:val="0"/>
            <w:vAlign w:val="center"/>
          </w:tcPr>
          <w:p w14:paraId="7A2654E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资格审查方式</w:t>
            </w:r>
          </w:p>
        </w:tc>
        <w:tc>
          <w:tcPr>
            <w:tcW w:w="6753" w:type="dxa"/>
            <w:noWrap w:val="0"/>
            <w:vAlign w:val="center"/>
          </w:tcPr>
          <w:p w14:paraId="23BE418F">
            <w:pPr>
              <w:widowControl/>
              <w:numPr>
                <w:ilvl w:val="0"/>
                <w:numId w:val="0"/>
              </w:numPr>
              <w:shd w:val="clear" w:color="auto" w:fill="FFFFFF"/>
              <w:spacing w:line="360" w:lineRule="auto"/>
              <w:ind w:leftChars="0"/>
              <w:jc w:val="left"/>
              <w:rPr>
                <w:rFonts w:hint="eastAsia" w:ascii="宋体" w:hAnsi="宋体" w:eastAsia="宋体" w:cs="宋体"/>
                <w:b/>
                <w:bCs w:val="0"/>
                <w:color w:val="auto"/>
                <w:kern w:val="0"/>
                <w:sz w:val="24"/>
                <w:szCs w:val="24"/>
                <w:lang w:val="en-US" w:eastAsia="zh-CN" w:bidi="ar-SA"/>
              </w:rPr>
            </w:pPr>
            <w:r>
              <w:rPr>
                <w:rFonts w:hint="eastAsia" w:ascii="宋体" w:hAnsi="宋体" w:eastAsia="宋体" w:cs="宋体"/>
                <w:b/>
                <w:bCs w:val="0"/>
                <w:color w:val="auto"/>
                <w:kern w:val="0"/>
                <w:sz w:val="24"/>
                <w:szCs w:val="24"/>
                <w:lang w:val="en-US" w:eastAsia="zh-CN" w:bidi="ar-SA"/>
              </w:rPr>
              <w:t>资格后审</w:t>
            </w:r>
          </w:p>
        </w:tc>
      </w:tr>
      <w:tr w14:paraId="2491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7C86D787">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0</w:t>
            </w:r>
          </w:p>
        </w:tc>
        <w:tc>
          <w:tcPr>
            <w:tcW w:w="1716" w:type="dxa"/>
            <w:noWrap w:val="0"/>
            <w:vAlign w:val="center"/>
          </w:tcPr>
          <w:p w14:paraId="0936851E">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有效期</w:t>
            </w:r>
          </w:p>
        </w:tc>
        <w:tc>
          <w:tcPr>
            <w:tcW w:w="6753" w:type="dxa"/>
            <w:noWrap w:val="0"/>
            <w:vAlign w:val="center"/>
          </w:tcPr>
          <w:p w14:paraId="41997312">
            <w:pPr>
              <w:spacing w:line="440" w:lineRule="exact"/>
              <w:jc w:val="both"/>
              <w:rPr>
                <w:rFonts w:hint="eastAsia" w:ascii="宋体" w:hAnsi="宋体" w:eastAsia="宋体" w:cs="宋体"/>
                <w:color w:val="auto"/>
                <w:sz w:val="24"/>
                <w:szCs w:val="24"/>
              </w:rPr>
            </w:pPr>
            <w:r>
              <w:rPr>
                <w:rFonts w:hint="eastAsia" w:ascii="宋体" w:hAnsi="宋体" w:eastAsia="宋体" w:cs="宋体"/>
                <w:color w:val="auto"/>
                <w:sz w:val="24"/>
                <w:szCs w:val="24"/>
              </w:rPr>
              <w:t>自递交</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响应文件截止之日起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日历天。</w:t>
            </w:r>
          </w:p>
        </w:tc>
      </w:tr>
      <w:tr w14:paraId="6D097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9C7B728">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1</w:t>
            </w:r>
          </w:p>
        </w:tc>
        <w:tc>
          <w:tcPr>
            <w:tcW w:w="1716" w:type="dxa"/>
            <w:noWrap w:val="0"/>
            <w:vAlign w:val="center"/>
          </w:tcPr>
          <w:p w14:paraId="6661D2E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保证金</w:t>
            </w:r>
          </w:p>
        </w:tc>
        <w:tc>
          <w:tcPr>
            <w:tcW w:w="6753" w:type="dxa"/>
            <w:noWrap w:val="0"/>
            <w:vAlign w:val="center"/>
          </w:tcPr>
          <w:p w14:paraId="2D5D506C">
            <w:pPr>
              <w:spacing w:line="44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本项目无需缴纳磋商保证金。</w:t>
            </w:r>
          </w:p>
        </w:tc>
      </w:tr>
      <w:tr w14:paraId="09879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498362D5">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2</w:t>
            </w:r>
          </w:p>
        </w:tc>
        <w:tc>
          <w:tcPr>
            <w:tcW w:w="1716" w:type="dxa"/>
            <w:noWrap w:val="0"/>
            <w:vAlign w:val="center"/>
          </w:tcPr>
          <w:p w14:paraId="63A359E5">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响应文件份数</w:t>
            </w:r>
          </w:p>
        </w:tc>
        <w:tc>
          <w:tcPr>
            <w:tcW w:w="6753" w:type="dxa"/>
            <w:noWrap w:val="0"/>
            <w:vAlign w:val="center"/>
          </w:tcPr>
          <w:p w14:paraId="5915839F">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纸质版文件</w:t>
            </w:r>
            <w:r>
              <w:rPr>
                <w:rFonts w:hint="eastAsia" w:ascii="宋体" w:hAnsi="宋体" w:eastAsia="宋体" w:cs="宋体"/>
                <w:color w:val="auto"/>
                <w:sz w:val="24"/>
                <w:szCs w:val="24"/>
              </w:rPr>
              <w:t>正本</w:t>
            </w:r>
            <w:r>
              <w:rPr>
                <w:rFonts w:hint="eastAsia" w:ascii="宋体" w:hAnsi="宋体" w:eastAsia="宋体" w:cs="宋体"/>
                <w:color w:val="auto"/>
                <w:sz w:val="24"/>
                <w:szCs w:val="24"/>
                <w:lang w:eastAsia="zh-CN"/>
              </w:rPr>
              <w:t>一</w:t>
            </w:r>
            <w:r>
              <w:rPr>
                <w:rFonts w:hint="eastAsia" w:ascii="宋体" w:hAnsi="宋体" w:eastAsia="宋体" w:cs="宋体"/>
                <w:color w:val="auto"/>
                <w:sz w:val="24"/>
                <w:szCs w:val="24"/>
              </w:rPr>
              <w:t>份、副本</w:t>
            </w:r>
            <w:r>
              <w:rPr>
                <w:rFonts w:hint="eastAsia" w:ascii="宋体" w:hAnsi="宋体" w:eastAsia="宋体" w:cs="宋体"/>
                <w:color w:val="auto"/>
                <w:sz w:val="24"/>
                <w:szCs w:val="24"/>
                <w:lang w:eastAsia="zh-CN"/>
              </w:rPr>
              <w:t>四</w:t>
            </w:r>
            <w:r>
              <w:rPr>
                <w:rFonts w:hint="eastAsia" w:ascii="宋体" w:hAnsi="宋体" w:eastAsia="宋体" w:cs="宋体"/>
                <w:color w:val="auto"/>
                <w:sz w:val="24"/>
                <w:szCs w:val="24"/>
              </w:rPr>
              <w:t>份</w:t>
            </w:r>
          </w:p>
        </w:tc>
      </w:tr>
      <w:tr w14:paraId="70D06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74E97A20">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3</w:t>
            </w:r>
          </w:p>
        </w:tc>
        <w:tc>
          <w:tcPr>
            <w:tcW w:w="1716" w:type="dxa"/>
            <w:noWrap w:val="0"/>
            <w:vAlign w:val="center"/>
          </w:tcPr>
          <w:p w14:paraId="69E7429F">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纸质响应文件的密封</w:t>
            </w:r>
          </w:p>
        </w:tc>
        <w:tc>
          <w:tcPr>
            <w:tcW w:w="6753" w:type="dxa"/>
            <w:noWrap w:val="0"/>
            <w:vAlign w:val="center"/>
          </w:tcPr>
          <w:p w14:paraId="4345D30E">
            <w:pPr>
              <w:widowControl/>
              <w:shd w:val="clear" w:color="auto" w:fill="FFFFFF"/>
              <w:spacing w:line="360" w:lineRule="auto"/>
              <w:jc w:val="left"/>
              <w:rPr>
                <w:rFonts w:hint="eastAsia" w:ascii="宋体" w:hAnsi="宋体" w:eastAsia="宋体" w:cs="宋体"/>
                <w:bCs/>
                <w:color w:val="auto"/>
                <w:sz w:val="24"/>
                <w:szCs w:val="24"/>
                <w:lang w:eastAsia="zh-CN"/>
              </w:rPr>
            </w:pPr>
            <w:r>
              <w:rPr>
                <w:rFonts w:hint="eastAsia" w:ascii="宋体" w:hAnsi="宋体" w:eastAsia="宋体" w:cs="宋体"/>
                <w:b/>
                <w:color w:val="auto"/>
                <w:sz w:val="24"/>
                <w:szCs w:val="24"/>
              </w:rPr>
              <w:t>响应供应商应将</w:t>
            </w:r>
            <w:r>
              <w:rPr>
                <w:rFonts w:hint="eastAsia" w:ascii="宋体" w:hAnsi="宋体" w:eastAsia="宋体" w:cs="宋体"/>
                <w:b/>
                <w:color w:val="auto"/>
                <w:sz w:val="24"/>
                <w:szCs w:val="24"/>
                <w:lang w:val="en-US" w:eastAsia="zh-CN"/>
              </w:rPr>
              <w:t>磋商</w:t>
            </w:r>
            <w:r>
              <w:rPr>
                <w:rFonts w:hint="eastAsia" w:ascii="宋体" w:hAnsi="宋体" w:eastAsia="宋体" w:cs="宋体"/>
                <w:b/>
                <w:color w:val="auto"/>
                <w:sz w:val="24"/>
                <w:szCs w:val="24"/>
              </w:rPr>
              <w:t>响应文件密封，并在封口处加盖供应商公章或由法定代表人（或授权代表）签字（或盖章），未按本条要求密封的</w:t>
            </w:r>
            <w:r>
              <w:rPr>
                <w:rFonts w:hint="eastAsia" w:ascii="宋体" w:hAnsi="宋体" w:eastAsia="宋体" w:cs="宋体"/>
                <w:b/>
                <w:color w:val="auto"/>
                <w:sz w:val="24"/>
                <w:szCs w:val="24"/>
                <w:lang w:val="en-US" w:eastAsia="zh-CN"/>
              </w:rPr>
              <w:t>磋商</w:t>
            </w:r>
            <w:r>
              <w:rPr>
                <w:rFonts w:hint="eastAsia" w:ascii="宋体" w:hAnsi="宋体" w:eastAsia="宋体" w:cs="宋体"/>
                <w:b/>
                <w:color w:val="auto"/>
                <w:sz w:val="24"/>
                <w:szCs w:val="24"/>
              </w:rPr>
              <w:t>响应文件采购人不予接收</w:t>
            </w:r>
            <w:r>
              <w:rPr>
                <w:rFonts w:hint="eastAsia" w:ascii="宋体" w:hAnsi="宋体" w:eastAsia="宋体" w:cs="宋体"/>
                <w:b/>
                <w:color w:val="auto"/>
                <w:kern w:val="0"/>
                <w:sz w:val="24"/>
                <w:szCs w:val="24"/>
              </w:rPr>
              <w:t>。</w:t>
            </w:r>
          </w:p>
        </w:tc>
      </w:tr>
      <w:tr w14:paraId="7934F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771362EE">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4</w:t>
            </w:r>
          </w:p>
        </w:tc>
        <w:tc>
          <w:tcPr>
            <w:tcW w:w="1716" w:type="dxa"/>
            <w:noWrap w:val="0"/>
            <w:vAlign w:val="center"/>
          </w:tcPr>
          <w:p w14:paraId="0676314F">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纸质响应文件装订要求</w:t>
            </w:r>
          </w:p>
        </w:tc>
        <w:tc>
          <w:tcPr>
            <w:tcW w:w="6753" w:type="dxa"/>
            <w:noWrap w:val="0"/>
            <w:vAlign w:val="center"/>
          </w:tcPr>
          <w:p w14:paraId="10FD2429">
            <w:pPr>
              <w:widowControl/>
              <w:shd w:val="clear" w:color="auto" w:fill="FFFFFF"/>
              <w:spacing w:line="360" w:lineRule="auto"/>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响应文件需签字及盖章齐全并以胶装的方式装订成册；</w:t>
            </w:r>
          </w:p>
          <w:p w14:paraId="75E723DB">
            <w:pPr>
              <w:widowControl/>
              <w:shd w:val="clear" w:color="auto" w:fill="FFFFFF"/>
              <w:spacing w:line="360" w:lineRule="auto"/>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2、供应商应准备</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w:t>
            </w:r>
            <w:r>
              <w:rPr>
                <w:rFonts w:hint="eastAsia" w:ascii="宋体" w:hAnsi="宋体" w:eastAsia="宋体" w:cs="宋体"/>
                <w:bCs/>
                <w:color w:val="auto"/>
                <w:sz w:val="24"/>
                <w:szCs w:val="24"/>
                <w:lang w:eastAsia="zh-CN"/>
              </w:rPr>
              <w:t>五</w:t>
            </w:r>
            <w:r>
              <w:rPr>
                <w:rFonts w:hint="eastAsia" w:ascii="宋体" w:hAnsi="宋体" w:eastAsia="宋体" w:cs="宋体"/>
                <w:bCs/>
                <w:color w:val="auto"/>
                <w:sz w:val="24"/>
                <w:szCs w:val="24"/>
              </w:rPr>
              <w:t>份，一份正本和</w:t>
            </w:r>
            <w:r>
              <w:rPr>
                <w:rFonts w:hint="eastAsia" w:ascii="宋体" w:hAnsi="宋体" w:eastAsia="宋体" w:cs="宋体"/>
                <w:bCs/>
                <w:color w:val="auto"/>
                <w:sz w:val="24"/>
                <w:szCs w:val="24"/>
                <w:lang w:eastAsia="zh-CN"/>
              </w:rPr>
              <w:t>四</w:t>
            </w:r>
            <w:r>
              <w:rPr>
                <w:rFonts w:hint="eastAsia" w:ascii="宋体" w:hAnsi="宋体" w:eastAsia="宋体" w:cs="宋体"/>
                <w:bCs/>
                <w:color w:val="auto"/>
                <w:sz w:val="24"/>
                <w:szCs w:val="24"/>
              </w:rPr>
              <w:t>份副本。在每一份</w:t>
            </w:r>
            <w:r>
              <w:rPr>
                <w:rFonts w:hint="eastAsia" w:ascii="宋体" w:hAnsi="宋体" w:eastAsia="宋体" w:cs="宋体"/>
                <w:bCs/>
                <w:color w:val="auto"/>
                <w:sz w:val="24"/>
                <w:szCs w:val="24"/>
                <w:lang w:eastAsia="zh-CN"/>
              </w:rPr>
              <w:t>磋商</w:t>
            </w:r>
            <w:r>
              <w:rPr>
                <w:rFonts w:hint="eastAsia" w:ascii="宋体" w:hAnsi="宋体" w:eastAsia="宋体" w:cs="宋体"/>
                <w:bCs/>
                <w:color w:val="auto"/>
                <w:sz w:val="24"/>
                <w:szCs w:val="24"/>
              </w:rPr>
              <w:t>响应文件上要明确注明“正本”或“副本”字样，一旦正本和副本有差异，以正本为准；</w:t>
            </w:r>
          </w:p>
        </w:tc>
      </w:tr>
      <w:tr w14:paraId="38F71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381EEF4B">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5</w:t>
            </w:r>
          </w:p>
        </w:tc>
        <w:tc>
          <w:tcPr>
            <w:tcW w:w="1716" w:type="dxa"/>
            <w:noWrap w:val="0"/>
            <w:vAlign w:val="center"/>
          </w:tcPr>
          <w:p w14:paraId="0B287D3B">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响应文件提交地点及截止时间</w:t>
            </w:r>
          </w:p>
        </w:tc>
        <w:tc>
          <w:tcPr>
            <w:tcW w:w="6753" w:type="dxa"/>
            <w:noWrap w:val="0"/>
            <w:vAlign w:val="center"/>
          </w:tcPr>
          <w:p w14:paraId="3D87053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提交地点：</w:t>
            </w:r>
            <w:r>
              <w:rPr>
                <w:rFonts w:hint="eastAsia" w:ascii="宋体" w:hAnsi="宋体" w:cs="宋体"/>
                <w:color w:val="auto"/>
                <w:sz w:val="24"/>
                <w:szCs w:val="24"/>
                <w:highlight w:val="none"/>
                <w:lang w:eastAsia="zh-CN"/>
              </w:rPr>
              <w:t>邹城市人民政府千泉街道办事处公共资源交易中心开标室</w:t>
            </w:r>
          </w:p>
          <w:p w14:paraId="141E891F">
            <w:pPr>
              <w:spacing w:line="44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截止时间：</w:t>
            </w:r>
            <w:r>
              <w:rPr>
                <w:rFonts w:hint="eastAsia" w:ascii="宋体" w:hAnsi="宋体" w:cs="宋体"/>
                <w:color w:val="auto"/>
                <w:sz w:val="24"/>
                <w:szCs w:val="24"/>
                <w:lang w:eastAsia="zh-CN"/>
              </w:rPr>
              <w:t>2025年4月15日09时00分</w:t>
            </w:r>
          </w:p>
        </w:tc>
      </w:tr>
      <w:tr w14:paraId="34521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7BAFA5B">
            <w:pPr>
              <w:spacing w:line="44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6</w:t>
            </w:r>
          </w:p>
        </w:tc>
        <w:tc>
          <w:tcPr>
            <w:tcW w:w="1716" w:type="dxa"/>
            <w:noWrap w:val="0"/>
            <w:vAlign w:val="center"/>
          </w:tcPr>
          <w:p w14:paraId="444F9873">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时间及地点</w:t>
            </w:r>
          </w:p>
        </w:tc>
        <w:tc>
          <w:tcPr>
            <w:tcW w:w="6753" w:type="dxa"/>
            <w:noWrap w:val="0"/>
            <w:vAlign w:val="center"/>
          </w:tcPr>
          <w:p w14:paraId="72AAF4A9">
            <w:pPr>
              <w:spacing w:line="44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时间：</w:t>
            </w:r>
            <w:r>
              <w:rPr>
                <w:rFonts w:hint="eastAsia" w:ascii="宋体" w:hAnsi="宋体" w:cs="宋体"/>
                <w:color w:val="auto"/>
                <w:sz w:val="24"/>
                <w:szCs w:val="24"/>
                <w:lang w:eastAsia="zh-CN"/>
              </w:rPr>
              <w:t>2025年4月15日09时00分</w:t>
            </w:r>
          </w:p>
          <w:p w14:paraId="1B6FFA4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地点：</w:t>
            </w:r>
            <w:r>
              <w:rPr>
                <w:rFonts w:hint="eastAsia" w:ascii="宋体" w:hAnsi="宋体" w:cs="宋体"/>
                <w:color w:val="auto"/>
                <w:sz w:val="24"/>
                <w:szCs w:val="24"/>
                <w:highlight w:val="none"/>
                <w:lang w:eastAsia="zh-CN"/>
              </w:rPr>
              <w:t>邹城市人民政府千泉街道办事处公共资源交易中心开标室</w:t>
            </w:r>
          </w:p>
        </w:tc>
      </w:tr>
      <w:tr w14:paraId="5BEAB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5B59A5B">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7</w:t>
            </w:r>
          </w:p>
        </w:tc>
        <w:tc>
          <w:tcPr>
            <w:tcW w:w="1716" w:type="dxa"/>
            <w:noWrap w:val="0"/>
            <w:vAlign w:val="center"/>
          </w:tcPr>
          <w:p w14:paraId="69230933">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成交原则</w:t>
            </w:r>
          </w:p>
        </w:tc>
        <w:tc>
          <w:tcPr>
            <w:tcW w:w="6753" w:type="dxa"/>
            <w:noWrap w:val="0"/>
            <w:vAlign w:val="center"/>
          </w:tcPr>
          <w:p w14:paraId="0E55A48B">
            <w:pPr>
              <w:tabs>
                <w:tab w:val="left" w:pos="315"/>
              </w:tabs>
              <w:spacing w:line="360" w:lineRule="auto"/>
              <w:ind w:firstLine="480" w:firstLineChars="200"/>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本项目采用综合评分法，是指响应文件满足磋商文件全部实质性要求且按评审因素的量化指标评审得分，按照评审得分由高到低顺序推荐成交候选供应商的评审方法。</w:t>
            </w:r>
          </w:p>
          <w:p w14:paraId="7A2B1AA6">
            <w:pPr>
              <w:tabs>
                <w:tab w:val="left" w:pos="315"/>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b w:val="0"/>
                <w:bCs/>
                <w:color w:val="auto"/>
                <w:sz w:val="24"/>
                <w:szCs w:val="24"/>
                <w:lang w:val="en-US" w:eastAsia="zh-CN"/>
              </w:rPr>
              <w:t>总得分相同者，按最终报价低的名次在前；总得分相同，最终报价也相同的，技术部分总得分高者排名优先；总得分相同，最终报价、技术部分也相同的，按照资信部分得分高者排名优先。</w:t>
            </w:r>
          </w:p>
        </w:tc>
      </w:tr>
      <w:tr w14:paraId="08D09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2C7994E8">
            <w:pPr>
              <w:spacing w:line="440" w:lineRule="exact"/>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8</w:t>
            </w:r>
          </w:p>
        </w:tc>
        <w:tc>
          <w:tcPr>
            <w:tcW w:w="1716" w:type="dxa"/>
            <w:noWrap w:val="0"/>
            <w:vAlign w:val="center"/>
          </w:tcPr>
          <w:p w14:paraId="039FFA08">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磋商费用</w:t>
            </w:r>
          </w:p>
        </w:tc>
        <w:tc>
          <w:tcPr>
            <w:tcW w:w="6753" w:type="dxa"/>
            <w:noWrap w:val="0"/>
            <w:vAlign w:val="center"/>
          </w:tcPr>
          <w:p w14:paraId="1AFF7D0B">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1、无论报价过程中的方法和结果如何，各磋商响应方自行承担所有参与磋商的有关费用。</w:t>
            </w:r>
          </w:p>
          <w:p w14:paraId="095F6D68">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highlight w:val="none"/>
              </w:rPr>
              <w:t>2、本项目代理服务费由成交供应商支付，代理服务费为</w:t>
            </w:r>
            <w:r>
              <w:rPr>
                <w:rFonts w:hint="eastAsia" w:ascii="宋体" w:hAnsi="宋体" w:cs="宋体"/>
                <w:color w:val="auto"/>
                <w:sz w:val="24"/>
                <w:szCs w:val="24"/>
                <w:highlight w:val="none"/>
                <w:lang w:val="en-US" w:eastAsia="zh-CN"/>
              </w:rPr>
              <w:t>13000.00</w:t>
            </w:r>
            <w:r>
              <w:rPr>
                <w:rFonts w:hint="eastAsia" w:ascii="宋体" w:hAnsi="宋体" w:eastAsia="宋体" w:cs="宋体"/>
                <w:color w:val="auto"/>
                <w:sz w:val="24"/>
                <w:szCs w:val="24"/>
                <w:highlight w:val="none"/>
              </w:rPr>
              <w:t>元，另代收评审费</w:t>
            </w:r>
            <w:r>
              <w:rPr>
                <w:rFonts w:hint="eastAsia" w:ascii="宋体" w:hAnsi="宋体" w:cs="宋体"/>
                <w:color w:val="auto"/>
                <w:sz w:val="24"/>
                <w:szCs w:val="24"/>
                <w:highlight w:val="none"/>
                <w:lang w:val="en-US" w:eastAsia="zh-CN"/>
              </w:rPr>
              <w:t>5000.00</w:t>
            </w:r>
            <w:r>
              <w:rPr>
                <w:rFonts w:hint="eastAsia" w:ascii="宋体" w:hAnsi="宋体" w:eastAsia="宋体" w:cs="宋体"/>
                <w:color w:val="auto"/>
                <w:sz w:val="24"/>
                <w:szCs w:val="24"/>
                <w:highlight w:val="none"/>
              </w:rPr>
              <w:t>元。成交通知书发出前，成交人从其账户一次性汇入代理机构指定账户。</w:t>
            </w:r>
          </w:p>
        </w:tc>
      </w:tr>
      <w:tr w14:paraId="1A844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noWrap w:val="0"/>
            <w:vAlign w:val="center"/>
          </w:tcPr>
          <w:p w14:paraId="63698190">
            <w:pPr>
              <w:spacing w:line="440" w:lineRule="exact"/>
              <w:jc w:val="center"/>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19</w:t>
            </w:r>
          </w:p>
        </w:tc>
        <w:tc>
          <w:tcPr>
            <w:tcW w:w="1716" w:type="dxa"/>
            <w:noWrap w:val="0"/>
            <w:vAlign w:val="center"/>
          </w:tcPr>
          <w:p w14:paraId="4E813782">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jc w:val="center"/>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磋商采购预算</w:t>
            </w:r>
          </w:p>
        </w:tc>
        <w:tc>
          <w:tcPr>
            <w:tcW w:w="6753" w:type="dxa"/>
            <w:noWrap w:val="0"/>
            <w:vAlign w:val="center"/>
          </w:tcPr>
          <w:p w14:paraId="44A296F5">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bCs/>
                <w:color w:val="auto"/>
                <w:kern w:val="0"/>
                <w:sz w:val="24"/>
                <w:szCs w:val="24"/>
                <w:highlight w:val="none"/>
              </w:rPr>
              <w:t>本工程采购预算（控制价）</w:t>
            </w:r>
            <w:r>
              <w:rPr>
                <w:rFonts w:hint="eastAsia" w:ascii="宋体" w:hAnsi="宋体" w:eastAsia="宋体" w:cs="宋体"/>
                <w:b/>
                <w:bCs/>
                <w:color w:val="auto"/>
                <w:kern w:val="0"/>
                <w:sz w:val="24"/>
                <w:szCs w:val="24"/>
                <w:highlight w:val="none"/>
                <w:lang w:val="en-US" w:eastAsia="zh-CN"/>
              </w:rPr>
              <w:t>：</w:t>
            </w:r>
            <w:r>
              <w:rPr>
                <w:rFonts w:hint="eastAsia" w:ascii="宋体" w:hAnsi="宋体" w:cs="宋体"/>
                <w:b/>
                <w:bCs/>
                <w:color w:val="auto"/>
                <w:kern w:val="0"/>
                <w:sz w:val="24"/>
                <w:szCs w:val="24"/>
                <w:highlight w:val="none"/>
                <w:lang w:val="en-US" w:eastAsia="zh-CN"/>
              </w:rPr>
              <w:t>1127047.96</w:t>
            </w:r>
            <w:r>
              <w:rPr>
                <w:rFonts w:hint="eastAsia" w:ascii="宋体" w:hAnsi="宋体" w:eastAsia="宋体" w:cs="宋体"/>
                <w:b/>
                <w:color w:val="auto"/>
                <w:sz w:val="24"/>
                <w:szCs w:val="24"/>
                <w:highlight w:val="none"/>
                <w:lang w:val="en-US" w:eastAsia="zh-CN"/>
              </w:rPr>
              <w:t>元</w:t>
            </w:r>
            <w:r>
              <w:rPr>
                <w:rFonts w:hint="eastAsia" w:ascii="宋体" w:hAnsi="宋体" w:eastAsia="宋体" w:cs="宋体"/>
                <w:b/>
                <w:color w:val="auto"/>
                <w:sz w:val="24"/>
                <w:szCs w:val="24"/>
                <w:highlight w:val="none"/>
                <w:lang w:eastAsia="zh-CN"/>
              </w:rPr>
              <w:t>；</w:t>
            </w:r>
          </w:p>
          <w:p w14:paraId="680D0CA8">
            <w:pPr>
              <w:keepNext w:val="0"/>
              <w:keepLines w:val="0"/>
              <w:pageBreakBefore w:val="0"/>
              <w:suppressLineNumbers w:val="0"/>
              <w:kinsoku/>
              <w:overflowPunct/>
              <w:autoSpaceDE/>
              <w:autoSpaceDN/>
              <w:bidi w:val="0"/>
              <w:adjustRightInd/>
              <w:spacing w:before="0" w:beforeAutospacing="0" w:after="0" w:afterAutospacing="0" w:line="360" w:lineRule="auto"/>
              <w:ind w:left="0" w:leftChars="0" w:right="0" w:rightChars="0" w:firstLine="480" w:firstLineChars="200"/>
              <w:rPr>
                <w:rFonts w:hint="eastAsia" w:ascii="宋体" w:hAnsi="宋体" w:eastAsia="宋体" w:cs="宋体"/>
                <w:color w:val="auto"/>
                <w:sz w:val="24"/>
                <w:szCs w:val="24"/>
              </w:rPr>
            </w:pPr>
            <w:r>
              <w:rPr>
                <w:rFonts w:hint="eastAsia" w:ascii="宋体" w:hAnsi="宋体" w:eastAsia="宋体" w:cs="宋体"/>
                <w:bCs/>
                <w:color w:val="auto"/>
                <w:kern w:val="0"/>
                <w:sz w:val="24"/>
                <w:szCs w:val="24"/>
                <w:highlight w:val="none"/>
              </w:rPr>
              <w:t>采购预算价是采购人对采购项目期望的最高限价，供应商两次报价均不得超出采购预算（控制价）且最终报价不得超出初次报价，如若超出按无效响应处理。</w:t>
            </w:r>
          </w:p>
        </w:tc>
      </w:tr>
      <w:tr w14:paraId="6FBE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 w:type="dxa"/>
            <w:vMerge w:val="restart"/>
            <w:noWrap w:val="0"/>
            <w:vAlign w:val="center"/>
          </w:tcPr>
          <w:p w14:paraId="74CDC29E">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0</w:t>
            </w:r>
          </w:p>
        </w:tc>
        <w:tc>
          <w:tcPr>
            <w:tcW w:w="1716" w:type="dxa"/>
            <w:noWrap w:val="0"/>
            <w:vAlign w:val="center"/>
          </w:tcPr>
          <w:p w14:paraId="36CD072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质疑投诉内容</w:t>
            </w:r>
          </w:p>
        </w:tc>
        <w:tc>
          <w:tcPr>
            <w:tcW w:w="6753" w:type="dxa"/>
            <w:noWrap w:val="0"/>
            <w:vAlign w:val="center"/>
          </w:tcPr>
          <w:p w14:paraId="596698FB">
            <w:pPr>
              <w:tabs>
                <w:tab w:val="left" w:pos="315"/>
              </w:tabs>
              <w:spacing w:line="360" w:lineRule="auto"/>
              <w:ind w:firstLine="480" w:firstLineChars="200"/>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质疑：参加磋商的供应商认为采购文件、采购过程和成交结果使自己的合法权益受到损害的，有权依法向采购人或采购代理机构提出质疑。</w:t>
            </w:r>
          </w:p>
          <w:p w14:paraId="321F73A3">
            <w:pPr>
              <w:tabs>
                <w:tab w:val="left" w:pos="315"/>
              </w:tabs>
              <w:spacing w:line="360" w:lineRule="auto"/>
              <w:ind w:firstLine="480" w:firstLineChars="200"/>
              <w:rPr>
                <w:rFonts w:hint="eastAsia" w:ascii="宋体" w:hAnsi="宋体" w:eastAsia="宋体" w:cs="宋体"/>
                <w:color w:val="auto"/>
                <w:kern w:val="2"/>
                <w:sz w:val="24"/>
                <w:szCs w:val="24"/>
              </w:rPr>
            </w:pPr>
            <w:r>
              <w:rPr>
                <w:rFonts w:hint="eastAsia" w:ascii="宋体" w:hAnsi="宋体" w:eastAsia="宋体" w:cs="宋体"/>
                <w:b w:val="0"/>
                <w:bCs/>
                <w:color w:val="auto"/>
                <w:sz w:val="24"/>
                <w:szCs w:val="24"/>
                <w:lang w:val="en-US" w:eastAsia="zh-CN"/>
              </w:rPr>
              <w:t>投诉：参加磋商的供应商对采购人的质疑答复不满意，或者采购人未在规定期限内作出答复的，供应商可以在答复期满后可以向相关行政主管部门投诉。</w:t>
            </w:r>
          </w:p>
        </w:tc>
      </w:tr>
      <w:tr w14:paraId="16882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909" w:type="dxa"/>
            <w:vMerge w:val="continue"/>
            <w:noWrap w:val="0"/>
            <w:vAlign w:val="center"/>
          </w:tcPr>
          <w:p w14:paraId="010742BB">
            <w:pPr>
              <w:spacing w:line="440" w:lineRule="exact"/>
              <w:jc w:val="center"/>
              <w:rPr>
                <w:rFonts w:hint="eastAsia" w:ascii="宋体" w:hAnsi="宋体" w:eastAsia="宋体" w:cs="宋体"/>
                <w:color w:val="auto"/>
                <w:sz w:val="24"/>
                <w:szCs w:val="24"/>
              </w:rPr>
            </w:pPr>
          </w:p>
        </w:tc>
        <w:tc>
          <w:tcPr>
            <w:tcW w:w="1716" w:type="dxa"/>
            <w:noWrap w:val="0"/>
            <w:vAlign w:val="center"/>
          </w:tcPr>
          <w:p w14:paraId="1BE19A2B">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质疑方式及电话</w:t>
            </w:r>
          </w:p>
        </w:tc>
        <w:tc>
          <w:tcPr>
            <w:tcW w:w="6753" w:type="dxa"/>
            <w:noWrap w:val="0"/>
            <w:vAlign w:val="center"/>
          </w:tcPr>
          <w:p w14:paraId="74496CFF">
            <w:pPr>
              <w:keepNext w:val="0"/>
              <w:keepLines w:val="0"/>
              <w:pageBreakBefore w:val="0"/>
              <w:suppressLineNumbers w:val="0"/>
              <w:kinsoku/>
              <w:overflowPunct/>
              <w:autoSpaceDE/>
              <w:autoSpaceDN/>
              <w:bidi w:val="0"/>
              <w:adjustRightInd/>
              <w:spacing w:before="0" w:beforeAutospacing="0" w:after="0" w:afterAutospacing="0" w:line="360" w:lineRule="auto"/>
              <w:ind w:left="0" w:right="0"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highlight w:val="none"/>
              </w:rPr>
              <w:t>质疑：参加磋商的供应商认为磋商文件、磋商过程和成交结果使自己的合法权益受到损害的，有权依法向采购人或采购代理机构提出质疑。所有质疑以书面形式递交，同时发邮件至</w:t>
            </w:r>
            <w:r>
              <w:rPr>
                <w:rFonts w:hint="eastAsia" w:ascii="宋体" w:hAnsi="宋体" w:cs="宋体"/>
                <w:color w:val="auto"/>
                <w:sz w:val="24"/>
                <w:szCs w:val="24"/>
                <w:highlight w:val="none"/>
                <w:lang w:val="en-US" w:eastAsia="zh-CN"/>
              </w:rPr>
              <w:t>xssdxmzx@163.com</w:t>
            </w:r>
            <w:r>
              <w:rPr>
                <w:rFonts w:hint="eastAsia" w:ascii="宋体" w:hAnsi="宋体" w:eastAsia="宋体" w:cs="宋体"/>
                <w:color w:val="auto"/>
                <w:sz w:val="24"/>
                <w:szCs w:val="24"/>
                <w:highlight w:val="none"/>
              </w:rPr>
              <w:t>。</w:t>
            </w:r>
          </w:p>
        </w:tc>
      </w:tr>
    </w:tbl>
    <w:p w14:paraId="7BEC9AEC">
      <w:pPr>
        <w:numPr>
          <w:ilvl w:val="0"/>
          <w:numId w:val="0"/>
        </w:numPr>
        <w:jc w:val="both"/>
        <w:rPr>
          <w:rFonts w:hint="eastAsia" w:ascii="宋体" w:hAnsi="宋体" w:eastAsia="宋体" w:cs="宋体"/>
          <w:b w:val="0"/>
          <w:bCs/>
          <w:color w:val="auto"/>
          <w:kern w:val="0"/>
          <w:sz w:val="24"/>
          <w:szCs w:val="24"/>
          <w:highlight w:val="none"/>
        </w:rPr>
      </w:pPr>
    </w:p>
    <w:p w14:paraId="2E84CC91">
      <w:pPr>
        <w:numPr>
          <w:ilvl w:val="0"/>
          <w:numId w:val="0"/>
        </w:numPr>
        <w:jc w:val="center"/>
        <w:rPr>
          <w:color w:val="auto"/>
        </w:rPr>
      </w:pPr>
      <w:r>
        <w:rPr>
          <w:rFonts w:hint="eastAsia" w:ascii="宋体" w:hAnsi="宋体" w:eastAsia="宋体" w:cs="宋体"/>
          <w:b/>
          <w:color w:val="auto"/>
          <w:kern w:val="0"/>
          <w:sz w:val="24"/>
          <w:szCs w:val="24"/>
          <w:highlight w:val="none"/>
        </w:rPr>
        <w:t>二、磋商响应方须知</w:t>
      </w:r>
    </w:p>
    <w:p w14:paraId="24F7DBB5">
      <w:pPr>
        <w:tabs>
          <w:tab w:val="left" w:pos="315"/>
        </w:tabs>
        <w:spacing w:line="360" w:lineRule="auto"/>
        <w:ind w:firstLine="482" w:firstLineChars="200"/>
        <w:rPr>
          <w:rFonts w:ascii="宋体" w:hAnsi="宋体"/>
          <w:b/>
          <w:color w:val="auto"/>
          <w:sz w:val="24"/>
        </w:rPr>
      </w:pPr>
      <w:r>
        <w:rPr>
          <w:rFonts w:ascii="宋体" w:hAnsi="宋体"/>
          <w:b/>
          <w:color w:val="auto"/>
          <w:sz w:val="24"/>
        </w:rPr>
        <w:t>一、适用范围</w:t>
      </w:r>
      <w:r>
        <w:rPr>
          <w:rFonts w:hint="eastAsia" w:ascii="宋体" w:hAnsi="宋体"/>
          <w:b/>
          <w:color w:val="auto"/>
          <w:sz w:val="24"/>
        </w:rPr>
        <w:t>：</w:t>
      </w:r>
    </w:p>
    <w:p w14:paraId="5F3FA544">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本磋商文件仅适用于</w:t>
      </w:r>
      <w:r>
        <w:rPr>
          <w:rFonts w:hint="eastAsia" w:ascii="宋体" w:hAnsi="宋体"/>
          <w:color w:val="auto"/>
          <w:sz w:val="24"/>
          <w:lang w:eastAsia="zh-CN"/>
        </w:rPr>
        <w:t>千泉街道郭庄社区低压线路升级改造工程</w:t>
      </w:r>
      <w:r>
        <w:rPr>
          <w:rFonts w:hint="eastAsia" w:ascii="宋体" w:hAnsi="宋体"/>
          <w:color w:val="auto"/>
          <w:sz w:val="24"/>
        </w:rPr>
        <w:t>。</w:t>
      </w:r>
    </w:p>
    <w:p w14:paraId="3E92315B">
      <w:pPr>
        <w:tabs>
          <w:tab w:val="left" w:pos="315"/>
        </w:tabs>
        <w:spacing w:line="360" w:lineRule="auto"/>
        <w:ind w:firstLine="482" w:firstLineChars="200"/>
        <w:rPr>
          <w:rFonts w:ascii="宋体" w:hAnsi="宋体"/>
          <w:b/>
          <w:color w:val="auto"/>
          <w:sz w:val="24"/>
        </w:rPr>
      </w:pPr>
      <w:r>
        <w:rPr>
          <w:rFonts w:ascii="宋体" w:hAnsi="宋体"/>
          <w:b/>
          <w:color w:val="auto"/>
          <w:sz w:val="24"/>
        </w:rPr>
        <w:t>二、定义</w:t>
      </w:r>
      <w:r>
        <w:rPr>
          <w:rFonts w:hint="eastAsia" w:ascii="宋体" w:hAnsi="宋体"/>
          <w:b/>
          <w:color w:val="auto"/>
          <w:sz w:val="24"/>
        </w:rPr>
        <w:t>：</w:t>
      </w:r>
    </w:p>
    <w:p w14:paraId="494DD733">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1、“采 购 人”系指：</w:t>
      </w:r>
      <w:r>
        <w:rPr>
          <w:rFonts w:hint="eastAsia" w:ascii="宋体" w:hAnsi="宋体" w:cs="Arial Unicode MS"/>
          <w:color w:val="auto"/>
          <w:sz w:val="24"/>
          <w:lang w:eastAsia="zh-CN"/>
        </w:rPr>
        <w:t>邹城市千泉街道郭庄社区居民委员会</w:t>
      </w:r>
      <w:r>
        <w:rPr>
          <w:rFonts w:hint="eastAsia" w:ascii="宋体" w:hAnsi="宋体" w:cs="Arial Unicode MS"/>
          <w:color w:val="auto"/>
          <w:sz w:val="24"/>
        </w:rPr>
        <w:t>；</w:t>
      </w:r>
    </w:p>
    <w:p w14:paraId="12B60CD6">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2、“代理机构”系指：</w:t>
      </w:r>
      <w:r>
        <w:rPr>
          <w:rFonts w:hint="eastAsia" w:ascii="宋体" w:hAnsi="宋体" w:cs="Arial Unicode MS"/>
          <w:color w:val="auto"/>
          <w:sz w:val="24"/>
          <w:lang w:eastAsia="zh-CN"/>
        </w:rPr>
        <w:t>信硕 (山东) 项目咨询有限公司</w:t>
      </w:r>
      <w:r>
        <w:rPr>
          <w:rFonts w:hint="eastAsia" w:ascii="宋体" w:hAnsi="宋体" w:cs="Arial Unicode MS"/>
          <w:color w:val="auto"/>
          <w:sz w:val="24"/>
        </w:rPr>
        <w:t>；</w:t>
      </w:r>
    </w:p>
    <w:p w14:paraId="085623AD">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3、“响应供应商”系指参与</w:t>
      </w:r>
      <w:r>
        <w:rPr>
          <w:rFonts w:hint="eastAsia" w:ascii="宋体" w:hAnsi="宋体" w:cs="Courier New"/>
          <w:color w:val="auto"/>
          <w:sz w:val="24"/>
        </w:rPr>
        <w:t>磋商</w:t>
      </w:r>
      <w:r>
        <w:rPr>
          <w:rFonts w:hint="eastAsia" w:ascii="宋体" w:hAnsi="宋体" w:cs="Arial Unicode MS"/>
          <w:color w:val="auto"/>
          <w:sz w:val="24"/>
        </w:rPr>
        <w:t>并向采购人提交</w:t>
      </w:r>
      <w:r>
        <w:rPr>
          <w:rFonts w:hint="eastAsia" w:ascii="宋体" w:hAnsi="宋体" w:cs="Courier New"/>
          <w:color w:val="auto"/>
          <w:sz w:val="24"/>
        </w:rPr>
        <w:t>磋商</w:t>
      </w:r>
      <w:r>
        <w:rPr>
          <w:rFonts w:hint="eastAsia" w:ascii="宋体" w:hAnsi="宋体" w:cs="Arial Unicode MS"/>
          <w:color w:val="auto"/>
          <w:sz w:val="24"/>
        </w:rPr>
        <w:t>响应文件的单位；</w:t>
      </w:r>
    </w:p>
    <w:p w14:paraId="393C6A43">
      <w:pPr>
        <w:widowControl/>
        <w:shd w:val="clear" w:color="auto" w:fill="FFFFFF"/>
        <w:spacing w:line="360" w:lineRule="auto"/>
        <w:ind w:firstLine="480"/>
        <w:jc w:val="left"/>
        <w:rPr>
          <w:rFonts w:ascii="宋体" w:hAnsi="宋体" w:cs="Arial Unicode MS"/>
          <w:color w:val="auto"/>
          <w:sz w:val="24"/>
        </w:rPr>
      </w:pPr>
      <w:r>
        <w:rPr>
          <w:rFonts w:hint="eastAsia" w:ascii="宋体" w:hAnsi="宋体" w:cs="Arial Unicode MS"/>
          <w:color w:val="auto"/>
          <w:sz w:val="24"/>
        </w:rPr>
        <w:t>4、“成交供应商”系指经法定程序确定并授予合同的响应供应商。</w:t>
      </w:r>
    </w:p>
    <w:p w14:paraId="4EE18CF8">
      <w:pPr>
        <w:tabs>
          <w:tab w:val="left" w:pos="315"/>
        </w:tabs>
        <w:spacing w:line="360" w:lineRule="auto"/>
        <w:ind w:firstLine="482" w:firstLineChars="200"/>
        <w:rPr>
          <w:rFonts w:ascii="宋体" w:hAnsi="宋体"/>
          <w:b/>
          <w:color w:val="auto"/>
          <w:sz w:val="24"/>
        </w:rPr>
      </w:pPr>
      <w:r>
        <w:rPr>
          <w:rFonts w:ascii="宋体" w:hAnsi="宋体"/>
          <w:b/>
          <w:color w:val="auto"/>
          <w:sz w:val="24"/>
        </w:rPr>
        <w:t>三、</w:t>
      </w:r>
      <w:r>
        <w:rPr>
          <w:rFonts w:hint="eastAsia" w:ascii="宋体" w:hAnsi="宋体"/>
          <w:b/>
          <w:color w:val="auto"/>
          <w:sz w:val="24"/>
        </w:rPr>
        <w:t>供应商</w:t>
      </w:r>
      <w:r>
        <w:rPr>
          <w:rFonts w:ascii="宋体" w:hAnsi="宋体"/>
          <w:b/>
          <w:color w:val="auto"/>
          <w:sz w:val="24"/>
        </w:rPr>
        <w:t>应具备的条件</w:t>
      </w:r>
      <w:r>
        <w:rPr>
          <w:rFonts w:hint="eastAsia" w:ascii="宋体" w:hAnsi="宋体"/>
          <w:b/>
          <w:color w:val="auto"/>
          <w:sz w:val="24"/>
        </w:rPr>
        <w:t>：</w:t>
      </w:r>
    </w:p>
    <w:p w14:paraId="46FC11CF">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color w:val="auto"/>
          <w:kern w:val="0"/>
          <w:sz w:val="24"/>
        </w:rPr>
        <w:t>1、具备《政府采购法》第二十二条规定的条件。</w:t>
      </w:r>
    </w:p>
    <w:p w14:paraId="58D17467">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（一）具有独立承担民事责任的能力；</w:t>
      </w:r>
    </w:p>
    <w:p w14:paraId="47D7D1E5">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（二）具有良好的商业信誉和健全的财务会计制度；</w:t>
      </w:r>
    </w:p>
    <w:p w14:paraId="53E55F08">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（三）具有履行合同所必需的货物和专业技术能力；</w:t>
      </w:r>
    </w:p>
    <w:p w14:paraId="4248BE21">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（四）有依法缴纳税收和社会保障资金的良好记录；</w:t>
      </w:r>
    </w:p>
    <w:p w14:paraId="7A90D4A5">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（五）参加政府采购活动前三年内，在经营活动中没有重大违法记录；</w:t>
      </w:r>
    </w:p>
    <w:p w14:paraId="7CB77EF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color w:val="auto"/>
          <w:kern w:val="0"/>
          <w:sz w:val="24"/>
        </w:rPr>
      </w:pPr>
      <w:r>
        <w:rPr>
          <w:rFonts w:hint="eastAsia" w:ascii="宋体" w:hAnsi="宋体" w:cs="宋体"/>
          <w:bCs/>
          <w:color w:val="auto"/>
          <w:kern w:val="0"/>
          <w:sz w:val="24"/>
        </w:rPr>
        <w:t>（六）法律、行政法规规定的其他条件。</w:t>
      </w:r>
    </w:p>
    <w:p w14:paraId="25B9CB6E">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color w:val="auto"/>
          <w:sz w:val="24"/>
        </w:rPr>
      </w:pPr>
      <w:r>
        <w:rPr>
          <w:rFonts w:hint="eastAsia" w:ascii="宋体" w:hAnsi="宋体" w:cs="宋体"/>
          <w:bCs/>
          <w:color w:val="auto"/>
          <w:kern w:val="0"/>
          <w:sz w:val="24"/>
        </w:rPr>
        <w:t>2、</w:t>
      </w:r>
      <w:r>
        <w:rPr>
          <w:rFonts w:ascii="宋体" w:hAnsi="宋体" w:eastAsia="宋体" w:cs="宋体"/>
          <w:color w:val="auto"/>
          <w:spacing w:val="12"/>
          <w:sz w:val="24"/>
          <w:szCs w:val="24"/>
        </w:rPr>
        <w:t>本</w:t>
      </w:r>
      <w:r>
        <w:rPr>
          <w:rFonts w:ascii="宋体" w:hAnsi="宋体" w:eastAsia="宋体" w:cs="宋体"/>
          <w:color w:val="auto"/>
          <w:spacing w:val="11"/>
          <w:sz w:val="24"/>
          <w:szCs w:val="24"/>
        </w:rPr>
        <w:t>次采购要求：</w:t>
      </w:r>
      <w:r>
        <w:rPr>
          <w:rFonts w:hint="eastAsia" w:ascii="宋体" w:hAnsi="宋体" w:eastAsia="宋体" w:cs="宋体"/>
          <w:i w:val="0"/>
          <w:iCs w:val="0"/>
          <w:caps w:val="0"/>
          <w:color w:val="auto"/>
          <w:spacing w:val="0"/>
          <w:sz w:val="24"/>
          <w:szCs w:val="24"/>
          <w:shd w:val="clear" w:fill="FFFFFF"/>
        </w:rPr>
        <w:t>供应商须具备</w:t>
      </w:r>
      <w:r>
        <w:rPr>
          <w:rFonts w:hint="eastAsia" w:ascii="宋体" w:hAnsi="宋体" w:cs="宋体"/>
          <w:b/>
          <w:bCs/>
          <w:i w:val="0"/>
          <w:iCs w:val="0"/>
          <w:caps w:val="0"/>
          <w:color w:val="auto"/>
          <w:spacing w:val="0"/>
          <w:sz w:val="24"/>
          <w:szCs w:val="24"/>
          <w:u w:val="single"/>
          <w:shd w:val="clear" w:fill="FFFFFF"/>
          <w:lang w:eastAsia="zh-CN"/>
        </w:rPr>
        <w:t>电力工程施工总承包三级（含）以上资质及承装(修、试)电力设施许可证（须含承装类和承试类）四级（含）以上资质；或输变电工程专业承包三级（含）以上资质及承装(修、试)电力设施许可证（须含承装类和承试类）四级（含）以上资质</w:t>
      </w:r>
      <w:r>
        <w:rPr>
          <w:rFonts w:hint="eastAsia" w:ascii="宋体" w:hAnsi="宋体" w:eastAsia="宋体" w:cs="宋体"/>
          <w:i w:val="0"/>
          <w:iCs w:val="0"/>
          <w:caps w:val="0"/>
          <w:color w:val="auto"/>
          <w:spacing w:val="0"/>
          <w:sz w:val="24"/>
          <w:szCs w:val="24"/>
          <w:shd w:val="clear" w:fill="FFFFFF"/>
        </w:rPr>
        <w:t>，并在人员、设备、资金等方面具有相应的施工能力，</w:t>
      </w:r>
      <w:r>
        <w:rPr>
          <w:rFonts w:hint="eastAsia" w:ascii="宋体" w:hAnsi="宋体" w:eastAsia="宋体" w:cs="宋体"/>
          <w:i w:val="0"/>
          <w:iCs w:val="0"/>
          <w:caps w:val="0"/>
          <w:color w:val="auto"/>
          <w:spacing w:val="0"/>
          <w:sz w:val="24"/>
          <w:szCs w:val="24"/>
          <w:shd w:val="clear" w:color="auto" w:fill="FFFFFF"/>
        </w:rPr>
        <w:t>无拖欠农民工工资的不良行为</w:t>
      </w:r>
      <w:r>
        <w:rPr>
          <w:rFonts w:hint="eastAsia" w:ascii="宋体" w:hAnsi="宋体" w:eastAsia="宋体" w:cs="宋体"/>
          <w:i w:val="0"/>
          <w:iCs w:val="0"/>
          <w:caps w:val="0"/>
          <w:color w:val="auto"/>
          <w:spacing w:val="0"/>
          <w:sz w:val="24"/>
          <w:szCs w:val="24"/>
          <w:shd w:val="clear" w:color="auto" w:fill="FFFFFF"/>
          <w:lang w:eastAsia="zh-CN"/>
        </w:rPr>
        <w:t>。</w:t>
      </w:r>
      <w:r>
        <w:rPr>
          <w:rFonts w:hint="eastAsia" w:ascii="宋体" w:hAnsi="宋体" w:eastAsia="宋体" w:cs="宋体"/>
          <w:i w:val="0"/>
          <w:iCs w:val="0"/>
          <w:caps w:val="0"/>
          <w:color w:val="auto"/>
          <w:spacing w:val="0"/>
          <w:sz w:val="24"/>
          <w:szCs w:val="24"/>
          <w:shd w:val="clear" w:fill="FFFFFF"/>
        </w:rPr>
        <w:t>其中，供应商拟派项目经理须</w:t>
      </w:r>
      <w:r>
        <w:rPr>
          <w:rFonts w:hint="eastAsia" w:ascii="宋体" w:hAnsi="宋体" w:cs="宋体"/>
          <w:b/>
          <w:bCs/>
          <w:i w:val="0"/>
          <w:iCs w:val="0"/>
          <w:caps w:val="0"/>
          <w:color w:val="auto"/>
          <w:spacing w:val="0"/>
          <w:sz w:val="24"/>
          <w:szCs w:val="24"/>
          <w:u w:val="single"/>
          <w:shd w:val="clear" w:fill="FFFFFF"/>
          <w:lang w:eastAsia="zh-CN"/>
        </w:rPr>
        <w:t>具备本单位注册的机电专业贰级（含）以上注册建造师执业资格；或电力专业贰级（含）以上注册建造师执业资格，具备有效的安全生产考核证书B证</w:t>
      </w:r>
      <w:r>
        <w:rPr>
          <w:rFonts w:hint="eastAsia" w:ascii="宋体" w:hAnsi="宋体" w:eastAsia="宋体" w:cs="宋体"/>
          <w:i w:val="0"/>
          <w:iCs w:val="0"/>
          <w:caps w:val="0"/>
          <w:color w:val="auto"/>
          <w:spacing w:val="0"/>
          <w:sz w:val="24"/>
          <w:szCs w:val="24"/>
          <w:shd w:val="clear" w:fill="FFFFFF"/>
        </w:rPr>
        <w:t>，且未担任其他在施建设工程项目的项目经理</w:t>
      </w:r>
      <w:r>
        <w:rPr>
          <w:rFonts w:hint="eastAsia" w:ascii="宋体" w:hAnsi="宋体" w:cs="宋体"/>
          <w:bCs/>
          <w:color w:val="auto"/>
          <w:kern w:val="0"/>
          <w:sz w:val="24"/>
        </w:rPr>
        <w:t>。</w:t>
      </w:r>
    </w:p>
    <w:p w14:paraId="0CABBB8A">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Cs/>
          <w:color w:val="auto"/>
          <w:kern w:val="0"/>
          <w:sz w:val="24"/>
        </w:rPr>
      </w:pPr>
      <w:r>
        <w:rPr>
          <w:rFonts w:hint="eastAsia" w:ascii="宋体" w:hAnsi="宋体" w:cs="宋体"/>
          <w:bCs/>
          <w:color w:val="auto"/>
          <w:kern w:val="0"/>
          <w:sz w:val="24"/>
        </w:rPr>
        <w:t>3、因建设工地扬尘污染暂扣安全生产许可证的施工单位，不得参与本项目的磋商；因拖欠农民工工资，计入山东省（省级）及济宁市诚信黑榜，被限制济宁市内建设工程投标资格的施工单位，不得参与本项目的磋商。</w:t>
      </w:r>
    </w:p>
    <w:p w14:paraId="1F948862">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ascii="宋体" w:hAnsi="宋体" w:cs="宋体"/>
          <w:b/>
          <w:bCs w:val="0"/>
          <w:color w:val="auto"/>
          <w:kern w:val="0"/>
          <w:sz w:val="24"/>
        </w:rPr>
      </w:pPr>
      <w:r>
        <w:rPr>
          <w:rFonts w:hint="eastAsia" w:ascii="宋体" w:hAnsi="宋体" w:cs="宋体"/>
          <w:bCs/>
          <w:color w:val="auto"/>
          <w:kern w:val="0"/>
          <w:sz w:val="24"/>
        </w:rPr>
        <w:t>4、供应商在递交响应文件时需同时提供</w:t>
      </w:r>
      <w:r>
        <w:rPr>
          <w:rFonts w:hint="eastAsia" w:ascii="宋体" w:hAnsi="宋体" w:cs="宋体"/>
          <w:b/>
          <w:bCs w:val="0"/>
          <w:color w:val="auto"/>
          <w:kern w:val="0"/>
          <w:sz w:val="24"/>
        </w:rPr>
        <w:t>本单位营业执照(副本原件或加盖单位公章复印件)、资质证书（原件或加盖单位公章复印件）、安全生产许可证（副本原件或加盖单位公章复印件）、项目经理</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建造师注册证（原件或加盖单位公章复印件）及建造师安全生产考核合格证B证（</w:t>
      </w:r>
      <w:r>
        <w:rPr>
          <w:rFonts w:hint="eastAsia" w:ascii="宋体" w:hAnsi="宋体" w:cs="宋体"/>
          <w:b/>
          <w:bCs w:val="0"/>
          <w:color w:val="auto"/>
          <w:kern w:val="0"/>
          <w:sz w:val="24"/>
          <w:lang w:eastAsia="zh-CN"/>
        </w:rPr>
        <w:t>原件或加盖单位公章复印件</w:t>
      </w:r>
      <w:r>
        <w:rPr>
          <w:rFonts w:hint="eastAsia" w:ascii="宋体" w:hAnsi="宋体" w:cs="宋体"/>
          <w:b/>
          <w:bCs w:val="0"/>
          <w:color w:val="auto"/>
          <w:kern w:val="0"/>
          <w:sz w:val="24"/>
        </w:rPr>
        <w:t>）、法定代表人或授权委托人有效身份证原件及法人授权委托书原件以及竞争性磋商文件第三部分磋商组织、步骤与评审方法中要求的相关证件资料等。</w:t>
      </w:r>
    </w:p>
    <w:p w14:paraId="7CF8C074">
      <w:pPr>
        <w:pStyle w:val="3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right="0" w:firstLine="482"/>
        <w:jc w:val="left"/>
        <w:textAlignment w:val="baseline"/>
        <w:rPr>
          <w:rFonts w:hint="eastAsia" w:ascii="微软雅黑" w:hAnsi="微软雅黑" w:eastAsia="微软雅黑" w:cs="微软雅黑"/>
          <w:i w:val="0"/>
          <w:iCs w:val="0"/>
          <w:caps w:val="0"/>
          <w:color w:val="auto"/>
          <w:spacing w:val="0"/>
          <w:sz w:val="24"/>
          <w:szCs w:val="24"/>
        </w:rPr>
      </w:pPr>
      <w:r>
        <w:rPr>
          <w:rFonts w:hint="eastAsia" w:ascii="宋体" w:hAnsi="宋体" w:cs="宋体"/>
          <w:b/>
          <w:bCs w:val="0"/>
          <w:color w:val="auto"/>
          <w:kern w:val="0"/>
          <w:sz w:val="24"/>
        </w:rPr>
        <w:t>注：</w:t>
      </w:r>
      <w:r>
        <w:rPr>
          <w:rFonts w:hint="eastAsia" w:ascii="宋体" w:hAnsi="宋体" w:cs="宋体"/>
          <w:b/>
          <w:bCs w:val="0"/>
          <w:color w:val="auto"/>
          <w:kern w:val="0"/>
          <w:sz w:val="24"/>
          <w:lang w:eastAsia="zh-CN"/>
        </w:rPr>
        <w:t>供应商应按</w:t>
      </w:r>
      <w:r>
        <w:rPr>
          <w:rFonts w:hint="eastAsia" w:ascii="宋体" w:hAnsi="宋体" w:cs="宋体"/>
          <w:b/>
          <w:bCs w:val="0"/>
          <w:color w:val="auto"/>
          <w:kern w:val="0"/>
          <w:sz w:val="24"/>
        </w:rPr>
        <w:t>上述</w:t>
      </w:r>
      <w:r>
        <w:rPr>
          <w:rFonts w:hint="eastAsia" w:ascii="宋体" w:hAnsi="宋体" w:cs="宋体"/>
          <w:b/>
          <w:bCs w:val="0"/>
          <w:color w:val="auto"/>
          <w:kern w:val="0"/>
          <w:sz w:val="24"/>
          <w:lang w:eastAsia="zh-CN"/>
        </w:rPr>
        <w:t>要求提供有关</w:t>
      </w:r>
      <w:r>
        <w:rPr>
          <w:rFonts w:hint="eastAsia" w:ascii="宋体" w:hAnsi="宋体" w:cs="宋体"/>
          <w:b/>
          <w:bCs w:val="0"/>
          <w:color w:val="auto"/>
          <w:kern w:val="0"/>
          <w:sz w:val="24"/>
        </w:rPr>
        <w:t>材料、证件，</w:t>
      </w:r>
      <w:r>
        <w:rPr>
          <w:rFonts w:hint="eastAsia" w:ascii="宋体" w:hAnsi="宋体" w:cs="宋体"/>
          <w:b/>
          <w:bCs w:val="0"/>
          <w:color w:val="auto"/>
          <w:kern w:val="0"/>
          <w:sz w:val="24"/>
          <w:lang w:eastAsia="zh-CN"/>
        </w:rPr>
        <w:t>要求可以提供加盖公章复印件的材料、证件，已</w:t>
      </w:r>
      <w:r>
        <w:rPr>
          <w:rFonts w:hint="eastAsia" w:ascii="宋体" w:hAnsi="宋体" w:cs="宋体"/>
          <w:b/>
          <w:bCs w:val="0"/>
          <w:color w:val="auto"/>
          <w:kern w:val="0"/>
          <w:sz w:val="24"/>
        </w:rPr>
        <w:t>编制在响应文件中</w:t>
      </w:r>
      <w:r>
        <w:rPr>
          <w:rFonts w:hint="eastAsia" w:ascii="宋体" w:hAnsi="宋体" w:cs="宋体"/>
          <w:b/>
          <w:bCs w:val="0"/>
          <w:color w:val="auto"/>
          <w:kern w:val="0"/>
          <w:sz w:val="24"/>
          <w:lang w:eastAsia="zh-CN"/>
        </w:rPr>
        <w:t>的</w:t>
      </w:r>
      <w:r>
        <w:rPr>
          <w:rFonts w:hint="eastAsia" w:ascii="宋体" w:hAnsi="宋体" w:cs="宋体"/>
          <w:b/>
          <w:bCs w:val="0"/>
          <w:color w:val="auto"/>
          <w:kern w:val="0"/>
          <w:sz w:val="24"/>
        </w:rPr>
        <w:t>，</w:t>
      </w:r>
      <w:r>
        <w:rPr>
          <w:rFonts w:hint="eastAsia" w:ascii="宋体" w:hAnsi="宋体" w:cs="宋体"/>
          <w:b/>
          <w:bCs w:val="0"/>
          <w:color w:val="auto"/>
          <w:kern w:val="0"/>
          <w:sz w:val="24"/>
          <w:lang w:eastAsia="zh-CN"/>
        </w:rPr>
        <w:t>无需再单独提供；</w:t>
      </w:r>
      <w:r>
        <w:rPr>
          <w:rFonts w:hint="eastAsia" w:ascii="宋体" w:hAnsi="宋体" w:cs="宋体"/>
          <w:b/>
          <w:bCs w:val="0"/>
          <w:color w:val="auto"/>
          <w:kern w:val="0"/>
          <w:sz w:val="24"/>
        </w:rPr>
        <w:t>若供应商未将</w:t>
      </w:r>
      <w:r>
        <w:rPr>
          <w:rFonts w:hint="eastAsia" w:ascii="宋体" w:hAnsi="宋体" w:cs="宋体"/>
          <w:b/>
          <w:bCs w:val="0"/>
          <w:color w:val="auto"/>
          <w:kern w:val="0"/>
          <w:sz w:val="24"/>
          <w:lang w:eastAsia="zh-CN"/>
        </w:rPr>
        <w:t>相关材料、证件的</w:t>
      </w:r>
      <w:r>
        <w:rPr>
          <w:rFonts w:hint="eastAsia" w:ascii="宋体" w:hAnsi="宋体" w:cs="宋体"/>
          <w:b/>
          <w:bCs w:val="0"/>
          <w:color w:val="auto"/>
          <w:kern w:val="0"/>
          <w:sz w:val="24"/>
        </w:rPr>
        <w:t>复印件编制在响应文件中，则涉及资格等无效磋商响应文件情形的，将</w:t>
      </w:r>
      <w:r>
        <w:rPr>
          <w:rFonts w:hint="eastAsia" w:ascii="宋体" w:hAnsi="宋体" w:cs="宋体"/>
          <w:b/>
          <w:bCs w:val="0"/>
          <w:color w:val="auto"/>
          <w:kern w:val="0"/>
          <w:sz w:val="24"/>
          <w:lang w:eastAsia="zh-CN"/>
        </w:rPr>
        <w:t>按照无效响应处理</w:t>
      </w:r>
      <w:r>
        <w:rPr>
          <w:rFonts w:hint="eastAsia" w:ascii="宋体" w:hAnsi="宋体" w:cs="宋体"/>
          <w:b/>
          <w:bCs w:val="0"/>
          <w:color w:val="auto"/>
          <w:kern w:val="0"/>
          <w:sz w:val="24"/>
        </w:rPr>
        <w:t>，且不因</w:t>
      </w:r>
      <w:r>
        <w:rPr>
          <w:rFonts w:hint="eastAsia" w:ascii="宋体" w:hAnsi="宋体" w:cs="宋体"/>
          <w:b/>
          <w:bCs w:val="0"/>
          <w:color w:val="auto"/>
          <w:kern w:val="0"/>
          <w:sz w:val="24"/>
          <w:lang w:eastAsia="zh-CN"/>
        </w:rPr>
        <w:t>单独提供了有关材料、证件</w:t>
      </w:r>
      <w:r>
        <w:rPr>
          <w:rFonts w:hint="eastAsia" w:ascii="宋体" w:hAnsi="宋体" w:cs="宋体"/>
          <w:b/>
          <w:bCs w:val="0"/>
          <w:color w:val="auto"/>
          <w:kern w:val="0"/>
          <w:sz w:val="24"/>
        </w:rPr>
        <w:t>而改变。供应商在磋商时未按上述要求提供证明材料的，按无效响应文件处理或按评审办法规定不予认可</w:t>
      </w:r>
      <w:r>
        <w:rPr>
          <w:rFonts w:hint="eastAsia" w:ascii="宋体" w:hAnsi="宋体" w:eastAsia="宋体" w:cs="宋体"/>
          <w:b/>
          <w:bCs/>
          <w:i w:val="0"/>
          <w:iCs w:val="0"/>
          <w:caps w:val="0"/>
          <w:color w:val="auto"/>
          <w:spacing w:val="0"/>
          <w:sz w:val="24"/>
          <w:szCs w:val="24"/>
          <w:shd w:val="clear" w:fill="FFFFFF"/>
        </w:rPr>
        <w:t>。</w:t>
      </w:r>
    </w:p>
    <w:p w14:paraId="43F74DF0">
      <w:pPr>
        <w:widowControl/>
        <w:adjustRightInd w:val="0"/>
        <w:snapToGrid w:val="0"/>
        <w:spacing w:line="360" w:lineRule="auto"/>
        <w:ind w:firstLine="480" w:firstLineChars="200"/>
        <w:jc w:val="left"/>
        <w:rPr>
          <w:rFonts w:ascii="宋体" w:hAnsi="宋体" w:cs="宋体"/>
          <w:color w:val="auto"/>
          <w:kern w:val="0"/>
          <w:sz w:val="24"/>
        </w:rPr>
      </w:pPr>
      <w:r>
        <w:rPr>
          <w:rFonts w:hint="eastAsia" w:ascii="宋体" w:hAnsi="宋体" w:eastAsia="宋体" w:cs="宋体"/>
          <w:i w:val="0"/>
          <w:iCs w:val="0"/>
          <w:caps w:val="0"/>
          <w:color w:val="auto"/>
          <w:spacing w:val="0"/>
          <w:sz w:val="24"/>
          <w:szCs w:val="24"/>
          <w:shd w:val="clear" w:fill="FFFFFF"/>
        </w:rPr>
        <w:t>5、本次竞争性磋商不接受联合体</w:t>
      </w:r>
      <w:r>
        <w:rPr>
          <w:rFonts w:hint="eastAsia" w:ascii="宋体" w:hAnsi="宋体" w:cs="宋体"/>
          <w:color w:val="auto"/>
          <w:kern w:val="0"/>
          <w:sz w:val="24"/>
        </w:rPr>
        <w:t>。</w:t>
      </w:r>
    </w:p>
    <w:p w14:paraId="1EC575BF">
      <w:pPr>
        <w:spacing w:line="360" w:lineRule="auto"/>
        <w:ind w:firstLine="482" w:firstLineChars="200"/>
        <w:rPr>
          <w:rFonts w:ascii="宋体" w:hAnsi="宋体" w:cs="Arial Unicode MS"/>
          <w:b/>
          <w:color w:val="auto"/>
          <w:sz w:val="24"/>
        </w:rPr>
      </w:pPr>
      <w:r>
        <w:rPr>
          <w:rFonts w:ascii="宋体" w:hAnsi="宋体" w:cs="Arial Unicode MS"/>
          <w:b/>
          <w:color w:val="auto"/>
          <w:sz w:val="24"/>
        </w:rPr>
        <w:t>四、</w:t>
      </w:r>
      <w:r>
        <w:rPr>
          <w:rFonts w:hint="eastAsia" w:ascii="宋体" w:hAnsi="宋体" w:cs="Arial Unicode MS"/>
          <w:b/>
          <w:color w:val="auto"/>
          <w:sz w:val="24"/>
        </w:rPr>
        <w:t>竞争性磋商文件：</w:t>
      </w:r>
    </w:p>
    <w:p w14:paraId="28935E27">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本竞争性</w:t>
      </w:r>
      <w:r>
        <w:rPr>
          <w:rFonts w:hint="eastAsia" w:ascii="宋体" w:hAnsi="宋体" w:cs="黑体"/>
          <w:color w:val="auto"/>
          <w:kern w:val="0"/>
          <w:sz w:val="24"/>
        </w:rPr>
        <w:t>磋商</w:t>
      </w:r>
      <w:r>
        <w:rPr>
          <w:rFonts w:hint="eastAsia" w:ascii="宋体" w:hAnsi="宋体"/>
          <w:color w:val="auto"/>
          <w:sz w:val="24"/>
        </w:rPr>
        <w:t>文件由以下内容组成：</w:t>
      </w:r>
    </w:p>
    <w:p w14:paraId="2EA493FE">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1、</w:t>
      </w:r>
      <w:r>
        <w:rPr>
          <w:rFonts w:hint="eastAsia" w:ascii="宋体" w:hAnsi="宋体" w:cs="黑体"/>
          <w:color w:val="auto"/>
          <w:kern w:val="0"/>
          <w:sz w:val="24"/>
        </w:rPr>
        <w:t>竞争性</w:t>
      </w:r>
      <w:r>
        <w:rPr>
          <w:rFonts w:hint="eastAsia" w:ascii="宋体" w:hAnsi="宋体"/>
          <w:color w:val="auto"/>
          <w:sz w:val="24"/>
        </w:rPr>
        <w:t>磋商公告；</w:t>
      </w:r>
    </w:p>
    <w:p w14:paraId="31CA7B49">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2、磋商响应方须知；</w:t>
      </w:r>
    </w:p>
    <w:p w14:paraId="56A5D656">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3、磋商组织、步骤与评审方法；</w:t>
      </w:r>
    </w:p>
    <w:p w14:paraId="22487D06">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4、采购内容及要求；</w:t>
      </w:r>
    </w:p>
    <w:p w14:paraId="19C2446E">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5、合同授予；</w:t>
      </w:r>
    </w:p>
    <w:p w14:paraId="067F7D1D">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6、响应文件格式。</w:t>
      </w:r>
    </w:p>
    <w:p w14:paraId="038E164F">
      <w:pPr>
        <w:spacing w:line="360" w:lineRule="auto"/>
        <w:ind w:firstLine="482" w:firstLineChars="200"/>
        <w:rPr>
          <w:rFonts w:ascii="宋体" w:hAnsi="宋体" w:cs="Arial Unicode MS"/>
          <w:b/>
          <w:color w:val="auto"/>
          <w:sz w:val="24"/>
        </w:rPr>
      </w:pPr>
      <w:r>
        <w:rPr>
          <w:rFonts w:hint="eastAsia" w:ascii="宋体" w:hAnsi="宋体" w:cs="Arial Unicode MS"/>
          <w:b/>
          <w:color w:val="auto"/>
          <w:sz w:val="24"/>
        </w:rPr>
        <w:t>五、磋商</w:t>
      </w:r>
      <w:r>
        <w:rPr>
          <w:rFonts w:ascii="宋体" w:hAnsi="宋体" w:cs="Arial Unicode MS"/>
          <w:b/>
          <w:color w:val="auto"/>
          <w:sz w:val="24"/>
        </w:rPr>
        <w:t>文件的质疑、澄清或修改</w:t>
      </w:r>
      <w:r>
        <w:rPr>
          <w:rFonts w:hint="eastAsia" w:ascii="宋体" w:hAnsi="宋体" w:cs="Arial Unicode MS"/>
          <w:b/>
          <w:color w:val="auto"/>
          <w:sz w:val="24"/>
        </w:rPr>
        <w:t>：</w:t>
      </w:r>
    </w:p>
    <w:p w14:paraId="5B8C7D07">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1、各潜在供应商对磋商文件内容如有疑问，必须于磋商开始前五个日历日将疑问以书面形式送至采购人或电子邮件形式发至</w:t>
      </w:r>
      <w:r>
        <w:rPr>
          <w:rFonts w:hint="eastAsia" w:ascii="宋体" w:hAnsi="宋体" w:cs="宋体"/>
          <w:color w:val="auto"/>
          <w:sz w:val="24"/>
          <w:lang w:eastAsia="zh-CN"/>
        </w:rPr>
        <w:t>xssdxmzx@163.com</w:t>
      </w:r>
      <w:r>
        <w:rPr>
          <w:rFonts w:hint="eastAsia" w:ascii="宋体" w:hAnsi="宋体" w:cs="宋体"/>
          <w:color w:val="auto"/>
          <w:sz w:val="24"/>
        </w:rPr>
        <w:t>；</w:t>
      </w:r>
    </w:p>
    <w:p w14:paraId="32AA0A2A">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2、提交响应文件截止之日前，采购人、采购代理机构可以对已发出的磋商文件进行必要的澄清或者修改，澄清或者修改的内容作为磋商文件的组成部分。澄清或者修改的内容可能影响响应文件编制的，采购人、采购代理机构应当在提交响应文件截止时间至少5 日前，在邹城市外宣网（http://www.mencius.gov.cn/）予以公告；不足5日的，采购人、采购代理机构应当顺延提交响应文件截止时间。</w:t>
      </w:r>
    </w:p>
    <w:p w14:paraId="21AAFD0E">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3、磋商文件的澄清或者修改一经在邹城市外宣网（http://www.mencius.gov.cn/）发布，视作已发放给所有供应商（发布时间即为送达供应商的时间），各供应商应随时关注磋商项目信息并及时下载相关资料，否则所造成的一切后果由供应商自负。</w:t>
      </w:r>
    </w:p>
    <w:p w14:paraId="0F2E1537">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4、磋商文件的澄清或修改均以最后发布的内容为准。当磋商文件的澄清、修改、补充等在同一内容的表述不一致时，以最后发布的内容为准。</w:t>
      </w:r>
    </w:p>
    <w:p w14:paraId="49EE21D7">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Arial Unicode MS"/>
          <w:b/>
          <w:color w:val="auto"/>
          <w:sz w:val="24"/>
        </w:rPr>
      </w:pPr>
      <w:r>
        <w:rPr>
          <w:rFonts w:hint="eastAsia" w:ascii="宋体" w:hAnsi="宋体" w:cs="Arial Unicode MS"/>
          <w:b/>
          <w:color w:val="auto"/>
          <w:sz w:val="24"/>
        </w:rPr>
        <w:t>六</w:t>
      </w:r>
      <w:r>
        <w:rPr>
          <w:rFonts w:ascii="宋体" w:hAnsi="宋体" w:cs="Arial Unicode MS"/>
          <w:b/>
          <w:color w:val="auto"/>
          <w:sz w:val="24"/>
        </w:rPr>
        <w:t>、</w:t>
      </w:r>
      <w:r>
        <w:rPr>
          <w:rFonts w:hint="eastAsia" w:ascii="宋体" w:hAnsi="宋体" w:cs="Arial Unicode MS"/>
          <w:b/>
          <w:color w:val="auto"/>
          <w:sz w:val="24"/>
        </w:rPr>
        <w:t>磋商响应</w:t>
      </w:r>
      <w:r>
        <w:rPr>
          <w:rFonts w:ascii="宋体" w:hAnsi="宋体" w:cs="Arial Unicode MS"/>
          <w:b/>
          <w:color w:val="auto"/>
          <w:sz w:val="24"/>
        </w:rPr>
        <w:t>文件的编写及递交</w:t>
      </w:r>
      <w:r>
        <w:rPr>
          <w:rFonts w:hint="eastAsia" w:ascii="宋体" w:hAnsi="宋体" w:cs="Arial Unicode MS"/>
          <w:b/>
          <w:color w:val="auto"/>
          <w:sz w:val="24"/>
        </w:rPr>
        <w:t>：</w:t>
      </w:r>
    </w:p>
    <w:p w14:paraId="04FFC4C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供应商应按</w:t>
      </w:r>
      <w:r>
        <w:rPr>
          <w:rFonts w:hint="eastAsia" w:ascii="宋体" w:hAnsi="宋体" w:cs="Courier New"/>
          <w:color w:val="auto"/>
          <w:sz w:val="24"/>
        </w:rPr>
        <w:t>磋商</w:t>
      </w:r>
      <w:r>
        <w:rPr>
          <w:rFonts w:hint="eastAsia" w:ascii="宋体" w:hAnsi="宋体"/>
          <w:color w:val="auto"/>
          <w:sz w:val="24"/>
        </w:rPr>
        <w:t>文件的要求准备</w:t>
      </w:r>
      <w:r>
        <w:rPr>
          <w:rFonts w:hint="eastAsia" w:ascii="宋体" w:hAnsi="宋体" w:cs="Courier New"/>
          <w:color w:val="auto"/>
          <w:sz w:val="24"/>
        </w:rPr>
        <w:t>磋商</w:t>
      </w:r>
      <w:r>
        <w:rPr>
          <w:rFonts w:hint="eastAsia" w:ascii="宋体" w:hAnsi="宋体"/>
          <w:color w:val="auto"/>
          <w:sz w:val="24"/>
        </w:rPr>
        <w:t>响应文件，并保证所提供全部资料的真实性、准确性及完整性，并对</w:t>
      </w:r>
      <w:r>
        <w:rPr>
          <w:rFonts w:hint="eastAsia" w:ascii="宋体" w:hAnsi="宋体" w:cs="Courier New"/>
          <w:color w:val="auto"/>
          <w:sz w:val="24"/>
        </w:rPr>
        <w:t>磋商</w:t>
      </w:r>
      <w:r>
        <w:rPr>
          <w:rFonts w:hint="eastAsia" w:ascii="宋体" w:hAnsi="宋体"/>
          <w:color w:val="auto"/>
          <w:sz w:val="24"/>
        </w:rPr>
        <w:t>文件做出实质性响应。</w:t>
      </w:r>
    </w:p>
    <w:p w14:paraId="074CF3EF">
      <w:pPr>
        <w:keepNext w:val="0"/>
        <w:keepLines w:val="0"/>
        <w:pageBreakBefore w:val="0"/>
        <w:widowControl/>
        <w:numPr>
          <w:ilvl w:val="0"/>
          <w:numId w:val="2"/>
        </w:numPr>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黑体"/>
          <w:b/>
          <w:bCs/>
          <w:color w:val="auto"/>
          <w:kern w:val="0"/>
          <w:sz w:val="24"/>
        </w:rPr>
      </w:pPr>
      <w:r>
        <w:rPr>
          <w:rFonts w:hint="eastAsia" w:ascii="宋体" w:hAnsi="宋体" w:cs="黑体"/>
          <w:b/>
          <w:bCs/>
          <w:color w:val="auto"/>
          <w:kern w:val="0"/>
          <w:sz w:val="24"/>
        </w:rPr>
        <w:t>磋商响应文件的组成：</w:t>
      </w:r>
    </w:p>
    <w:p w14:paraId="40B74355">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1、磋商响应函</w:t>
      </w:r>
    </w:p>
    <w:p w14:paraId="786F70CE">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2、法定代表人身份证明或授权委托人身份证明及法定代表人授权委托书</w:t>
      </w:r>
    </w:p>
    <w:p w14:paraId="1BE10662">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3、初次报价表</w:t>
      </w:r>
    </w:p>
    <w:p w14:paraId="56C59E34">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4、初次报价的已标价工程量清单</w:t>
      </w:r>
    </w:p>
    <w:p w14:paraId="3F9B4617">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5、技术部分（施工组织设计）</w:t>
      </w:r>
    </w:p>
    <w:p w14:paraId="779BA1A5">
      <w:pPr>
        <w:widowControl/>
        <w:shd w:val="clear" w:color="auto" w:fill="FFFFFF"/>
        <w:spacing w:line="360" w:lineRule="auto"/>
        <w:ind w:firstLine="600" w:firstLineChars="250"/>
        <w:jc w:val="left"/>
        <w:rPr>
          <w:rFonts w:hint="eastAsia" w:ascii="宋体" w:hAnsi="宋体" w:eastAsia="宋体" w:cs="黑体"/>
          <w:color w:val="auto"/>
          <w:kern w:val="0"/>
          <w:sz w:val="24"/>
          <w:lang w:eastAsia="zh-CN"/>
        </w:rPr>
      </w:pPr>
      <w:r>
        <w:rPr>
          <w:rFonts w:hint="eastAsia" w:ascii="宋体" w:hAnsi="宋体" w:cs="黑体"/>
          <w:color w:val="auto"/>
          <w:kern w:val="0"/>
          <w:sz w:val="24"/>
          <w:lang w:val="en-US" w:eastAsia="zh-CN"/>
        </w:rPr>
        <w:t>6</w:t>
      </w:r>
      <w:r>
        <w:rPr>
          <w:rFonts w:hint="eastAsia" w:ascii="宋体" w:hAnsi="宋体" w:cs="黑体"/>
          <w:color w:val="auto"/>
          <w:kern w:val="0"/>
          <w:sz w:val="24"/>
        </w:rPr>
        <w:t>、</w:t>
      </w:r>
      <w:r>
        <w:rPr>
          <w:rFonts w:hint="eastAsia" w:ascii="宋体" w:hAnsi="宋体" w:cs="黑体"/>
          <w:color w:val="auto"/>
          <w:kern w:val="0"/>
          <w:sz w:val="24"/>
          <w:lang w:eastAsia="zh-CN"/>
        </w:rPr>
        <w:t>项目管理机构</w:t>
      </w:r>
    </w:p>
    <w:p w14:paraId="2E2C17F6">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7、</w:t>
      </w:r>
      <w:r>
        <w:rPr>
          <w:rFonts w:hint="eastAsia" w:ascii="宋体" w:hAnsi="宋体" w:cs="黑体"/>
          <w:color w:val="auto"/>
          <w:kern w:val="0"/>
          <w:sz w:val="24"/>
        </w:rPr>
        <w:t>资格审查资料</w:t>
      </w:r>
    </w:p>
    <w:p w14:paraId="59FF60D3">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8</w:t>
      </w:r>
      <w:r>
        <w:rPr>
          <w:rFonts w:hint="eastAsia" w:ascii="宋体" w:hAnsi="宋体" w:cs="黑体"/>
          <w:color w:val="auto"/>
          <w:kern w:val="0"/>
          <w:sz w:val="24"/>
        </w:rPr>
        <w:t>、建设工程扬尘治理工作承诺书</w:t>
      </w:r>
    </w:p>
    <w:p w14:paraId="651503BF">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9</w:t>
      </w:r>
      <w:r>
        <w:rPr>
          <w:rFonts w:hint="eastAsia" w:ascii="宋体" w:hAnsi="宋体" w:cs="黑体"/>
          <w:color w:val="auto"/>
          <w:kern w:val="0"/>
          <w:sz w:val="24"/>
        </w:rPr>
        <w:t>、其他资料</w:t>
      </w:r>
    </w:p>
    <w:p w14:paraId="47296021">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rPr>
      </w:pPr>
      <w:r>
        <w:rPr>
          <w:rFonts w:hint="eastAsia" w:ascii="宋体" w:hAnsi="宋体" w:cs="黑体"/>
          <w:b/>
          <w:color w:val="auto"/>
          <w:kern w:val="0"/>
          <w:sz w:val="24"/>
        </w:rPr>
        <w:t>（二）磋商响应文件的装订、密封和标记：</w:t>
      </w:r>
    </w:p>
    <w:p w14:paraId="1BF5F119">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s="黑体"/>
          <w:b w:val="0"/>
          <w:bCs/>
          <w:color w:val="auto"/>
          <w:kern w:val="0"/>
          <w:sz w:val="24"/>
        </w:rPr>
      </w:pPr>
      <w:r>
        <w:rPr>
          <w:rFonts w:hint="eastAsia" w:ascii="宋体" w:hAnsi="宋体" w:cs="黑体"/>
          <w:b w:val="0"/>
          <w:bCs/>
          <w:color w:val="auto"/>
          <w:kern w:val="0"/>
          <w:sz w:val="24"/>
        </w:rPr>
        <w:t>1、磋商响应文件需加盖磋商响应方公章并装订成册；</w:t>
      </w:r>
    </w:p>
    <w:p w14:paraId="5052E356">
      <w:pPr>
        <w:widowControl/>
        <w:shd w:val="clear" w:color="auto" w:fill="FFFFFF"/>
        <w:spacing w:line="360" w:lineRule="auto"/>
        <w:ind w:firstLine="480"/>
        <w:jc w:val="left"/>
        <w:rPr>
          <w:rFonts w:ascii="宋体" w:hAnsi="宋体" w:cs="黑体"/>
          <w:b w:val="0"/>
          <w:bCs/>
          <w:color w:val="auto"/>
          <w:kern w:val="0"/>
          <w:sz w:val="24"/>
        </w:rPr>
      </w:pPr>
      <w:r>
        <w:rPr>
          <w:rFonts w:hint="eastAsia" w:ascii="宋体" w:hAnsi="宋体" w:cs="黑体"/>
          <w:b w:val="0"/>
          <w:bCs/>
          <w:color w:val="auto"/>
          <w:kern w:val="0"/>
          <w:sz w:val="24"/>
        </w:rPr>
        <w:t>2、供应商应准备磋商响应文件</w:t>
      </w:r>
      <w:r>
        <w:rPr>
          <w:rFonts w:hint="eastAsia" w:ascii="宋体" w:hAnsi="宋体" w:cs="黑体"/>
          <w:b w:val="0"/>
          <w:bCs/>
          <w:color w:val="auto"/>
          <w:kern w:val="0"/>
          <w:sz w:val="24"/>
          <w:lang w:eastAsia="zh-CN"/>
        </w:rPr>
        <w:t>五</w:t>
      </w:r>
      <w:r>
        <w:rPr>
          <w:rFonts w:hint="eastAsia" w:ascii="宋体" w:hAnsi="宋体" w:cs="黑体"/>
          <w:b w:val="0"/>
          <w:bCs/>
          <w:color w:val="auto"/>
          <w:kern w:val="0"/>
          <w:sz w:val="24"/>
        </w:rPr>
        <w:t>份，一份正本和</w:t>
      </w:r>
      <w:r>
        <w:rPr>
          <w:rFonts w:hint="eastAsia" w:ascii="宋体" w:hAnsi="宋体" w:cs="黑体"/>
          <w:b w:val="0"/>
          <w:bCs/>
          <w:color w:val="auto"/>
          <w:kern w:val="0"/>
          <w:sz w:val="24"/>
          <w:lang w:eastAsia="zh-CN"/>
        </w:rPr>
        <w:t>四</w:t>
      </w:r>
      <w:r>
        <w:rPr>
          <w:rFonts w:hint="eastAsia" w:ascii="宋体" w:hAnsi="宋体" w:cs="黑体"/>
          <w:b w:val="0"/>
          <w:bCs/>
          <w:color w:val="auto"/>
          <w:kern w:val="0"/>
          <w:sz w:val="24"/>
        </w:rPr>
        <w:t>份副本。在每一份磋商响应文件上要明确注明“正本”或“副本”字样，一旦正本和副本有差异，以正本为准；</w:t>
      </w:r>
    </w:p>
    <w:p w14:paraId="7866E46A">
      <w:pPr>
        <w:widowControl/>
        <w:shd w:val="clear" w:color="auto" w:fill="FFFFFF"/>
        <w:spacing w:line="360" w:lineRule="auto"/>
        <w:ind w:firstLine="480"/>
        <w:jc w:val="left"/>
        <w:rPr>
          <w:rFonts w:ascii="宋体" w:hAnsi="宋体" w:cs="黑体"/>
          <w:b w:val="0"/>
          <w:bCs/>
          <w:color w:val="auto"/>
          <w:kern w:val="0"/>
          <w:sz w:val="24"/>
        </w:rPr>
      </w:pPr>
      <w:r>
        <w:rPr>
          <w:rFonts w:hint="eastAsia" w:ascii="宋体" w:hAnsi="宋体" w:cs="黑体"/>
          <w:b w:val="0"/>
          <w:bCs/>
          <w:color w:val="auto"/>
          <w:kern w:val="0"/>
          <w:sz w:val="24"/>
        </w:rPr>
        <w:t>3、响应供应商应将磋商响应文件密封，并在封口处加盖磋商响应方公章或由法定代表人（或委托代理人）签字（或签章），未按本条要求密封的磋商响应文件将有权被拒绝接收。</w:t>
      </w:r>
    </w:p>
    <w:p w14:paraId="0C0CF2D3">
      <w:pPr>
        <w:widowControl/>
        <w:shd w:val="clear" w:color="auto" w:fill="FFFFFF"/>
        <w:spacing w:line="360" w:lineRule="auto"/>
        <w:ind w:firstLine="480"/>
        <w:jc w:val="left"/>
        <w:rPr>
          <w:rFonts w:ascii="宋体" w:hAnsi="宋体" w:cs="黑体"/>
          <w:b/>
          <w:color w:val="auto"/>
          <w:kern w:val="0"/>
          <w:sz w:val="24"/>
        </w:rPr>
      </w:pPr>
      <w:r>
        <w:rPr>
          <w:rFonts w:hint="eastAsia" w:ascii="宋体" w:hAnsi="宋体" w:cs="黑体"/>
          <w:b/>
          <w:color w:val="auto"/>
          <w:kern w:val="0"/>
          <w:sz w:val="24"/>
        </w:rPr>
        <w:t>（三）磋商响应文件的递交：</w:t>
      </w:r>
    </w:p>
    <w:p w14:paraId="44AE14F7">
      <w:pPr>
        <w:widowControl/>
        <w:shd w:val="clear" w:color="auto" w:fill="FFFFFF"/>
        <w:spacing w:line="440" w:lineRule="exact"/>
        <w:ind w:firstLine="480"/>
        <w:jc w:val="left"/>
        <w:rPr>
          <w:rFonts w:ascii="宋体" w:hAnsi="宋体" w:cs="宋体"/>
          <w:b/>
          <w:color w:val="auto"/>
          <w:kern w:val="0"/>
          <w:sz w:val="24"/>
        </w:rPr>
      </w:pPr>
      <w:r>
        <w:rPr>
          <w:rFonts w:hint="eastAsia" w:ascii="宋体" w:hAnsi="宋体" w:cs="宋体"/>
          <w:b/>
          <w:color w:val="auto"/>
          <w:kern w:val="0"/>
          <w:sz w:val="24"/>
        </w:rPr>
        <w:t xml:space="preserve">1.磋商响应文件上传时间: </w:t>
      </w:r>
      <w:r>
        <w:rPr>
          <w:rFonts w:hint="eastAsia" w:ascii="宋体" w:hAnsi="宋体" w:cs="宋体"/>
          <w:b/>
          <w:color w:val="auto"/>
          <w:kern w:val="0"/>
          <w:sz w:val="24"/>
          <w:lang w:eastAsia="zh-CN"/>
        </w:rPr>
        <w:t>2025年4月15日09时00分</w:t>
      </w:r>
      <w:r>
        <w:rPr>
          <w:rFonts w:hint="eastAsia" w:ascii="宋体" w:hAnsi="宋体" w:cs="宋体"/>
          <w:b/>
          <w:color w:val="auto"/>
          <w:kern w:val="0"/>
          <w:sz w:val="24"/>
          <w:highlight w:val="none"/>
        </w:rPr>
        <w:t>前递交至</w:t>
      </w:r>
      <w:r>
        <w:rPr>
          <w:rFonts w:hint="eastAsia" w:ascii="宋体" w:hAnsi="宋体" w:cs="宋体"/>
          <w:b/>
          <w:color w:val="auto"/>
          <w:kern w:val="0"/>
          <w:sz w:val="24"/>
          <w:lang w:eastAsia="zh-CN"/>
        </w:rPr>
        <w:t>邹城市人民政府千泉街道办事处公共资源交易中心开标室</w:t>
      </w:r>
      <w:r>
        <w:rPr>
          <w:rFonts w:hint="eastAsia" w:ascii="宋体" w:hAnsi="宋体" w:cs="宋体"/>
          <w:b/>
          <w:color w:val="auto"/>
          <w:kern w:val="0"/>
          <w:sz w:val="24"/>
        </w:rPr>
        <w:t>。</w:t>
      </w:r>
    </w:p>
    <w:p w14:paraId="4CC7100E">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2、递交磋商响应文件时，供应商如出现以下情况，磋商响应文件将有权被拒绝。</w:t>
      </w:r>
    </w:p>
    <w:p w14:paraId="58A03CA0">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（1）逾期送达或未送达指定地点的磋商响应文件。</w:t>
      </w:r>
    </w:p>
    <w:p w14:paraId="0E9E5F98">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（2）供应商以传真、电子邮件方式递交磋商响应文件。</w:t>
      </w:r>
    </w:p>
    <w:p w14:paraId="0FA54A79">
      <w:pPr>
        <w:spacing w:line="360" w:lineRule="auto"/>
        <w:ind w:firstLine="480"/>
        <w:jc w:val="left"/>
        <w:rPr>
          <w:rFonts w:ascii="宋体" w:hAnsi="宋体" w:cs="黑体"/>
          <w:color w:val="auto"/>
          <w:kern w:val="0"/>
          <w:sz w:val="24"/>
        </w:rPr>
      </w:pPr>
      <w:r>
        <w:rPr>
          <w:rFonts w:hint="eastAsia" w:ascii="宋体" w:hAnsi="宋体" w:cs="黑体"/>
          <w:color w:val="auto"/>
          <w:kern w:val="0"/>
          <w:sz w:val="24"/>
        </w:rPr>
        <w:t>3、对供应商的磋商响应文件、材料不予退还。</w:t>
      </w:r>
    </w:p>
    <w:p w14:paraId="2B22459E">
      <w:pPr>
        <w:widowControl/>
        <w:shd w:val="clear" w:color="auto" w:fill="FFFFFF"/>
        <w:spacing w:line="360" w:lineRule="auto"/>
        <w:ind w:firstLine="482"/>
        <w:jc w:val="left"/>
        <w:rPr>
          <w:rFonts w:ascii="宋体" w:hAnsi="宋体" w:cs="黑体"/>
          <w:b/>
          <w:color w:val="auto"/>
          <w:kern w:val="0"/>
          <w:sz w:val="24"/>
        </w:rPr>
      </w:pPr>
      <w:r>
        <w:rPr>
          <w:rFonts w:hint="eastAsia" w:ascii="宋体" w:hAnsi="宋体" w:cs="黑体"/>
          <w:b/>
          <w:color w:val="auto"/>
          <w:kern w:val="0"/>
          <w:sz w:val="24"/>
        </w:rPr>
        <w:t>（四）报价要求：</w:t>
      </w:r>
    </w:p>
    <w:p w14:paraId="57173EA6">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1、本采购项目采用初次报价及最终报价共二次的报价方式，供应商的报价包括人工费、材料费、机械费、安全施工费、管理费、措施费、检测试验费、环境保护及扬尘治理费、利润、规费、税金、验收、保修服务费、并考虑风险及其他一切费用。</w:t>
      </w:r>
    </w:p>
    <w:p w14:paraId="2884A407">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2、报价时考虑可调以外的材料价格上涨等一切风险因素。</w:t>
      </w:r>
    </w:p>
    <w:p w14:paraId="5F24884A">
      <w:pPr>
        <w:widowControl/>
        <w:shd w:val="clear" w:color="auto" w:fill="FFFFFF"/>
        <w:spacing w:line="360" w:lineRule="auto"/>
        <w:ind w:firstLine="480"/>
        <w:jc w:val="left"/>
        <w:rPr>
          <w:rFonts w:ascii="宋体" w:hAnsi="宋体"/>
          <w:color w:val="auto"/>
          <w:sz w:val="24"/>
        </w:rPr>
      </w:pPr>
      <w:r>
        <w:rPr>
          <w:rFonts w:hint="eastAsia" w:ascii="宋体" w:hAnsi="宋体"/>
          <w:color w:val="auto"/>
          <w:sz w:val="24"/>
        </w:rPr>
        <w:t>3、</w:t>
      </w:r>
      <w:r>
        <w:rPr>
          <w:rFonts w:hint="eastAsia" w:ascii="宋体" w:hAnsi="宋体" w:cs="Arial"/>
          <w:color w:val="auto"/>
          <w:kern w:val="0"/>
          <w:sz w:val="24"/>
        </w:rPr>
        <w:t>施工期间与周边地方关系的协调由成交单位自行处理，产生的任何费用自行承担</w:t>
      </w:r>
      <w:r>
        <w:rPr>
          <w:rFonts w:hint="eastAsia" w:ascii="宋体" w:hAnsi="宋体"/>
          <w:color w:val="auto"/>
          <w:sz w:val="24"/>
        </w:rPr>
        <w:t>。</w:t>
      </w:r>
    </w:p>
    <w:p w14:paraId="5157D26C">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4、本次</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采用初次报价及最终报价，共二次的报价方式；初次报价按</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文件格式报价，最终报价为竞争性</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后，由法定代表人或其委托代理人在最终</w:t>
      </w:r>
      <w:r>
        <w:rPr>
          <w:rFonts w:hint="eastAsia" w:ascii="宋体" w:hAnsi="宋体" w:cs="宋体"/>
          <w:b/>
          <w:color w:val="auto"/>
          <w:sz w:val="24"/>
          <w:szCs w:val="24"/>
          <w:lang w:eastAsia="zh-CN"/>
        </w:rPr>
        <w:t>磋商</w:t>
      </w:r>
      <w:r>
        <w:rPr>
          <w:rFonts w:hint="eastAsia" w:ascii="宋体" w:hAnsi="宋体" w:eastAsia="宋体" w:cs="宋体"/>
          <w:b/>
          <w:color w:val="auto"/>
          <w:sz w:val="24"/>
          <w:szCs w:val="24"/>
        </w:rPr>
        <w:t>后递交，最终报价只报总价，分项明细报价（分部分项工程量清单单价和合价、措施项目费、其他项目费、规费、税金）按最终报价与初次报价的比率，同比例下调。供应商两次报价均不得超出采购预算（控制价）且最终报价不得超出初次报价，如若超出按无效响应处理。其中，代理服务费应分摊在报价中。</w:t>
      </w:r>
    </w:p>
    <w:p w14:paraId="766C8324">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计算公式为：</w:t>
      </w:r>
    </w:p>
    <w:p w14:paraId="53607DA9">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报价比率=供应商最终报价/ 初次报价</w:t>
      </w:r>
    </w:p>
    <w:p w14:paraId="0C4914E3">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报价的分部分项工程单价与合价=报价比率×初次报价中的分部分项工程单价与合价</w:t>
      </w:r>
    </w:p>
    <w:p w14:paraId="632AC2E3">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报价的措施费=报价比率×初次报价中的措施费</w:t>
      </w:r>
    </w:p>
    <w:p w14:paraId="0ABACC28">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报价的规费=报价比率×初次报价中的规费</w:t>
      </w:r>
    </w:p>
    <w:p w14:paraId="144D5A6A">
      <w:pPr>
        <w:spacing w:line="56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报价的税金=报价比率×初次报价中的税金</w:t>
      </w:r>
    </w:p>
    <w:p w14:paraId="7983226B">
      <w:pPr>
        <w:spacing w:line="5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5、报价币种为人民币，如果报价表大写金额与小写金额不一致，以大写的金额为准。</w:t>
      </w:r>
    </w:p>
    <w:p w14:paraId="6FEE1444">
      <w:pPr>
        <w:widowControl/>
        <w:shd w:val="clear" w:color="auto" w:fill="FFFFFF"/>
        <w:spacing w:line="360" w:lineRule="auto"/>
        <w:ind w:firstLine="480"/>
        <w:jc w:val="left"/>
        <w:rPr>
          <w:rFonts w:hint="eastAsia" w:ascii="宋体" w:hAnsi="宋体" w:eastAsia="宋体" w:cs="黑体"/>
          <w:b/>
          <w:color w:val="auto"/>
          <w:kern w:val="0"/>
          <w:sz w:val="24"/>
          <w:u w:val="single"/>
          <w:lang w:eastAsia="zh-CN"/>
        </w:rPr>
      </w:pPr>
      <w:r>
        <w:rPr>
          <w:rFonts w:hint="eastAsia" w:ascii="宋体" w:hAnsi="宋体"/>
          <w:b/>
          <w:color w:val="auto"/>
          <w:sz w:val="24"/>
          <w:lang w:val="en-US" w:eastAsia="zh-CN"/>
        </w:rPr>
        <w:t>6</w:t>
      </w:r>
      <w:r>
        <w:rPr>
          <w:rFonts w:hint="eastAsia" w:ascii="宋体" w:hAnsi="宋体"/>
          <w:b/>
          <w:color w:val="auto"/>
          <w:sz w:val="24"/>
        </w:rPr>
        <w:t>、</w:t>
      </w:r>
      <w:r>
        <w:rPr>
          <w:rFonts w:hint="eastAsia" w:ascii="宋体" w:hAnsi="宋体" w:cs="黑体"/>
          <w:b/>
          <w:bCs/>
          <w:color w:val="auto"/>
          <w:kern w:val="0"/>
          <w:sz w:val="24"/>
        </w:rPr>
        <w:t>采购预算为</w:t>
      </w:r>
      <w:r>
        <w:rPr>
          <w:rFonts w:ascii="宋体" w:hAnsi="宋体" w:cs="宋体"/>
          <w:b/>
          <w:color w:val="auto"/>
          <w:kern w:val="0"/>
          <w:sz w:val="24"/>
          <w:u w:val="single"/>
        </w:rPr>
        <w:t xml:space="preserve"> </w:t>
      </w:r>
      <w:r>
        <w:rPr>
          <w:rFonts w:hint="eastAsia" w:ascii="宋体" w:hAnsi="宋体" w:cs="宋体"/>
          <w:b/>
          <w:color w:val="auto"/>
          <w:kern w:val="0"/>
          <w:sz w:val="24"/>
          <w:u w:val="single"/>
          <w:lang w:val="en-US" w:eastAsia="zh-CN"/>
        </w:rPr>
        <w:t xml:space="preserve">1127047.96 </w:t>
      </w:r>
      <w:r>
        <w:rPr>
          <w:rFonts w:hint="eastAsia" w:ascii="宋体" w:hAnsi="宋体" w:cs="黑体"/>
          <w:b/>
          <w:bCs/>
          <w:color w:val="auto"/>
          <w:kern w:val="0"/>
          <w:sz w:val="24"/>
        </w:rPr>
        <w:t>元</w:t>
      </w:r>
      <w:r>
        <w:rPr>
          <w:rFonts w:hint="eastAsia" w:ascii="宋体" w:hAnsi="宋体" w:cs="黑体"/>
          <w:b/>
          <w:bCs/>
          <w:color w:val="auto"/>
          <w:kern w:val="0"/>
          <w:sz w:val="24"/>
          <w:lang w:eastAsia="zh-CN"/>
        </w:rPr>
        <w:t>，</w:t>
      </w:r>
      <w:r>
        <w:rPr>
          <w:rFonts w:hint="eastAsia" w:ascii="宋体" w:hAnsi="宋体" w:eastAsia="宋体" w:cs="宋体"/>
          <w:b/>
          <w:color w:val="auto"/>
          <w:sz w:val="24"/>
          <w:szCs w:val="24"/>
          <w:highlight w:val="none"/>
        </w:rPr>
        <w:t>大写：</w:t>
      </w:r>
      <w:r>
        <w:rPr>
          <w:rFonts w:hint="eastAsia" w:ascii="宋体" w:hAnsi="宋体" w:cs="宋体"/>
          <w:b/>
          <w:color w:val="auto"/>
          <w:sz w:val="24"/>
          <w:szCs w:val="24"/>
          <w:highlight w:val="none"/>
          <w:u w:val="single"/>
          <w:lang w:eastAsia="zh-CN"/>
        </w:rPr>
        <w:t>壹佰壹拾贰万柒仟零肆拾柒元玖角陆分</w:t>
      </w:r>
    </w:p>
    <w:p w14:paraId="18EA7378">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s="黑体"/>
          <w:color w:val="auto"/>
          <w:kern w:val="0"/>
          <w:sz w:val="24"/>
          <w:lang w:val="en-US" w:eastAsia="zh-CN"/>
        </w:rPr>
        <w:t>7</w:t>
      </w:r>
      <w:r>
        <w:rPr>
          <w:rFonts w:hint="eastAsia" w:ascii="宋体" w:hAnsi="宋体" w:cs="黑体"/>
          <w:color w:val="auto"/>
          <w:kern w:val="0"/>
          <w:sz w:val="24"/>
        </w:rPr>
        <w:t>、</w:t>
      </w:r>
      <w:r>
        <w:rPr>
          <w:rFonts w:hint="eastAsia" w:ascii="宋体" w:hAnsi="宋体"/>
          <w:color w:val="auto"/>
          <w:sz w:val="24"/>
        </w:rPr>
        <w:t>采购人不组织踏勘现场，供应商踏勘现场发生的费用自理，供应商自行负责在踏勘现场中所发生的人员伤亡和财产损失。</w:t>
      </w:r>
    </w:p>
    <w:p w14:paraId="2FF0BAC6">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bCs/>
          <w:color w:val="auto"/>
          <w:sz w:val="24"/>
        </w:rPr>
      </w:pPr>
      <w:r>
        <w:rPr>
          <w:rFonts w:hint="eastAsia" w:ascii="宋体" w:hAnsi="宋体"/>
          <w:b/>
          <w:bCs/>
          <w:color w:val="auto"/>
          <w:sz w:val="24"/>
        </w:rPr>
        <w:t>七</w:t>
      </w:r>
      <w:r>
        <w:rPr>
          <w:rFonts w:ascii="宋体" w:hAnsi="宋体"/>
          <w:b/>
          <w:bCs/>
          <w:color w:val="auto"/>
          <w:sz w:val="24"/>
        </w:rPr>
        <w:t>、</w:t>
      </w:r>
      <w:r>
        <w:rPr>
          <w:rFonts w:hint="eastAsia" w:ascii="宋体" w:hAnsi="宋体"/>
          <w:b/>
          <w:bCs/>
          <w:color w:val="auto"/>
          <w:sz w:val="24"/>
        </w:rPr>
        <w:t>磋商</w:t>
      </w:r>
      <w:r>
        <w:rPr>
          <w:rFonts w:ascii="宋体" w:hAnsi="宋体"/>
          <w:b/>
          <w:bCs/>
          <w:color w:val="auto"/>
          <w:sz w:val="24"/>
        </w:rPr>
        <w:t>有效期</w:t>
      </w:r>
      <w:r>
        <w:rPr>
          <w:rFonts w:hint="eastAsia" w:ascii="宋体" w:hAnsi="宋体"/>
          <w:b/>
          <w:bCs/>
          <w:color w:val="auto"/>
          <w:sz w:val="24"/>
        </w:rPr>
        <w:t>：</w:t>
      </w:r>
    </w:p>
    <w:p w14:paraId="53A615F0">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自递交</w:t>
      </w:r>
      <w:r>
        <w:rPr>
          <w:rFonts w:hint="eastAsia" w:ascii="宋体" w:hAnsi="宋体" w:cs="Courier New"/>
          <w:color w:val="auto"/>
          <w:sz w:val="24"/>
        </w:rPr>
        <w:t>磋商</w:t>
      </w:r>
      <w:r>
        <w:rPr>
          <w:rFonts w:hint="eastAsia" w:ascii="宋体" w:hAnsi="宋体"/>
          <w:color w:val="auto"/>
          <w:sz w:val="24"/>
        </w:rPr>
        <w:t>响应文件</w:t>
      </w:r>
      <w:r>
        <w:rPr>
          <w:rFonts w:ascii="宋体" w:hAnsi="宋体"/>
          <w:color w:val="auto"/>
          <w:sz w:val="24"/>
        </w:rPr>
        <w:t>截止之日</w:t>
      </w:r>
      <w:r>
        <w:rPr>
          <w:rFonts w:hint="eastAsia" w:ascii="宋体" w:hAnsi="宋体"/>
          <w:color w:val="auto"/>
          <w:sz w:val="24"/>
        </w:rPr>
        <w:t>起60个日历日。</w:t>
      </w:r>
    </w:p>
    <w:p w14:paraId="3A94D86F">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rPr>
      </w:pPr>
      <w:r>
        <w:rPr>
          <w:rFonts w:hint="eastAsia" w:ascii="宋体" w:hAnsi="宋体"/>
          <w:b/>
          <w:color w:val="auto"/>
          <w:sz w:val="24"/>
        </w:rPr>
        <w:t>八</w:t>
      </w:r>
      <w:r>
        <w:rPr>
          <w:rFonts w:ascii="宋体" w:hAnsi="宋体"/>
          <w:b/>
          <w:color w:val="auto"/>
          <w:sz w:val="24"/>
        </w:rPr>
        <w:t>、</w:t>
      </w:r>
      <w:r>
        <w:rPr>
          <w:rFonts w:hint="eastAsia" w:ascii="宋体" w:hAnsi="宋体"/>
          <w:b/>
          <w:color w:val="auto"/>
          <w:sz w:val="24"/>
        </w:rPr>
        <w:t>磋商</w:t>
      </w:r>
      <w:r>
        <w:rPr>
          <w:rFonts w:ascii="宋体" w:hAnsi="宋体"/>
          <w:b/>
          <w:color w:val="auto"/>
          <w:sz w:val="24"/>
        </w:rPr>
        <w:t>费用</w:t>
      </w:r>
      <w:r>
        <w:rPr>
          <w:rFonts w:hint="eastAsia" w:ascii="宋体" w:hAnsi="宋体"/>
          <w:b/>
          <w:color w:val="auto"/>
          <w:sz w:val="24"/>
        </w:rPr>
        <w:t>：</w:t>
      </w:r>
    </w:p>
    <w:p w14:paraId="5B234493">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1、无论</w:t>
      </w:r>
      <w:r>
        <w:rPr>
          <w:rFonts w:hint="eastAsia" w:ascii="宋体" w:hAnsi="宋体" w:cs="黑体"/>
          <w:color w:val="auto"/>
          <w:kern w:val="0"/>
          <w:sz w:val="24"/>
        </w:rPr>
        <w:t>报价</w:t>
      </w:r>
      <w:r>
        <w:rPr>
          <w:rFonts w:hint="eastAsia" w:ascii="宋体" w:hAnsi="宋体"/>
          <w:color w:val="auto"/>
          <w:sz w:val="24"/>
        </w:rPr>
        <w:t>过程中的方法和结果如何，各</w:t>
      </w:r>
      <w:r>
        <w:rPr>
          <w:rFonts w:hint="eastAsia" w:ascii="宋体" w:hAnsi="宋体" w:cs="Courier New"/>
          <w:color w:val="auto"/>
          <w:sz w:val="24"/>
        </w:rPr>
        <w:t>磋商</w:t>
      </w:r>
      <w:r>
        <w:rPr>
          <w:rFonts w:hint="eastAsia" w:ascii="宋体" w:hAnsi="宋体"/>
          <w:color w:val="auto"/>
          <w:sz w:val="24"/>
        </w:rPr>
        <w:t>响应方自行承担所有参与</w:t>
      </w:r>
      <w:r>
        <w:rPr>
          <w:rFonts w:hint="eastAsia" w:ascii="宋体" w:hAnsi="宋体" w:cs="Courier New"/>
          <w:color w:val="auto"/>
          <w:sz w:val="24"/>
        </w:rPr>
        <w:t>磋商</w:t>
      </w:r>
      <w:r>
        <w:rPr>
          <w:rFonts w:hint="eastAsia" w:ascii="宋体" w:hAnsi="宋体"/>
          <w:color w:val="auto"/>
          <w:sz w:val="24"/>
        </w:rPr>
        <w:t>的有关费用。</w:t>
      </w:r>
    </w:p>
    <w:p w14:paraId="497D41F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highlight w:val="none"/>
        </w:rPr>
      </w:pPr>
      <w:r>
        <w:rPr>
          <w:rFonts w:hint="eastAsia" w:ascii="宋体" w:hAnsi="宋体"/>
          <w:color w:val="auto"/>
          <w:sz w:val="24"/>
        </w:rPr>
        <w:t>2、</w:t>
      </w:r>
      <w:r>
        <w:rPr>
          <w:rFonts w:hint="eastAsia" w:ascii="宋体" w:hAnsi="宋体"/>
          <w:color w:val="auto"/>
          <w:sz w:val="24"/>
          <w:highlight w:val="none"/>
        </w:rPr>
        <w:t>本次采购代理服务费由成交供应商支付，费用合计如下：</w:t>
      </w:r>
    </w:p>
    <w:p w14:paraId="16F7AA8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olor w:val="auto"/>
          <w:sz w:val="24"/>
          <w:highlight w:val="none"/>
          <w:u w:val="single"/>
          <w:lang w:eastAsia="zh-CN"/>
        </w:rPr>
      </w:pPr>
      <w:r>
        <w:rPr>
          <w:rFonts w:hint="eastAsia" w:ascii="宋体" w:hAnsi="宋体" w:eastAsia="宋体" w:cs="宋体"/>
          <w:color w:val="auto"/>
          <w:sz w:val="24"/>
          <w:szCs w:val="24"/>
          <w:highlight w:val="none"/>
        </w:rPr>
        <w:t>本项目代理服务费由成交供应商支付，代理服务费为</w:t>
      </w:r>
      <w:r>
        <w:rPr>
          <w:rFonts w:hint="eastAsia" w:ascii="宋体" w:hAnsi="宋体" w:cs="宋体"/>
          <w:color w:val="auto"/>
          <w:sz w:val="24"/>
          <w:szCs w:val="24"/>
          <w:highlight w:val="none"/>
          <w:lang w:val="en-US" w:eastAsia="zh-CN"/>
        </w:rPr>
        <w:t>13000.00</w:t>
      </w:r>
      <w:r>
        <w:rPr>
          <w:rFonts w:hint="eastAsia" w:ascii="宋体" w:hAnsi="宋体" w:eastAsia="宋体" w:cs="宋体"/>
          <w:color w:val="auto"/>
          <w:sz w:val="24"/>
          <w:szCs w:val="24"/>
          <w:highlight w:val="none"/>
        </w:rPr>
        <w:t>元，另代收评审费</w:t>
      </w:r>
      <w:r>
        <w:rPr>
          <w:rFonts w:hint="eastAsia" w:ascii="宋体" w:hAnsi="宋体" w:cs="宋体"/>
          <w:color w:val="auto"/>
          <w:sz w:val="24"/>
          <w:szCs w:val="24"/>
          <w:highlight w:val="none"/>
          <w:lang w:val="en-US" w:eastAsia="zh-CN"/>
        </w:rPr>
        <w:t>5000.00</w:t>
      </w:r>
      <w:r>
        <w:rPr>
          <w:rFonts w:hint="eastAsia" w:ascii="宋体" w:hAnsi="宋体" w:eastAsia="宋体" w:cs="宋体"/>
          <w:color w:val="auto"/>
          <w:sz w:val="24"/>
          <w:szCs w:val="24"/>
          <w:highlight w:val="none"/>
        </w:rPr>
        <w:t>元。成交通知书发出前，成交人从其账户一次性汇入代理机构指定账户</w:t>
      </w:r>
      <w:r>
        <w:rPr>
          <w:rFonts w:hint="eastAsia" w:ascii="宋体" w:hAnsi="宋体"/>
          <w:color w:val="auto"/>
          <w:sz w:val="24"/>
          <w:highlight w:val="none"/>
        </w:rPr>
        <w:t>；</w:t>
      </w:r>
    </w:p>
    <w:p w14:paraId="5A079591">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b/>
          <w:bCs/>
          <w:color w:val="auto"/>
          <w:sz w:val="24"/>
        </w:rPr>
      </w:pPr>
      <w:r>
        <w:rPr>
          <w:rFonts w:hint="eastAsia" w:ascii="宋体" w:hAnsi="宋体"/>
          <w:b/>
          <w:bCs/>
          <w:color w:val="auto"/>
          <w:sz w:val="24"/>
        </w:rPr>
        <w:t>由成交供应商在领取成交通知书前一次性缴纳至本项目代理机构。</w:t>
      </w:r>
    </w:p>
    <w:p w14:paraId="0530C55B">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highlight w:val="none"/>
        </w:rPr>
      </w:pPr>
      <w:r>
        <w:rPr>
          <w:rFonts w:hint="eastAsia" w:ascii="宋体" w:hAnsi="宋体" w:cs="黑体"/>
          <w:b/>
          <w:color w:val="auto"/>
          <w:kern w:val="0"/>
          <w:sz w:val="24"/>
          <w:highlight w:val="none"/>
        </w:rPr>
        <w:t>3、</w:t>
      </w:r>
      <w:r>
        <w:rPr>
          <w:rFonts w:hint="eastAsia" w:ascii="宋体" w:hAnsi="宋体" w:cs="黑体"/>
          <w:b/>
          <w:bCs/>
          <w:color w:val="auto"/>
          <w:kern w:val="0"/>
          <w:sz w:val="24"/>
          <w:highlight w:val="none"/>
        </w:rPr>
        <w:t>履约保证金：</w:t>
      </w:r>
      <w:r>
        <w:rPr>
          <w:rFonts w:hint="eastAsia" w:ascii="宋体" w:hAnsi="宋体" w:cs="黑体"/>
          <w:b/>
          <w:color w:val="auto"/>
          <w:kern w:val="0"/>
          <w:sz w:val="24"/>
          <w:highlight w:val="none"/>
        </w:rPr>
        <w:t>本项目不收取履约保证金。</w:t>
      </w:r>
    </w:p>
    <w:p w14:paraId="56ACD8BB">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b/>
          <w:color w:val="auto"/>
          <w:sz w:val="24"/>
        </w:rPr>
      </w:pPr>
      <w:r>
        <w:rPr>
          <w:rFonts w:hint="eastAsia" w:ascii="宋体" w:hAnsi="宋体"/>
          <w:b/>
          <w:color w:val="auto"/>
          <w:sz w:val="24"/>
        </w:rPr>
        <w:t>九</w:t>
      </w:r>
      <w:r>
        <w:rPr>
          <w:rFonts w:ascii="宋体" w:hAnsi="宋体"/>
          <w:b/>
          <w:color w:val="auto"/>
          <w:sz w:val="24"/>
        </w:rPr>
        <w:t>、</w:t>
      </w:r>
      <w:r>
        <w:rPr>
          <w:rFonts w:hint="eastAsia" w:ascii="宋体" w:hAnsi="宋体"/>
          <w:b/>
          <w:color w:val="auto"/>
          <w:sz w:val="24"/>
        </w:rPr>
        <w:t>工程款支付：</w:t>
      </w:r>
    </w:p>
    <w:p w14:paraId="61D911E6">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lang w:eastAsia="zh-CN"/>
        </w:rPr>
      </w:pPr>
      <w:r>
        <w:rPr>
          <w:rFonts w:hint="eastAsia" w:ascii="宋体" w:hAnsi="宋体" w:cs="宋体"/>
          <w:b/>
          <w:color w:val="auto"/>
          <w:sz w:val="24"/>
          <w:szCs w:val="24"/>
          <w:lang w:eastAsia="zh-CN"/>
        </w:rPr>
        <w:t>本项目无预付款，工程竣工验收合格并经结算审计完成后付至审定结算价款的30%;剩余合同价款在结算审计完成后2年内付清。（工程最终结算造价以审核部门审定的造价为准）</w:t>
      </w:r>
    </w:p>
    <w:p w14:paraId="7D82561C">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cs="黑体"/>
          <w:b/>
          <w:bCs/>
          <w:color w:val="auto"/>
          <w:sz w:val="24"/>
          <w:u w:val="single"/>
        </w:rPr>
      </w:pPr>
      <w:r>
        <w:rPr>
          <w:rFonts w:hint="eastAsia" w:ascii="宋体" w:hAnsi="宋体" w:eastAsia="宋体" w:cs="宋体"/>
          <w:b/>
          <w:color w:val="auto"/>
          <w:sz w:val="24"/>
          <w:szCs w:val="24"/>
        </w:rPr>
        <w:t>为确保</w:t>
      </w:r>
      <w:r>
        <w:rPr>
          <w:rFonts w:hint="eastAsia" w:ascii="宋体" w:hAnsi="宋体" w:eastAsia="宋体" w:cs="宋体"/>
          <w:b/>
          <w:color w:val="auto"/>
          <w:sz w:val="24"/>
          <w:szCs w:val="24"/>
          <w:lang w:eastAsia="zh-CN"/>
        </w:rPr>
        <w:t>项目</w:t>
      </w:r>
      <w:r>
        <w:rPr>
          <w:rFonts w:hint="eastAsia" w:ascii="宋体" w:hAnsi="宋体" w:eastAsia="宋体" w:cs="宋体"/>
          <w:b/>
          <w:color w:val="auto"/>
          <w:sz w:val="24"/>
          <w:szCs w:val="24"/>
        </w:rPr>
        <w:t>保质保量按期完工，本项目</w:t>
      </w:r>
      <w:r>
        <w:rPr>
          <w:rFonts w:hint="eastAsia" w:ascii="宋体" w:hAnsi="宋体" w:eastAsia="宋体" w:cs="宋体"/>
          <w:b/>
          <w:color w:val="auto"/>
          <w:sz w:val="24"/>
          <w:szCs w:val="24"/>
          <w:lang w:eastAsia="zh-CN"/>
        </w:rPr>
        <w:t>项目</w:t>
      </w:r>
      <w:r>
        <w:rPr>
          <w:rFonts w:hint="eastAsia" w:ascii="宋体" w:hAnsi="宋体" w:eastAsia="宋体" w:cs="宋体"/>
          <w:b/>
          <w:color w:val="auto"/>
          <w:sz w:val="24"/>
          <w:szCs w:val="24"/>
        </w:rPr>
        <w:t>款</w:t>
      </w:r>
      <w:r>
        <w:rPr>
          <w:rFonts w:hint="eastAsia" w:ascii="宋体" w:hAnsi="宋体" w:eastAsia="宋体" w:cs="宋体"/>
          <w:b/>
          <w:color w:val="auto"/>
          <w:sz w:val="24"/>
          <w:szCs w:val="24"/>
          <w:lang w:eastAsia="zh-CN"/>
        </w:rPr>
        <w:t>成交人</w:t>
      </w:r>
      <w:r>
        <w:rPr>
          <w:rFonts w:hint="eastAsia" w:ascii="宋体" w:hAnsi="宋体" w:eastAsia="宋体" w:cs="宋体"/>
          <w:b/>
          <w:color w:val="auto"/>
          <w:sz w:val="24"/>
          <w:szCs w:val="24"/>
        </w:rPr>
        <w:t>必须专款专用，如发现</w:t>
      </w:r>
      <w:r>
        <w:rPr>
          <w:rFonts w:hint="eastAsia" w:ascii="宋体" w:hAnsi="宋体" w:eastAsia="宋体" w:cs="宋体"/>
          <w:b/>
          <w:color w:val="auto"/>
          <w:sz w:val="24"/>
          <w:szCs w:val="24"/>
          <w:lang w:eastAsia="zh-CN"/>
        </w:rPr>
        <w:t>成交人</w:t>
      </w:r>
      <w:r>
        <w:rPr>
          <w:rFonts w:hint="eastAsia" w:ascii="宋体" w:hAnsi="宋体" w:eastAsia="宋体" w:cs="宋体"/>
          <w:b/>
          <w:color w:val="auto"/>
          <w:sz w:val="24"/>
          <w:szCs w:val="24"/>
        </w:rPr>
        <w:t>挪用</w:t>
      </w:r>
      <w:r>
        <w:rPr>
          <w:rFonts w:hint="eastAsia" w:ascii="宋体" w:hAnsi="宋体" w:eastAsia="宋体" w:cs="宋体"/>
          <w:b/>
          <w:color w:val="auto"/>
          <w:sz w:val="24"/>
          <w:szCs w:val="24"/>
          <w:lang w:eastAsia="zh-CN"/>
        </w:rPr>
        <w:t>项目</w:t>
      </w:r>
      <w:r>
        <w:rPr>
          <w:rFonts w:hint="eastAsia" w:ascii="宋体" w:hAnsi="宋体" w:eastAsia="宋体" w:cs="宋体"/>
          <w:b/>
          <w:color w:val="auto"/>
          <w:sz w:val="24"/>
          <w:szCs w:val="24"/>
        </w:rPr>
        <w:t>款现象，由此造成的一切损失均有</w:t>
      </w:r>
      <w:r>
        <w:rPr>
          <w:rFonts w:hint="eastAsia" w:ascii="宋体" w:hAnsi="宋体" w:eastAsia="宋体" w:cs="宋体"/>
          <w:b/>
          <w:color w:val="auto"/>
          <w:sz w:val="24"/>
          <w:szCs w:val="24"/>
          <w:lang w:eastAsia="zh-CN"/>
        </w:rPr>
        <w:t>成交人</w:t>
      </w:r>
      <w:r>
        <w:rPr>
          <w:rFonts w:hint="eastAsia" w:ascii="宋体" w:hAnsi="宋体" w:eastAsia="宋体" w:cs="宋体"/>
          <w:b/>
          <w:color w:val="auto"/>
          <w:sz w:val="24"/>
          <w:szCs w:val="24"/>
        </w:rPr>
        <w:t xml:space="preserve">承担。 </w:t>
      </w:r>
    </w:p>
    <w:p w14:paraId="392BCD15">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2" w:firstLineChars="200"/>
        <w:jc w:val="left"/>
        <w:textAlignment w:val="auto"/>
        <w:rPr>
          <w:rFonts w:ascii="宋体" w:hAnsi="宋体" w:cs="黑体"/>
          <w:b/>
          <w:color w:val="auto"/>
          <w:kern w:val="0"/>
          <w:sz w:val="24"/>
        </w:rPr>
      </w:pPr>
      <w:r>
        <w:rPr>
          <w:rFonts w:hint="eastAsia" w:ascii="宋体" w:hAnsi="宋体"/>
          <w:b/>
          <w:color w:val="auto"/>
          <w:sz w:val="24"/>
        </w:rPr>
        <w:t>十、磋商</w:t>
      </w:r>
      <w:r>
        <w:rPr>
          <w:rFonts w:ascii="宋体" w:hAnsi="宋体"/>
          <w:b/>
          <w:color w:val="auto"/>
          <w:sz w:val="24"/>
        </w:rPr>
        <w:t>保证金</w:t>
      </w:r>
      <w:r>
        <w:rPr>
          <w:rFonts w:hint="eastAsia" w:ascii="宋体" w:hAnsi="宋体"/>
          <w:b/>
          <w:color w:val="auto"/>
          <w:sz w:val="24"/>
        </w:rPr>
        <w:t>：</w:t>
      </w:r>
      <w:r>
        <w:rPr>
          <w:rFonts w:hint="eastAsia" w:ascii="宋体" w:hAnsi="宋体" w:cs="黑体"/>
          <w:b/>
          <w:color w:val="auto"/>
          <w:kern w:val="0"/>
          <w:sz w:val="24"/>
        </w:rPr>
        <w:t>根据《山东省财政厅关于取消政府采购投标保证金等有关事项的通知》（鲁财采[2019]40号）文规定，本项目不收取磋商保证金。</w:t>
      </w:r>
    </w:p>
    <w:p w14:paraId="07223E74">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ascii="宋体" w:hAnsi="宋体"/>
          <w:b/>
          <w:color w:val="auto"/>
          <w:sz w:val="24"/>
        </w:rPr>
      </w:pPr>
      <w:r>
        <w:rPr>
          <w:rFonts w:hint="eastAsia" w:ascii="宋体" w:hAnsi="宋体"/>
          <w:b/>
          <w:color w:val="auto"/>
          <w:sz w:val="24"/>
        </w:rPr>
        <w:t>十一</w:t>
      </w:r>
      <w:r>
        <w:rPr>
          <w:rFonts w:ascii="宋体" w:hAnsi="宋体"/>
          <w:b/>
          <w:color w:val="auto"/>
          <w:sz w:val="24"/>
        </w:rPr>
        <w:t>、无效</w:t>
      </w:r>
      <w:r>
        <w:rPr>
          <w:rFonts w:hint="eastAsia" w:ascii="宋体" w:hAnsi="宋体"/>
          <w:b/>
          <w:color w:val="auto"/>
          <w:sz w:val="24"/>
        </w:rPr>
        <w:t>磋商</w:t>
      </w:r>
      <w:r>
        <w:rPr>
          <w:rFonts w:ascii="宋体" w:hAnsi="宋体"/>
          <w:b/>
          <w:color w:val="auto"/>
          <w:sz w:val="24"/>
        </w:rPr>
        <w:t>响应文件</w:t>
      </w:r>
      <w:r>
        <w:rPr>
          <w:rFonts w:hint="eastAsia" w:ascii="宋体" w:hAnsi="宋体"/>
          <w:b/>
          <w:color w:val="auto"/>
          <w:sz w:val="24"/>
        </w:rPr>
        <w:t>：</w:t>
      </w:r>
    </w:p>
    <w:p w14:paraId="011CA9F5">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rPr>
      </w:pPr>
      <w:r>
        <w:rPr>
          <w:rFonts w:hint="eastAsia" w:ascii="宋体" w:hAnsi="宋体"/>
          <w:color w:val="auto"/>
          <w:sz w:val="24"/>
        </w:rPr>
        <w:t>凡具有下列情形之一的，作无效</w:t>
      </w:r>
      <w:r>
        <w:rPr>
          <w:rFonts w:hint="eastAsia" w:ascii="宋体" w:hAnsi="宋体" w:cs="Courier New"/>
          <w:color w:val="auto"/>
          <w:sz w:val="24"/>
        </w:rPr>
        <w:t>磋商</w:t>
      </w:r>
      <w:r>
        <w:rPr>
          <w:rFonts w:hint="eastAsia" w:ascii="宋体" w:hAnsi="宋体"/>
          <w:color w:val="auto"/>
          <w:sz w:val="24"/>
        </w:rPr>
        <w:t>响应文件：</w:t>
      </w:r>
    </w:p>
    <w:p w14:paraId="5C6312A0">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1、资格证明文件不全或无效的,或者不符合采购文件标明的资格要求的；</w:t>
      </w:r>
    </w:p>
    <w:p w14:paraId="41E7D606">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、提供的有关资格、资质证明文件不真实,提供虚假报价材料的；</w:t>
      </w:r>
    </w:p>
    <w:p w14:paraId="4B4F7409">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3</w:t>
      </w:r>
      <w:r>
        <w:rPr>
          <w:rFonts w:hint="eastAsia" w:ascii="宋体" w:hAnsi="宋体" w:cs="宋体"/>
          <w:color w:val="auto"/>
          <w:sz w:val="24"/>
        </w:rPr>
        <w:t>、供应商未按磋商文件格式规定盖章、签字的；</w:t>
      </w:r>
    </w:p>
    <w:p w14:paraId="487CC662">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4</w:t>
      </w:r>
      <w:r>
        <w:rPr>
          <w:rFonts w:hint="eastAsia" w:ascii="宋体" w:hAnsi="宋体" w:cs="宋体"/>
          <w:color w:val="auto"/>
          <w:sz w:val="24"/>
        </w:rPr>
        <w:t>、工期、质量等不满足磋商文件要求的；</w:t>
      </w:r>
    </w:p>
    <w:p w14:paraId="70F44049">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、磋商响应方的初次报价或最终报价超过采购预算的,或者最终报价超出初次报价的；</w:t>
      </w:r>
    </w:p>
    <w:p w14:paraId="27DD0533">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6</w:t>
      </w:r>
      <w:r>
        <w:rPr>
          <w:rFonts w:hint="eastAsia" w:ascii="宋体" w:hAnsi="宋体" w:cs="宋体"/>
          <w:color w:val="auto"/>
          <w:sz w:val="24"/>
        </w:rPr>
        <w:t>、不响应或者擅自改变采购文件要求或者响应文件有采购人不能接受的附加条件的；</w:t>
      </w:r>
    </w:p>
    <w:p w14:paraId="07DBE333">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7</w:t>
      </w:r>
      <w:r>
        <w:rPr>
          <w:rFonts w:hint="eastAsia" w:ascii="宋体" w:hAnsi="宋体" w:cs="宋体"/>
          <w:color w:val="auto"/>
          <w:sz w:val="24"/>
        </w:rPr>
        <w:t>、磋商响应方串通报价的；</w:t>
      </w:r>
    </w:p>
    <w:p w14:paraId="736EBD12">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、磋商响应方向采购人、采购代理机构、评审专家提供不正当利益的；</w:t>
      </w:r>
    </w:p>
    <w:p w14:paraId="08E04F1E">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lang w:val="en-US" w:eastAsia="zh-CN"/>
        </w:rPr>
        <w:t>9</w:t>
      </w:r>
      <w:r>
        <w:rPr>
          <w:rFonts w:hint="eastAsia" w:ascii="宋体" w:hAnsi="宋体" w:cs="宋体"/>
          <w:color w:val="auto"/>
          <w:sz w:val="24"/>
        </w:rPr>
        <w:t>、不同磋商响应方的响应文件由同一单位或者个人编制的；</w:t>
      </w:r>
    </w:p>
    <w:p w14:paraId="155177C1">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0</w:t>
      </w:r>
      <w:r>
        <w:rPr>
          <w:rFonts w:hint="eastAsia" w:ascii="宋体" w:hAnsi="宋体" w:cs="宋体"/>
          <w:color w:val="auto"/>
          <w:sz w:val="24"/>
        </w:rPr>
        <w:t>、不同磋商响应方委托同一单位或者个人办理磋商事宜；</w:t>
      </w:r>
    </w:p>
    <w:p w14:paraId="7AAD2957">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1</w:t>
      </w:r>
      <w:r>
        <w:rPr>
          <w:rFonts w:hint="eastAsia" w:ascii="宋体" w:hAnsi="宋体" w:cs="宋体"/>
          <w:color w:val="auto"/>
          <w:sz w:val="24"/>
        </w:rPr>
        <w:t>、不同响应供应商的</w:t>
      </w:r>
      <w:r>
        <w:rPr>
          <w:rFonts w:hint="eastAsia" w:ascii="宋体" w:hAnsi="宋体" w:cs="宋体"/>
          <w:color w:val="auto"/>
          <w:sz w:val="24"/>
          <w:lang w:eastAsia="zh-CN"/>
        </w:rPr>
        <w:t>响应</w:t>
      </w:r>
      <w:r>
        <w:rPr>
          <w:rFonts w:hint="eastAsia" w:ascii="宋体" w:hAnsi="宋体" w:cs="宋体"/>
          <w:color w:val="auto"/>
          <w:sz w:val="24"/>
        </w:rPr>
        <w:t>文件载明的项目管理成员为同一人；</w:t>
      </w:r>
    </w:p>
    <w:p w14:paraId="7C199A3B">
      <w:pPr>
        <w:widowControl/>
        <w:shd w:val="clear" w:color="auto" w:fill="FFFFFF"/>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2</w:t>
      </w:r>
      <w:r>
        <w:rPr>
          <w:rFonts w:hint="eastAsia" w:ascii="宋体" w:hAnsi="宋体" w:cs="宋体"/>
          <w:color w:val="auto"/>
          <w:sz w:val="24"/>
        </w:rPr>
        <w:t>、法律、法规规定的其他情况。</w:t>
      </w:r>
    </w:p>
    <w:p w14:paraId="3209E146">
      <w:pPr>
        <w:tabs>
          <w:tab w:val="left" w:pos="315"/>
        </w:tabs>
        <w:spacing w:line="540" w:lineRule="exact"/>
        <w:ind w:firstLine="482" w:firstLineChars="200"/>
        <w:rPr>
          <w:rFonts w:hint="eastAsia" w:ascii="宋体" w:hAnsi="宋体"/>
          <w:b/>
          <w:color w:val="auto"/>
          <w:sz w:val="24"/>
        </w:rPr>
      </w:pPr>
      <w:r>
        <w:rPr>
          <w:rFonts w:hint="eastAsia" w:ascii="宋体" w:hAnsi="宋体"/>
          <w:b/>
          <w:color w:val="auto"/>
          <w:sz w:val="24"/>
        </w:rPr>
        <w:t>十二、农民工工资保证金</w:t>
      </w:r>
    </w:p>
    <w:p w14:paraId="4396485F">
      <w:pPr>
        <w:tabs>
          <w:tab w:val="left" w:pos="315"/>
        </w:tabs>
        <w:spacing w:line="540" w:lineRule="exact"/>
        <w:ind w:firstLine="482" w:firstLineChars="200"/>
        <w:rPr>
          <w:rFonts w:hint="eastAsia" w:ascii="宋体" w:hAnsi="宋体"/>
          <w:b/>
          <w:color w:val="auto"/>
          <w:sz w:val="24"/>
        </w:rPr>
      </w:pPr>
      <w:r>
        <w:rPr>
          <w:rFonts w:hint="eastAsia" w:ascii="宋体" w:hAnsi="宋体"/>
          <w:b/>
          <w:color w:val="auto"/>
          <w:sz w:val="24"/>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0DF993D1">
      <w:pPr>
        <w:tabs>
          <w:tab w:val="left" w:pos="315"/>
        </w:tabs>
        <w:spacing w:line="540" w:lineRule="exact"/>
        <w:ind w:firstLine="482" w:firstLineChars="200"/>
        <w:rPr>
          <w:rFonts w:hint="eastAsia" w:ascii="宋体" w:hAnsi="宋体"/>
          <w:b/>
          <w:color w:val="auto"/>
          <w:sz w:val="24"/>
        </w:rPr>
      </w:pPr>
      <w:r>
        <w:rPr>
          <w:rFonts w:hint="eastAsia" w:ascii="宋体" w:hAnsi="宋体"/>
          <w:b/>
          <w:color w:val="auto"/>
          <w:sz w:val="24"/>
        </w:rPr>
        <w:t>农民工工资保证金：成交价款的3%，农民工工资保证金应由成交单位在接到采购人或代理机构成交通知之日起7日内或施工合同签订前，从其基本账户采用电汇或网上银行转账的方式缴纳至采购人指定账户，否则视为无效，未按采购人要求缴纳的，采购人有权取消其成交资格。</w:t>
      </w:r>
    </w:p>
    <w:p w14:paraId="52E5A6AD">
      <w:pPr>
        <w:tabs>
          <w:tab w:val="left" w:pos="315"/>
        </w:tabs>
        <w:spacing w:line="540" w:lineRule="exact"/>
        <w:ind w:firstLine="482" w:firstLineChars="200"/>
        <w:rPr>
          <w:rFonts w:hint="eastAsia" w:ascii="宋体" w:hAnsi="宋体"/>
          <w:b/>
          <w:color w:val="auto"/>
          <w:sz w:val="24"/>
        </w:rPr>
      </w:pPr>
      <w:r>
        <w:rPr>
          <w:rFonts w:hint="eastAsia" w:ascii="宋体" w:hAnsi="宋体"/>
          <w:b/>
          <w:color w:val="auto"/>
          <w:sz w:val="24"/>
        </w:rPr>
        <w:t>成交供应商需按月按时发放农民工工资，不得拖欠，如有拖欠情况，采购人有权从保证金中列支支付农民工工资，成交单位不得提出任何异议，列支出的保证金，成交单位应在3个工作日内补齐缴纳至采购人，否则采购人有权终止合同，成交单位无条件服从，并承担违约责任。</w:t>
      </w:r>
    </w:p>
    <w:p w14:paraId="6D9EDDCE">
      <w:pPr>
        <w:tabs>
          <w:tab w:val="left" w:pos="315"/>
        </w:tabs>
        <w:spacing w:line="540" w:lineRule="exact"/>
        <w:ind w:firstLine="482" w:firstLineChars="200"/>
        <w:rPr>
          <w:rFonts w:ascii="宋体" w:hAnsi="宋体"/>
          <w:b/>
          <w:color w:val="auto"/>
          <w:sz w:val="24"/>
        </w:rPr>
      </w:pPr>
      <w:r>
        <w:rPr>
          <w:rFonts w:hint="eastAsia" w:ascii="宋体" w:hAnsi="宋体"/>
          <w:b/>
          <w:color w:val="auto"/>
          <w:sz w:val="24"/>
          <w:lang w:eastAsia="zh-CN"/>
        </w:rPr>
        <w:t>十三、</w:t>
      </w:r>
      <w:r>
        <w:rPr>
          <w:rFonts w:hint="eastAsia" w:ascii="宋体" w:hAnsi="宋体"/>
          <w:b/>
          <w:color w:val="auto"/>
          <w:sz w:val="24"/>
        </w:rPr>
        <w:t>建设工地扬尘污染防治</w:t>
      </w:r>
    </w:p>
    <w:p w14:paraId="7E4B7554">
      <w:pPr>
        <w:tabs>
          <w:tab w:val="left" w:pos="315"/>
        </w:tabs>
        <w:spacing w:line="540" w:lineRule="exact"/>
        <w:ind w:firstLine="482" w:firstLineChars="200"/>
        <w:rPr>
          <w:rFonts w:hint="eastAsia" w:ascii="宋体" w:hAnsi="宋体" w:cs="Times New Roman"/>
          <w:b/>
          <w:color w:val="auto"/>
          <w:sz w:val="24"/>
          <w:highlight w:val="none"/>
        </w:rPr>
      </w:pPr>
      <w:r>
        <w:rPr>
          <w:rFonts w:hint="eastAsia" w:ascii="宋体" w:hAnsi="宋体" w:cs="Times New Roman"/>
          <w:b/>
          <w:color w:val="auto"/>
          <w:sz w:val="24"/>
          <w:highlight w:val="none"/>
        </w:rPr>
        <w:t>执行《济宁市建筑工地扬尘治理工作导则》（ 二〇二〇年十一月济宁市住房和城乡建筑局发布）。</w:t>
      </w:r>
    </w:p>
    <w:p w14:paraId="3BFBB5C8">
      <w:pPr>
        <w:tabs>
          <w:tab w:val="left" w:pos="315"/>
        </w:tabs>
        <w:spacing w:line="540" w:lineRule="exact"/>
        <w:ind w:firstLine="482" w:firstLineChars="200"/>
        <w:rPr>
          <w:rFonts w:ascii="宋体" w:hAnsi="宋体"/>
          <w:b/>
          <w:color w:val="auto"/>
          <w:sz w:val="24"/>
          <w:highlight w:val="none"/>
        </w:rPr>
      </w:pPr>
      <w:r>
        <w:rPr>
          <w:rFonts w:hint="eastAsia" w:ascii="宋体" w:hAnsi="宋体"/>
          <w:b/>
          <w:color w:val="auto"/>
          <w:sz w:val="24"/>
          <w:highlight w:val="none"/>
        </w:rPr>
        <w:t>十</w:t>
      </w:r>
      <w:r>
        <w:rPr>
          <w:rFonts w:hint="eastAsia" w:ascii="宋体" w:hAnsi="宋体"/>
          <w:b/>
          <w:color w:val="auto"/>
          <w:sz w:val="24"/>
          <w:highlight w:val="none"/>
          <w:lang w:eastAsia="zh-CN"/>
        </w:rPr>
        <w:t>四</w:t>
      </w:r>
      <w:r>
        <w:rPr>
          <w:rFonts w:hint="eastAsia" w:ascii="宋体" w:hAnsi="宋体"/>
          <w:b/>
          <w:color w:val="auto"/>
          <w:sz w:val="24"/>
          <w:highlight w:val="none"/>
        </w:rPr>
        <w:t>、严禁在施工现场搅拌砂浆、混凝土的通知</w:t>
      </w:r>
    </w:p>
    <w:p w14:paraId="5E156618">
      <w:pPr>
        <w:tabs>
          <w:tab w:val="left" w:pos="315"/>
        </w:tabs>
        <w:spacing w:line="540" w:lineRule="exact"/>
        <w:ind w:firstLine="482" w:firstLineChars="200"/>
        <w:rPr>
          <w:rFonts w:ascii="宋体" w:hAnsi="宋体"/>
          <w:b/>
          <w:color w:val="auto"/>
          <w:sz w:val="24"/>
          <w:highlight w:val="none"/>
        </w:rPr>
      </w:pPr>
      <w:r>
        <w:rPr>
          <w:rFonts w:hint="eastAsia" w:ascii="宋体" w:hAnsi="宋体"/>
          <w:b/>
          <w:color w:val="auto"/>
          <w:sz w:val="24"/>
          <w:highlight w:val="none"/>
        </w:rPr>
        <w:t xml:space="preserve">根据济建行发字【2016】7号文规定，自2016年10月1日起，全市范围内新建及主体未验收的建筑工程，禁止施工现场搅拌砂浆，必须使用预拌砂浆。建设工程项目因特殊原因不能使用预拌砂浆，确需现场搅拌砂浆的，应报所在县、市、区建设主管部门的同意。 </w:t>
      </w:r>
    </w:p>
    <w:p w14:paraId="4A60C659">
      <w:pPr>
        <w:tabs>
          <w:tab w:val="left" w:pos="315"/>
        </w:tabs>
        <w:spacing w:line="540" w:lineRule="exact"/>
        <w:ind w:firstLine="482" w:firstLineChars="200"/>
        <w:rPr>
          <w:rFonts w:ascii="宋体" w:hAnsi="宋体"/>
          <w:b/>
          <w:color w:val="auto"/>
          <w:sz w:val="24"/>
          <w:highlight w:val="none"/>
        </w:rPr>
      </w:pPr>
      <w:r>
        <w:rPr>
          <w:rFonts w:hint="eastAsia" w:ascii="宋体" w:hAnsi="宋体"/>
          <w:b/>
          <w:color w:val="auto"/>
          <w:sz w:val="24"/>
          <w:highlight w:val="none"/>
        </w:rPr>
        <w:t>根据济建【2007】103号及邹建字【2007】35号规定城市区内禁止现场搅拌混凝土，使用商品混凝土，本项目供应商报价时应按商品混凝土进行报价。</w:t>
      </w:r>
    </w:p>
    <w:p w14:paraId="7D6B2DB3">
      <w:pPr>
        <w:tabs>
          <w:tab w:val="left" w:pos="315"/>
        </w:tabs>
        <w:spacing w:line="540" w:lineRule="exact"/>
        <w:ind w:firstLine="482" w:firstLineChars="200"/>
        <w:rPr>
          <w:rFonts w:ascii="宋体" w:hAnsi="宋体"/>
          <w:b/>
          <w:color w:val="auto"/>
          <w:sz w:val="24"/>
        </w:rPr>
      </w:pPr>
      <w:r>
        <w:rPr>
          <w:rFonts w:hint="eastAsia" w:ascii="宋体" w:hAnsi="宋体"/>
          <w:b/>
          <w:color w:val="auto"/>
          <w:sz w:val="24"/>
        </w:rPr>
        <w:t>十</w:t>
      </w:r>
      <w:r>
        <w:rPr>
          <w:rFonts w:hint="eastAsia" w:ascii="宋体" w:hAnsi="宋体"/>
          <w:b/>
          <w:color w:val="auto"/>
          <w:sz w:val="24"/>
          <w:lang w:eastAsia="zh-CN"/>
        </w:rPr>
        <w:t>五</w:t>
      </w:r>
      <w:r>
        <w:rPr>
          <w:rFonts w:hint="eastAsia" w:ascii="宋体" w:hAnsi="宋体"/>
          <w:b/>
          <w:color w:val="auto"/>
          <w:sz w:val="24"/>
        </w:rPr>
        <w:t>、质疑和投诉：</w:t>
      </w:r>
    </w:p>
    <w:p w14:paraId="5B1EF807">
      <w:pPr>
        <w:widowControl/>
        <w:shd w:val="clear" w:color="auto" w:fill="FFFFFF"/>
        <w:spacing w:line="540" w:lineRule="exact"/>
        <w:ind w:firstLine="482"/>
        <w:jc w:val="left"/>
        <w:rPr>
          <w:rFonts w:ascii="宋体" w:hAnsi="宋体" w:cs="黑体"/>
          <w:color w:val="auto"/>
          <w:kern w:val="0"/>
          <w:sz w:val="24"/>
        </w:rPr>
      </w:pPr>
      <w:r>
        <w:rPr>
          <w:rFonts w:hint="eastAsia" w:ascii="宋体" w:hAnsi="宋体" w:cs="黑体"/>
          <w:color w:val="auto"/>
          <w:kern w:val="0"/>
          <w:sz w:val="24"/>
        </w:rPr>
        <w:t>质疑：参加磋商的供应商认为采购文件、采购过程和成交结果使自己的合法权益受到损害的，有权依法向采购人或采购代理机构提出质疑。</w:t>
      </w:r>
    </w:p>
    <w:p w14:paraId="605F0643">
      <w:pPr>
        <w:spacing w:line="540" w:lineRule="exact"/>
        <w:ind w:firstLine="482"/>
        <w:rPr>
          <w:rFonts w:ascii="宋体" w:hAnsi="宋体" w:cs="黑体"/>
          <w:color w:val="auto"/>
          <w:kern w:val="0"/>
          <w:sz w:val="24"/>
        </w:rPr>
      </w:pPr>
      <w:r>
        <w:rPr>
          <w:rFonts w:hint="eastAsia" w:ascii="宋体" w:hAnsi="宋体" w:cs="黑体"/>
          <w:color w:val="auto"/>
          <w:kern w:val="0"/>
          <w:sz w:val="24"/>
        </w:rPr>
        <w:t>投诉：参加磋商的供应商对采购人的质疑答复不满意，或者采购人未在规定期限内作出答复的，供应商可以在答复期满后可以向相关行政主管部门投诉。</w:t>
      </w:r>
    </w:p>
    <w:p w14:paraId="6BEB5B17">
      <w:pPr>
        <w:spacing w:line="540" w:lineRule="exact"/>
        <w:ind w:firstLine="482"/>
        <w:rPr>
          <w:rFonts w:ascii="宋体" w:hAnsi="宋体" w:cs="黑体"/>
          <w:color w:val="auto"/>
          <w:kern w:val="0"/>
          <w:sz w:val="24"/>
        </w:rPr>
      </w:pPr>
    </w:p>
    <w:p w14:paraId="4FFF21B9">
      <w:pPr>
        <w:spacing w:line="360" w:lineRule="auto"/>
        <w:jc w:val="center"/>
        <w:outlineLvl w:val="0"/>
        <w:rPr>
          <w:rFonts w:ascii="宋体" w:hAnsi="宋体"/>
          <w:b/>
          <w:color w:val="auto"/>
          <w:sz w:val="32"/>
          <w:szCs w:val="32"/>
        </w:rPr>
      </w:pPr>
      <w:r>
        <w:rPr>
          <w:rFonts w:ascii="宋体" w:hAnsi="宋体"/>
          <w:b/>
          <w:color w:val="auto"/>
          <w:sz w:val="32"/>
          <w:szCs w:val="32"/>
        </w:rPr>
        <w:br w:type="page"/>
      </w:r>
      <w:bookmarkStart w:id="10" w:name="_Toc5023"/>
      <w:bookmarkStart w:id="11" w:name="_Toc20347"/>
      <w:bookmarkStart w:id="12" w:name="_Toc11977"/>
      <w:r>
        <w:rPr>
          <w:rStyle w:val="55"/>
          <w:rFonts w:hint="eastAsia" w:ascii="宋体" w:hAnsi="宋体" w:eastAsia="宋体" w:cs="宋体"/>
          <w:color w:val="auto"/>
          <w:sz w:val="24"/>
          <w:szCs w:val="24"/>
          <w:lang w:val="en-US" w:eastAsia="zh-CN"/>
        </w:rPr>
        <w:t>第三部分  磋商组织、步骤与评审方法</w:t>
      </w:r>
      <w:bookmarkEnd w:id="10"/>
      <w:bookmarkEnd w:id="11"/>
      <w:bookmarkEnd w:id="12"/>
    </w:p>
    <w:p w14:paraId="26D70EE4">
      <w:pPr>
        <w:spacing w:line="360" w:lineRule="auto"/>
        <w:rPr>
          <w:rFonts w:ascii="宋体" w:hAnsi="宋体"/>
          <w:b/>
          <w:color w:val="auto"/>
          <w:sz w:val="24"/>
        </w:rPr>
      </w:pPr>
      <w:r>
        <w:rPr>
          <w:rFonts w:hint="eastAsia" w:ascii="宋体" w:hAnsi="宋体"/>
          <w:b/>
          <w:color w:val="auto"/>
          <w:sz w:val="24"/>
        </w:rPr>
        <w:t>一、磋商组织：</w:t>
      </w:r>
    </w:p>
    <w:p w14:paraId="7AD358EE">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1、采购人在磋商文件规定的时间和地点组织磋商，磋商响应方须派代表参加；</w:t>
      </w:r>
    </w:p>
    <w:p w14:paraId="3F688824">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2、磋商小组由三人（含）以上单数的人员组成，其中专家的人数不少于成员总数的三分之二，磋商小组对磋商响应文件进行审查、质疑、评估和比较。</w:t>
      </w:r>
    </w:p>
    <w:p w14:paraId="388C97EC">
      <w:pPr>
        <w:spacing w:line="360" w:lineRule="auto"/>
        <w:rPr>
          <w:rFonts w:ascii="宋体" w:hAnsi="宋体"/>
          <w:b/>
          <w:color w:val="auto"/>
          <w:sz w:val="24"/>
        </w:rPr>
      </w:pPr>
      <w:r>
        <w:rPr>
          <w:rFonts w:hint="eastAsia" w:ascii="宋体" w:hAnsi="宋体"/>
          <w:b/>
          <w:color w:val="auto"/>
          <w:sz w:val="24"/>
        </w:rPr>
        <w:t>二、磋商步骤：</w:t>
      </w:r>
    </w:p>
    <w:p w14:paraId="682B329D">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1、检查磋商响应文件密封情况：各磋商响应方对自己递交的磋商响应文件密封情况进行检查；</w:t>
      </w:r>
    </w:p>
    <w:p w14:paraId="46056BD9">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2、磋商响应文件初步审核：磋商小组对磋商响应文件进行符合性审核；</w:t>
      </w:r>
    </w:p>
    <w:p w14:paraId="05EB56AE">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3、磋商小组所有成员集中根据磋商需要与单一供应商分别磋商；</w:t>
      </w:r>
    </w:p>
    <w:p w14:paraId="069E7B9A">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4、磋商结束后，所有实质性响应的供应商进行最终报价；</w:t>
      </w:r>
    </w:p>
    <w:p w14:paraId="1434E389">
      <w:pPr>
        <w:tabs>
          <w:tab w:val="left" w:pos="0"/>
          <w:tab w:val="left" w:pos="885"/>
          <w:tab w:val="left" w:pos="990"/>
        </w:tabs>
        <w:spacing w:line="360" w:lineRule="auto"/>
        <w:ind w:firstLine="566" w:firstLineChars="236"/>
        <w:rPr>
          <w:rFonts w:ascii="宋体" w:hAnsi="宋体"/>
          <w:color w:val="auto"/>
          <w:sz w:val="24"/>
        </w:rPr>
      </w:pPr>
      <w:r>
        <w:rPr>
          <w:rFonts w:hint="eastAsia" w:ascii="宋体" w:hAnsi="宋体"/>
          <w:color w:val="auto"/>
          <w:sz w:val="24"/>
        </w:rPr>
        <w:t>5、磋商小组按照如下评审办法对最终报价后所有实质性响应的供应商进行评审，推荐3名成交候选供应商。</w:t>
      </w:r>
    </w:p>
    <w:p w14:paraId="32530C8A">
      <w:pPr>
        <w:spacing w:line="360" w:lineRule="auto"/>
        <w:rPr>
          <w:rFonts w:ascii="宋体" w:hAnsi="宋体"/>
          <w:b/>
          <w:color w:val="auto"/>
          <w:sz w:val="24"/>
        </w:rPr>
      </w:pPr>
      <w:r>
        <w:rPr>
          <w:rFonts w:hint="eastAsia" w:ascii="宋体" w:hAnsi="宋体"/>
          <w:b/>
          <w:color w:val="auto"/>
          <w:sz w:val="24"/>
        </w:rPr>
        <w:t>三、</w:t>
      </w:r>
      <w:r>
        <w:rPr>
          <w:rFonts w:ascii="宋体" w:hAnsi="宋体"/>
          <w:b/>
          <w:color w:val="auto"/>
          <w:sz w:val="24"/>
        </w:rPr>
        <w:t>评审</w:t>
      </w:r>
      <w:r>
        <w:rPr>
          <w:rFonts w:hint="eastAsia" w:ascii="宋体" w:hAnsi="宋体"/>
          <w:b/>
          <w:color w:val="auto"/>
          <w:sz w:val="24"/>
        </w:rPr>
        <w:t>方法：</w:t>
      </w:r>
    </w:p>
    <w:p w14:paraId="4BA3755B">
      <w:pPr>
        <w:tabs>
          <w:tab w:val="left" w:pos="0"/>
          <w:tab w:val="left" w:pos="885"/>
          <w:tab w:val="left" w:pos="990"/>
        </w:tabs>
        <w:spacing w:line="360" w:lineRule="auto"/>
        <w:ind w:firstLine="566" w:firstLineChars="236"/>
        <w:rPr>
          <w:rFonts w:hint="eastAsia" w:ascii="宋体" w:hAnsi="宋体"/>
          <w:color w:val="auto"/>
          <w:sz w:val="24"/>
        </w:rPr>
      </w:pPr>
      <w:r>
        <w:rPr>
          <w:rFonts w:hint="eastAsia" w:ascii="宋体" w:hAnsi="宋体"/>
          <w:color w:val="auto"/>
          <w:sz w:val="24"/>
        </w:rPr>
        <w:t>本项目采用综合评分法，是指响应文件满足磋商文件全部实质性要求且按评审因素的量化指标评审得分，按照评审得分由高到低顺序推荐成交候选供应商的评审方法。</w:t>
      </w:r>
    </w:p>
    <w:tbl>
      <w:tblPr>
        <w:tblStyle w:val="39"/>
        <w:tblW w:w="963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7"/>
        <w:gridCol w:w="12"/>
        <w:gridCol w:w="2538"/>
        <w:gridCol w:w="737"/>
        <w:gridCol w:w="5846"/>
      </w:tblGrid>
      <w:tr w14:paraId="2964CA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1" w:hRule="atLeast"/>
          <w:jc w:val="center"/>
        </w:trPr>
        <w:tc>
          <w:tcPr>
            <w:tcW w:w="3047" w:type="dxa"/>
            <w:gridSpan w:val="3"/>
            <w:tcBorders>
              <w:top w:val="single" w:color="auto" w:sz="4" w:space="0"/>
              <w:bottom w:val="single" w:color="auto" w:sz="4" w:space="0"/>
              <w:right w:val="single" w:color="auto" w:sz="4" w:space="0"/>
            </w:tcBorders>
            <w:vAlign w:val="center"/>
          </w:tcPr>
          <w:p w14:paraId="163DDED5">
            <w:pPr>
              <w:adjustRightInd w:val="0"/>
              <w:snapToGrid w:val="0"/>
              <w:spacing w:line="360" w:lineRule="auto"/>
              <w:jc w:val="center"/>
              <w:rPr>
                <w:rFonts w:hint="eastAsia" w:ascii="宋体" w:hAnsi="宋体" w:cs="宋体"/>
                <w:b/>
                <w:color w:val="auto"/>
                <w:sz w:val="24"/>
                <w:szCs w:val="24"/>
              </w:rPr>
            </w:pPr>
            <w:r>
              <w:rPr>
                <w:rFonts w:hint="eastAsia" w:ascii="宋体" w:hAnsi="宋体" w:cs="宋体"/>
                <w:b/>
                <w:color w:val="auto"/>
                <w:sz w:val="24"/>
                <w:szCs w:val="24"/>
              </w:rPr>
              <w:t>条款号</w:t>
            </w:r>
          </w:p>
        </w:tc>
        <w:tc>
          <w:tcPr>
            <w:tcW w:w="737" w:type="dxa"/>
            <w:tcBorders>
              <w:top w:val="single" w:color="auto" w:sz="4" w:space="0"/>
              <w:left w:val="single" w:color="auto" w:sz="4" w:space="0"/>
              <w:bottom w:val="single" w:color="auto" w:sz="4" w:space="0"/>
              <w:right w:val="single" w:color="auto" w:sz="4" w:space="0"/>
            </w:tcBorders>
            <w:vAlign w:val="center"/>
          </w:tcPr>
          <w:p w14:paraId="212D8899">
            <w:pPr>
              <w:spacing w:line="360" w:lineRule="auto"/>
              <w:jc w:val="center"/>
              <w:rPr>
                <w:rFonts w:ascii="宋体" w:hAnsi="宋体" w:cs="宋体"/>
                <w:b/>
                <w:color w:val="auto"/>
                <w:sz w:val="24"/>
                <w:szCs w:val="24"/>
              </w:rPr>
            </w:pPr>
            <w:r>
              <w:rPr>
                <w:rFonts w:hint="eastAsia" w:ascii="宋体" w:hAnsi="宋体" w:cs="宋体"/>
                <w:b/>
                <w:color w:val="auto"/>
                <w:sz w:val="24"/>
                <w:szCs w:val="24"/>
              </w:rPr>
              <w:t>评分</w:t>
            </w:r>
          </w:p>
          <w:p w14:paraId="58AC9EFE">
            <w:pPr>
              <w:adjustRightInd w:val="0"/>
              <w:snapToGrid w:val="0"/>
              <w:spacing w:line="360" w:lineRule="auto"/>
              <w:jc w:val="center"/>
              <w:rPr>
                <w:rFonts w:hint="eastAsia" w:ascii="宋体" w:hAnsi="宋体" w:cs="宋体"/>
                <w:b/>
                <w:color w:val="auto"/>
                <w:sz w:val="24"/>
                <w:szCs w:val="24"/>
              </w:rPr>
            </w:pPr>
            <w:r>
              <w:rPr>
                <w:rFonts w:hint="eastAsia" w:ascii="宋体" w:hAnsi="宋体" w:cs="宋体"/>
                <w:b/>
                <w:color w:val="auto"/>
                <w:sz w:val="24"/>
                <w:szCs w:val="24"/>
              </w:rPr>
              <w:t>因素</w:t>
            </w:r>
          </w:p>
        </w:tc>
        <w:tc>
          <w:tcPr>
            <w:tcW w:w="5846" w:type="dxa"/>
            <w:tcBorders>
              <w:top w:val="single" w:color="auto" w:sz="4" w:space="0"/>
              <w:left w:val="single" w:color="auto" w:sz="4" w:space="0"/>
              <w:bottom w:val="single" w:color="auto" w:sz="4" w:space="0"/>
              <w:right w:val="single" w:color="auto" w:sz="4" w:space="0"/>
            </w:tcBorders>
            <w:vAlign w:val="center"/>
          </w:tcPr>
          <w:p w14:paraId="1903C298">
            <w:pPr>
              <w:adjustRightInd w:val="0"/>
              <w:snapToGrid w:val="0"/>
              <w:spacing w:line="360" w:lineRule="auto"/>
              <w:ind w:firstLine="1566" w:firstLineChars="650"/>
              <w:jc w:val="left"/>
              <w:rPr>
                <w:rFonts w:hint="eastAsia" w:ascii="宋体" w:hAnsi="宋体" w:cs="宋体"/>
                <w:color w:val="auto"/>
                <w:sz w:val="24"/>
                <w:szCs w:val="24"/>
              </w:rPr>
            </w:pPr>
            <w:r>
              <w:rPr>
                <w:rFonts w:hint="eastAsia" w:ascii="宋体" w:hAnsi="宋体" w:cs="宋体"/>
                <w:b/>
                <w:color w:val="auto"/>
                <w:sz w:val="24"/>
                <w:szCs w:val="24"/>
              </w:rPr>
              <w:t>评分标准</w:t>
            </w:r>
          </w:p>
        </w:tc>
      </w:tr>
      <w:tr w14:paraId="081E7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74" w:hRule="atLeast"/>
          <w:jc w:val="center"/>
        </w:trPr>
        <w:tc>
          <w:tcPr>
            <w:tcW w:w="509" w:type="dxa"/>
            <w:gridSpan w:val="2"/>
            <w:tcBorders>
              <w:top w:val="single" w:color="auto" w:sz="4" w:space="0"/>
              <w:bottom w:val="single" w:color="auto" w:sz="4" w:space="0"/>
              <w:right w:val="single" w:color="auto" w:sz="4" w:space="0"/>
            </w:tcBorders>
            <w:vAlign w:val="center"/>
          </w:tcPr>
          <w:p w14:paraId="0F24C7DC">
            <w:pPr>
              <w:adjustRightInd w:val="0"/>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一</w:t>
            </w:r>
          </w:p>
        </w:tc>
        <w:tc>
          <w:tcPr>
            <w:tcW w:w="2538" w:type="dxa"/>
            <w:tcBorders>
              <w:top w:val="single" w:color="auto" w:sz="4" w:space="0"/>
              <w:bottom w:val="single" w:color="auto" w:sz="4" w:space="0"/>
              <w:right w:val="single" w:color="auto" w:sz="4" w:space="0"/>
            </w:tcBorders>
            <w:vAlign w:val="center"/>
          </w:tcPr>
          <w:p w14:paraId="3F78AD39">
            <w:pPr>
              <w:adjustRightInd w:val="0"/>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报价得分</w:t>
            </w:r>
          </w:p>
        </w:tc>
        <w:tc>
          <w:tcPr>
            <w:tcW w:w="737" w:type="dxa"/>
            <w:tcBorders>
              <w:top w:val="single" w:color="auto" w:sz="4" w:space="0"/>
              <w:left w:val="single" w:color="auto" w:sz="4" w:space="0"/>
              <w:bottom w:val="single" w:color="auto" w:sz="4" w:space="0"/>
              <w:right w:val="single" w:color="auto" w:sz="4" w:space="0"/>
            </w:tcBorders>
            <w:vAlign w:val="center"/>
          </w:tcPr>
          <w:p w14:paraId="3CD74A76">
            <w:pPr>
              <w:adjustRightInd w:val="0"/>
              <w:snapToGrid w:val="0"/>
              <w:spacing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40</w:t>
            </w:r>
            <w:r>
              <w:rPr>
                <w:rFonts w:hint="eastAsia" w:ascii="宋体" w:hAnsi="宋体" w:cs="宋体"/>
                <w:b/>
                <w:color w:val="auto"/>
                <w:sz w:val="24"/>
                <w:szCs w:val="24"/>
              </w:rPr>
              <w:t>分</w:t>
            </w:r>
          </w:p>
        </w:tc>
        <w:tc>
          <w:tcPr>
            <w:tcW w:w="5846" w:type="dxa"/>
            <w:tcBorders>
              <w:top w:val="single" w:color="auto" w:sz="4" w:space="0"/>
              <w:left w:val="single" w:color="auto" w:sz="4" w:space="0"/>
              <w:bottom w:val="single" w:color="auto" w:sz="4" w:space="0"/>
              <w:right w:val="single" w:color="auto" w:sz="4" w:space="0"/>
            </w:tcBorders>
            <w:vAlign w:val="center"/>
          </w:tcPr>
          <w:p w14:paraId="4F7E76F9">
            <w:pPr>
              <w:adjustRightInd w:val="0"/>
              <w:snapToGrid w:val="0"/>
              <w:spacing w:line="360" w:lineRule="auto"/>
              <w:jc w:val="left"/>
              <w:rPr>
                <w:rFonts w:ascii="宋体" w:hAnsi="宋体" w:cs="宋体"/>
                <w:color w:val="auto"/>
                <w:sz w:val="24"/>
                <w:szCs w:val="24"/>
              </w:rPr>
            </w:pPr>
            <w:r>
              <w:rPr>
                <w:rFonts w:hint="eastAsia" w:ascii="宋体" w:hAnsi="宋体" w:cs="宋体"/>
                <w:color w:val="auto"/>
                <w:sz w:val="24"/>
                <w:szCs w:val="24"/>
              </w:rPr>
              <w:t>供应商的报价得分统一采用最低价优先法计算，即满足磋商文件要求且最终报价最低的供应商的价格为磋商基准价，其报价得分为满分</w:t>
            </w:r>
            <w:r>
              <w:rPr>
                <w:rFonts w:hint="eastAsia" w:ascii="宋体" w:hAnsi="宋体" w:cs="宋体"/>
                <w:color w:val="auto"/>
                <w:sz w:val="24"/>
                <w:szCs w:val="24"/>
                <w:lang w:val="en-US" w:eastAsia="zh-CN"/>
              </w:rPr>
              <w:t>40</w:t>
            </w:r>
            <w:r>
              <w:rPr>
                <w:rFonts w:hint="eastAsia" w:ascii="宋体" w:hAnsi="宋体" w:cs="宋体"/>
                <w:color w:val="auto"/>
                <w:sz w:val="24"/>
                <w:szCs w:val="24"/>
              </w:rPr>
              <w:t>分。其他供应商的报价得分统一按照下列公式计算：磋商报价得分=（磋商基准价/最终磋商报价）×</w:t>
            </w:r>
            <w:r>
              <w:rPr>
                <w:rFonts w:hint="eastAsia" w:ascii="宋体" w:hAnsi="宋体" w:cs="宋体"/>
                <w:color w:val="auto"/>
                <w:sz w:val="24"/>
                <w:szCs w:val="24"/>
                <w:lang w:val="en-US" w:eastAsia="zh-CN"/>
              </w:rPr>
              <w:t>40</w:t>
            </w:r>
            <w:r>
              <w:rPr>
                <w:rFonts w:hint="eastAsia" w:ascii="宋体" w:hAnsi="宋体" w:cs="宋体"/>
                <w:color w:val="auto"/>
                <w:sz w:val="24"/>
                <w:szCs w:val="24"/>
              </w:rPr>
              <w:t>。</w:t>
            </w:r>
          </w:p>
        </w:tc>
      </w:tr>
      <w:tr w14:paraId="1C57A8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2" w:hRule="atLeast"/>
          <w:jc w:val="center"/>
        </w:trPr>
        <w:tc>
          <w:tcPr>
            <w:tcW w:w="497" w:type="dxa"/>
            <w:tcBorders>
              <w:top w:val="single" w:color="auto" w:sz="4" w:space="0"/>
              <w:bottom w:val="single" w:color="auto" w:sz="4" w:space="0"/>
              <w:right w:val="single" w:color="auto" w:sz="4" w:space="0"/>
            </w:tcBorders>
            <w:vAlign w:val="center"/>
          </w:tcPr>
          <w:p w14:paraId="287A81DA">
            <w:pPr>
              <w:adjustRightInd w:val="0"/>
              <w:snapToGrid w:val="0"/>
              <w:spacing w:before="156" w:beforeLines="50" w:line="360" w:lineRule="auto"/>
              <w:jc w:val="center"/>
              <w:rPr>
                <w:rFonts w:ascii="宋体" w:hAnsi="宋体" w:cs="宋体"/>
                <w:b/>
                <w:color w:val="auto"/>
                <w:sz w:val="24"/>
                <w:szCs w:val="24"/>
              </w:rPr>
            </w:pPr>
            <w:r>
              <w:rPr>
                <w:rFonts w:hint="eastAsia" w:ascii="宋体" w:hAnsi="宋体" w:cs="宋体"/>
                <w:b/>
                <w:color w:val="auto"/>
                <w:sz w:val="24"/>
                <w:szCs w:val="24"/>
              </w:rPr>
              <w:t>二</w:t>
            </w:r>
          </w:p>
        </w:tc>
        <w:tc>
          <w:tcPr>
            <w:tcW w:w="2550" w:type="dxa"/>
            <w:gridSpan w:val="2"/>
            <w:tcBorders>
              <w:top w:val="single" w:color="auto" w:sz="4" w:space="0"/>
              <w:bottom w:val="single" w:color="auto" w:sz="4" w:space="0"/>
              <w:right w:val="single" w:color="auto" w:sz="4" w:space="0"/>
            </w:tcBorders>
            <w:vAlign w:val="center"/>
          </w:tcPr>
          <w:p w14:paraId="72FED704">
            <w:pPr>
              <w:adjustRightInd w:val="0"/>
              <w:snapToGrid w:val="0"/>
              <w:spacing w:before="156" w:beforeLines="50" w:line="360" w:lineRule="auto"/>
              <w:jc w:val="center"/>
              <w:rPr>
                <w:rFonts w:ascii="宋体" w:hAnsi="宋体" w:cs="宋体"/>
                <w:b/>
                <w:color w:val="auto"/>
                <w:sz w:val="24"/>
                <w:szCs w:val="24"/>
              </w:rPr>
            </w:pPr>
            <w:r>
              <w:rPr>
                <w:rFonts w:hint="eastAsia" w:ascii="宋体" w:hAnsi="宋体" w:cs="宋体"/>
                <w:b/>
                <w:color w:val="auto"/>
                <w:sz w:val="24"/>
                <w:szCs w:val="24"/>
              </w:rPr>
              <w:t>技术部分（施工组织设计）</w:t>
            </w:r>
          </w:p>
        </w:tc>
        <w:tc>
          <w:tcPr>
            <w:tcW w:w="737" w:type="dxa"/>
            <w:tcBorders>
              <w:top w:val="single" w:color="auto" w:sz="4" w:space="0"/>
              <w:left w:val="single" w:color="auto" w:sz="4" w:space="0"/>
              <w:bottom w:val="single" w:color="auto" w:sz="4" w:space="0"/>
              <w:right w:val="single" w:color="auto" w:sz="4" w:space="0"/>
            </w:tcBorders>
            <w:vAlign w:val="center"/>
          </w:tcPr>
          <w:p w14:paraId="64B9C82A">
            <w:pPr>
              <w:adjustRightInd w:val="0"/>
              <w:snapToGrid w:val="0"/>
              <w:spacing w:before="156" w:beforeLines="50"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60</w:t>
            </w:r>
            <w:r>
              <w:rPr>
                <w:rFonts w:hint="eastAsia" w:ascii="宋体" w:hAnsi="宋体" w:cs="宋体"/>
                <w:b/>
                <w:color w:val="auto"/>
                <w:sz w:val="24"/>
                <w:szCs w:val="24"/>
              </w:rPr>
              <w:t>分</w:t>
            </w:r>
          </w:p>
        </w:tc>
        <w:tc>
          <w:tcPr>
            <w:tcW w:w="5846" w:type="dxa"/>
            <w:tcBorders>
              <w:top w:val="single" w:color="auto" w:sz="4" w:space="0"/>
              <w:left w:val="single" w:color="auto" w:sz="4" w:space="0"/>
              <w:bottom w:val="single" w:color="auto" w:sz="4" w:space="0"/>
              <w:right w:val="single" w:color="auto" w:sz="4" w:space="0"/>
            </w:tcBorders>
            <w:vAlign w:val="center"/>
          </w:tcPr>
          <w:p w14:paraId="15CD5152">
            <w:pPr>
              <w:spacing w:line="360" w:lineRule="auto"/>
              <w:jc w:val="center"/>
              <w:rPr>
                <w:rFonts w:ascii="宋体" w:hAnsi="宋体" w:cs="宋体"/>
                <w:b/>
                <w:color w:val="auto"/>
                <w:sz w:val="24"/>
                <w:szCs w:val="24"/>
              </w:rPr>
            </w:pPr>
            <w:r>
              <w:rPr>
                <w:rFonts w:hint="eastAsia" w:ascii="宋体" w:hAnsi="宋体" w:cs="宋体"/>
                <w:b/>
                <w:color w:val="auto"/>
                <w:sz w:val="24"/>
                <w:szCs w:val="24"/>
              </w:rPr>
              <w:t>评分标准</w:t>
            </w:r>
          </w:p>
        </w:tc>
      </w:tr>
      <w:tr w14:paraId="4F97FB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5" w:hRule="atLeast"/>
          <w:jc w:val="center"/>
        </w:trPr>
        <w:tc>
          <w:tcPr>
            <w:tcW w:w="497" w:type="dxa"/>
            <w:tcBorders>
              <w:top w:val="single" w:color="auto" w:sz="4" w:space="0"/>
              <w:bottom w:val="single" w:color="auto" w:sz="4" w:space="0"/>
              <w:right w:val="single" w:color="auto" w:sz="4" w:space="0"/>
            </w:tcBorders>
            <w:vAlign w:val="center"/>
          </w:tcPr>
          <w:p w14:paraId="2D2F1937">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1</w:t>
            </w:r>
          </w:p>
        </w:tc>
        <w:tc>
          <w:tcPr>
            <w:tcW w:w="2550" w:type="dxa"/>
            <w:gridSpan w:val="2"/>
            <w:tcBorders>
              <w:top w:val="single" w:color="auto" w:sz="4" w:space="0"/>
              <w:bottom w:val="single" w:color="auto" w:sz="4" w:space="0"/>
              <w:right w:val="single" w:color="auto" w:sz="4" w:space="0"/>
            </w:tcBorders>
            <w:vAlign w:val="center"/>
          </w:tcPr>
          <w:p w14:paraId="71A3906B">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color w:val="auto"/>
                <w:sz w:val="24"/>
                <w:szCs w:val="24"/>
                <w:highlight w:val="none"/>
              </w:rPr>
              <w:t>针对项目特点内容规范完整性和整体编制水平</w:t>
            </w:r>
          </w:p>
        </w:tc>
        <w:tc>
          <w:tcPr>
            <w:tcW w:w="737" w:type="dxa"/>
            <w:tcBorders>
              <w:top w:val="single" w:color="auto" w:sz="4" w:space="0"/>
              <w:left w:val="single" w:color="auto" w:sz="4" w:space="0"/>
              <w:bottom w:val="single" w:color="auto" w:sz="4" w:space="0"/>
              <w:right w:val="single" w:color="auto" w:sz="4" w:space="0"/>
            </w:tcBorders>
            <w:vAlign w:val="center"/>
          </w:tcPr>
          <w:p w14:paraId="16A6C404">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53FBC7FC">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根据对工程整体有深刻认识，施工组织设计内容针对项目特点完整规范、表述清晰，具体可行和整体编制水平合理得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0341D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6" w:hRule="atLeast"/>
          <w:jc w:val="center"/>
        </w:trPr>
        <w:tc>
          <w:tcPr>
            <w:tcW w:w="497" w:type="dxa"/>
            <w:tcBorders>
              <w:top w:val="single" w:color="auto" w:sz="4" w:space="0"/>
              <w:bottom w:val="single" w:color="auto" w:sz="4" w:space="0"/>
              <w:right w:val="single" w:color="auto" w:sz="4" w:space="0"/>
            </w:tcBorders>
            <w:vAlign w:val="center"/>
          </w:tcPr>
          <w:p w14:paraId="759C0001">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2</w:t>
            </w:r>
          </w:p>
        </w:tc>
        <w:tc>
          <w:tcPr>
            <w:tcW w:w="2550" w:type="dxa"/>
            <w:gridSpan w:val="2"/>
            <w:tcBorders>
              <w:top w:val="single" w:color="auto" w:sz="4" w:space="0"/>
              <w:bottom w:val="single" w:color="auto" w:sz="4" w:space="0"/>
              <w:right w:val="single" w:color="auto" w:sz="4" w:space="0"/>
            </w:tcBorders>
            <w:vAlign w:val="center"/>
          </w:tcPr>
          <w:p w14:paraId="2BE2418B">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color w:val="auto"/>
                <w:sz w:val="24"/>
                <w:szCs w:val="24"/>
                <w:highlight w:val="none"/>
              </w:rPr>
              <w:t>施工方案与技术措施</w:t>
            </w:r>
          </w:p>
        </w:tc>
        <w:tc>
          <w:tcPr>
            <w:tcW w:w="737" w:type="dxa"/>
            <w:tcBorders>
              <w:top w:val="single" w:color="auto" w:sz="4" w:space="0"/>
              <w:left w:val="single" w:color="auto" w:sz="4" w:space="0"/>
              <w:bottom w:val="single" w:color="auto" w:sz="4" w:space="0"/>
              <w:right w:val="single" w:color="auto" w:sz="4" w:space="0"/>
            </w:tcBorders>
            <w:vAlign w:val="center"/>
          </w:tcPr>
          <w:p w14:paraId="38F105E0">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color w:val="auto"/>
                <w:sz w:val="24"/>
                <w:szCs w:val="24"/>
              </w:rPr>
            </w:pPr>
            <w:r>
              <w:rPr>
                <w:rFonts w:hint="eastAsia" w:ascii="宋体" w:hAnsi="宋体" w:cs="宋体"/>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3CAFB20C">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rPr>
              <w:t>根据施工进度计划编排合理，可行、关键路线清晰准确和各阶段进度的保证措施可靠、内容齐全可行得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rPr>
              <w:t>分，根据其合理性、详细性一般</w:t>
            </w:r>
            <w:r>
              <w:rPr>
                <w:rFonts w:hint="eastAsia" w:ascii="宋体" w:hAnsi="宋体" w:cs="宋体"/>
                <w:b w:val="0"/>
                <w:bCs/>
                <w:color w:val="auto"/>
                <w:sz w:val="24"/>
                <w:szCs w:val="24"/>
                <w:highlight w:val="none"/>
                <w:lang w:eastAsia="zh-CN"/>
              </w:rPr>
              <w:t>得4分</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差得</w:t>
            </w:r>
            <w:r>
              <w:rPr>
                <w:rFonts w:hint="eastAsia" w:ascii="宋体" w:hAnsi="宋体" w:cs="宋体"/>
                <w:b w:val="0"/>
                <w:bCs/>
                <w:color w:val="auto"/>
                <w:sz w:val="24"/>
                <w:szCs w:val="24"/>
                <w:highlight w:val="none"/>
                <w:lang w:val="en-US" w:eastAsia="zh-CN"/>
              </w:rPr>
              <w:t>2分，</w:t>
            </w:r>
            <w:r>
              <w:rPr>
                <w:rFonts w:hint="eastAsia" w:ascii="宋体" w:hAnsi="宋体" w:eastAsia="宋体" w:cs="宋体"/>
                <w:b w:val="0"/>
                <w:bCs/>
                <w:color w:val="auto"/>
                <w:sz w:val="24"/>
                <w:szCs w:val="24"/>
                <w:highlight w:val="none"/>
              </w:rPr>
              <w:t>缺项不得分。</w:t>
            </w:r>
          </w:p>
        </w:tc>
      </w:tr>
      <w:tr w14:paraId="27B5F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jc w:val="center"/>
        </w:trPr>
        <w:tc>
          <w:tcPr>
            <w:tcW w:w="497" w:type="dxa"/>
            <w:tcBorders>
              <w:top w:val="single" w:color="auto" w:sz="4" w:space="0"/>
              <w:bottom w:val="single" w:color="auto" w:sz="4" w:space="0"/>
              <w:right w:val="single" w:color="auto" w:sz="4" w:space="0"/>
            </w:tcBorders>
            <w:vAlign w:val="center"/>
          </w:tcPr>
          <w:p w14:paraId="687DA7E0">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3</w:t>
            </w:r>
          </w:p>
        </w:tc>
        <w:tc>
          <w:tcPr>
            <w:tcW w:w="2550" w:type="dxa"/>
            <w:gridSpan w:val="2"/>
            <w:tcBorders>
              <w:top w:val="single" w:color="auto" w:sz="4" w:space="0"/>
              <w:bottom w:val="single" w:color="auto" w:sz="4" w:space="0"/>
              <w:right w:val="single" w:color="auto" w:sz="4" w:space="0"/>
            </w:tcBorders>
            <w:vAlign w:val="center"/>
          </w:tcPr>
          <w:p w14:paraId="7357B491">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kern w:val="0"/>
                <w:sz w:val="24"/>
                <w:szCs w:val="24"/>
              </w:rPr>
            </w:pPr>
            <w:r>
              <w:rPr>
                <w:rFonts w:hint="eastAsia" w:ascii="宋体" w:hAnsi="宋体" w:eastAsia="宋体" w:cs="宋体"/>
                <w:color w:val="auto"/>
                <w:sz w:val="24"/>
                <w:szCs w:val="24"/>
                <w:highlight w:val="none"/>
              </w:rPr>
              <w:t>质量管理体系与措施</w:t>
            </w:r>
          </w:p>
        </w:tc>
        <w:tc>
          <w:tcPr>
            <w:tcW w:w="737" w:type="dxa"/>
            <w:tcBorders>
              <w:top w:val="single" w:color="auto" w:sz="4" w:space="0"/>
              <w:left w:val="single" w:color="auto" w:sz="4" w:space="0"/>
              <w:bottom w:val="single" w:color="auto" w:sz="4" w:space="0"/>
              <w:right w:val="single" w:color="auto" w:sz="4" w:space="0"/>
            </w:tcBorders>
            <w:vAlign w:val="center"/>
          </w:tcPr>
          <w:p w14:paraId="71BBCDBD">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07E4140F">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color w:val="auto"/>
                <w:sz w:val="24"/>
                <w:szCs w:val="24"/>
                <w:highlight w:val="none"/>
              </w:rPr>
              <w:t>根据体系完整、内容齐全、安排合理、针对项目特点措施先进可行、通病治理措施具体可靠得</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分，根据其合理性、详细性一般</w:t>
            </w:r>
            <w:r>
              <w:rPr>
                <w:rFonts w:hint="eastAsia" w:ascii="宋体" w:hAnsi="宋体" w:cs="宋体"/>
                <w:color w:val="auto"/>
                <w:sz w:val="24"/>
                <w:szCs w:val="24"/>
                <w:highlight w:val="none"/>
                <w:lang w:eastAsia="zh-CN"/>
              </w:rPr>
              <w:t>得4分</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差得</w:t>
            </w:r>
            <w:r>
              <w:rPr>
                <w:rFonts w:hint="eastAsia" w:ascii="宋体" w:hAnsi="宋体" w:cs="宋体"/>
                <w:color w:val="auto"/>
                <w:sz w:val="24"/>
                <w:szCs w:val="24"/>
                <w:highlight w:val="none"/>
                <w:lang w:val="en-US" w:eastAsia="zh-CN"/>
              </w:rPr>
              <w:t>2分，</w:t>
            </w:r>
            <w:r>
              <w:rPr>
                <w:rFonts w:hint="eastAsia" w:ascii="宋体" w:hAnsi="宋体" w:eastAsia="宋体" w:cs="宋体"/>
                <w:color w:val="auto"/>
                <w:sz w:val="24"/>
                <w:szCs w:val="24"/>
                <w:highlight w:val="none"/>
              </w:rPr>
              <w:t>缺项不得分。</w:t>
            </w:r>
          </w:p>
        </w:tc>
      </w:tr>
      <w:tr w14:paraId="79FE8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5" w:hRule="atLeast"/>
          <w:jc w:val="center"/>
        </w:trPr>
        <w:tc>
          <w:tcPr>
            <w:tcW w:w="497" w:type="dxa"/>
            <w:tcBorders>
              <w:top w:val="single" w:color="auto" w:sz="4" w:space="0"/>
              <w:right w:val="single" w:color="auto" w:sz="4" w:space="0"/>
            </w:tcBorders>
            <w:vAlign w:val="center"/>
          </w:tcPr>
          <w:p w14:paraId="1E22E33C">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4</w:t>
            </w:r>
          </w:p>
        </w:tc>
        <w:tc>
          <w:tcPr>
            <w:tcW w:w="2550" w:type="dxa"/>
            <w:gridSpan w:val="2"/>
            <w:tcBorders>
              <w:top w:val="single" w:color="auto" w:sz="4" w:space="0"/>
              <w:right w:val="single" w:color="auto" w:sz="4" w:space="0"/>
            </w:tcBorders>
            <w:vAlign w:val="center"/>
          </w:tcPr>
          <w:p w14:paraId="18DFCC49">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color w:val="auto"/>
                <w:sz w:val="24"/>
                <w:szCs w:val="24"/>
                <w:highlight w:val="none"/>
              </w:rPr>
              <w:t>安全管理体系与措施</w:t>
            </w:r>
          </w:p>
        </w:tc>
        <w:tc>
          <w:tcPr>
            <w:tcW w:w="737" w:type="dxa"/>
            <w:tcBorders>
              <w:top w:val="single" w:color="auto" w:sz="4" w:space="0"/>
              <w:left w:val="single" w:color="auto" w:sz="4" w:space="0"/>
              <w:right w:val="single" w:color="auto" w:sz="4" w:space="0"/>
            </w:tcBorders>
            <w:vAlign w:val="center"/>
          </w:tcPr>
          <w:p w14:paraId="641720E1">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08D3FCFC">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根据体系完整、内容齐全、安排恰当、措施针对项目实际情况规范具体完整、应急救援预案可行得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75A6B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7" w:type="dxa"/>
            <w:tcBorders>
              <w:top w:val="single" w:color="auto" w:sz="4" w:space="0"/>
              <w:bottom w:val="single" w:color="auto" w:sz="4" w:space="0"/>
              <w:right w:val="single" w:color="auto" w:sz="4" w:space="0"/>
            </w:tcBorders>
            <w:vAlign w:val="center"/>
          </w:tcPr>
          <w:p w14:paraId="5D264EEF">
            <w:pPr>
              <w:adjustRightInd w:val="0"/>
              <w:snapToGrid w:val="0"/>
              <w:spacing w:line="360" w:lineRule="auto"/>
              <w:jc w:val="center"/>
              <w:rPr>
                <w:rFonts w:ascii="宋体" w:hAnsi="宋体" w:cs="宋体"/>
                <w:b/>
                <w:color w:val="auto"/>
                <w:sz w:val="24"/>
                <w:szCs w:val="24"/>
              </w:rPr>
            </w:pPr>
            <w:r>
              <w:rPr>
                <w:rFonts w:hint="eastAsia" w:ascii="宋体" w:hAnsi="宋体" w:cs="宋体"/>
                <w:bCs/>
                <w:color w:val="auto"/>
                <w:sz w:val="24"/>
                <w:szCs w:val="24"/>
              </w:rPr>
              <w:t>5</w:t>
            </w:r>
          </w:p>
        </w:tc>
        <w:tc>
          <w:tcPr>
            <w:tcW w:w="2550" w:type="dxa"/>
            <w:gridSpan w:val="2"/>
            <w:tcBorders>
              <w:top w:val="single" w:color="auto" w:sz="4" w:space="0"/>
              <w:bottom w:val="single" w:color="auto" w:sz="4" w:space="0"/>
              <w:right w:val="single" w:color="auto" w:sz="4" w:space="0"/>
            </w:tcBorders>
            <w:vAlign w:val="center"/>
          </w:tcPr>
          <w:p w14:paraId="2BC0E957">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b/>
                <w:color w:val="auto"/>
                <w:sz w:val="24"/>
                <w:szCs w:val="24"/>
              </w:rPr>
            </w:pPr>
            <w:r>
              <w:rPr>
                <w:rFonts w:hint="eastAsia" w:ascii="宋体" w:hAnsi="宋体" w:eastAsia="宋体" w:cs="宋体"/>
                <w:color w:val="auto"/>
                <w:sz w:val="24"/>
                <w:szCs w:val="24"/>
                <w:highlight w:val="none"/>
              </w:rPr>
              <w:t>工程进度计划与措施</w:t>
            </w:r>
          </w:p>
        </w:tc>
        <w:tc>
          <w:tcPr>
            <w:tcW w:w="737" w:type="dxa"/>
            <w:tcBorders>
              <w:top w:val="single" w:color="auto" w:sz="4" w:space="0"/>
              <w:left w:val="single" w:color="auto" w:sz="4" w:space="0"/>
              <w:bottom w:val="single" w:color="auto" w:sz="4" w:space="0"/>
              <w:right w:val="single" w:color="auto" w:sz="4" w:space="0"/>
            </w:tcBorders>
            <w:vAlign w:val="center"/>
          </w:tcPr>
          <w:p w14:paraId="78535F2D">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b/>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center"/>
          </w:tcPr>
          <w:p w14:paraId="6CC0B5A8">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根据体系完整、内容齐全、安排恰当、措施可行程度合理得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4AD297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jc w:val="center"/>
        </w:trPr>
        <w:tc>
          <w:tcPr>
            <w:tcW w:w="497" w:type="dxa"/>
            <w:tcBorders>
              <w:top w:val="single" w:color="auto" w:sz="4" w:space="0"/>
              <w:bottom w:val="single" w:color="auto" w:sz="4" w:space="0"/>
              <w:right w:val="single" w:color="auto" w:sz="4" w:space="0"/>
            </w:tcBorders>
            <w:vAlign w:val="center"/>
          </w:tcPr>
          <w:p w14:paraId="285ED9EC">
            <w:pPr>
              <w:adjustRightInd w:val="0"/>
              <w:snapToGrid w:val="0"/>
              <w:spacing w:line="360" w:lineRule="auto"/>
              <w:jc w:val="center"/>
              <w:rPr>
                <w:rFonts w:ascii="宋体" w:hAnsi="宋体" w:cs="宋体"/>
                <w:bCs/>
                <w:color w:val="auto"/>
                <w:sz w:val="24"/>
                <w:szCs w:val="24"/>
              </w:rPr>
            </w:pPr>
            <w:r>
              <w:rPr>
                <w:rFonts w:hint="eastAsia" w:ascii="宋体" w:hAnsi="宋体" w:cs="宋体"/>
                <w:bCs/>
                <w:color w:val="auto"/>
                <w:sz w:val="24"/>
                <w:szCs w:val="24"/>
              </w:rPr>
              <w:t>6</w:t>
            </w:r>
          </w:p>
        </w:tc>
        <w:tc>
          <w:tcPr>
            <w:tcW w:w="2550" w:type="dxa"/>
            <w:gridSpan w:val="2"/>
            <w:tcBorders>
              <w:top w:val="single" w:color="auto" w:sz="4" w:space="0"/>
              <w:bottom w:val="single" w:color="auto" w:sz="4" w:space="0"/>
              <w:right w:val="single" w:color="auto" w:sz="4" w:space="0"/>
            </w:tcBorders>
            <w:vAlign w:val="center"/>
          </w:tcPr>
          <w:p w14:paraId="5F5F21A8">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b/>
                <w:color w:val="auto"/>
                <w:sz w:val="24"/>
                <w:szCs w:val="24"/>
              </w:rPr>
            </w:pPr>
            <w:r>
              <w:rPr>
                <w:rFonts w:hint="eastAsia" w:ascii="宋体" w:hAnsi="宋体" w:eastAsia="宋体" w:cs="宋体"/>
                <w:color w:val="auto"/>
                <w:sz w:val="24"/>
                <w:szCs w:val="24"/>
                <w:highlight w:val="none"/>
              </w:rPr>
              <w:t>环保管理体系与措施</w:t>
            </w:r>
          </w:p>
        </w:tc>
        <w:tc>
          <w:tcPr>
            <w:tcW w:w="737" w:type="dxa"/>
            <w:tcBorders>
              <w:top w:val="single" w:color="auto" w:sz="4" w:space="0"/>
              <w:left w:val="single" w:color="auto" w:sz="4" w:space="0"/>
              <w:bottom w:val="single" w:color="auto" w:sz="4" w:space="0"/>
              <w:right w:val="single" w:color="auto" w:sz="4" w:space="0"/>
            </w:tcBorders>
            <w:vAlign w:val="center"/>
          </w:tcPr>
          <w:p w14:paraId="2B8116E3">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b/>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640D4092">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根据体系完整、内容齐全、安排恰当、针对项目实际情况措施可行程度合理得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54671C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jc w:val="center"/>
        </w:trPr>
        <w:tc>
          <w:tcPr>
            <w:tcW w:w="497" w:type="dxa"/>
            <w:tcBorders>
              <w:top w:val="single" w:color="auto" w:sz="4" w:space="0"/>
              <w:bottom w:val="single" w:color="auto" w:sz="4" w:space="0"/>
              <w:right w:val="single" w:color="auto" w:sz="4" w:space="0"/>
            </w:tcBorders>
            <w:vAlign w:val="center"/>
          </w:tcPr>
          <w:p w14:paraId="287CD31C">
            <w:pPr>
              <w:adjustRightInd w:val="0"/>
              <w:snapToGrid w:val="0"/>
              <w:spacing w:line="360" w:lineRule="auto"/>
              <w:jc w:val="center"/>
              <w:rPr>
                <w:rFonts w:ascii="宋体" w:hAnsi="宋体" w:cs="宋体"/>
                <w:b/>
                <w:color w:val="auto"/>
                <w:sz w:val="24"/>
                <w:szCs w:val="24"/>
              </w:rPr>
            </w:pPr>
            <w:r>
              <w:rPr>
                <w:rFonts w:hint="eastAsia" w:ascii="宋体" w:hAnsi="宋体" w:cs="宋体"/>
                <w:bCs/>
                <w:color w:val="auto"/>
                <w:sz w:val="24"/>
                <w:szCs w:val="24"/>
              </w:rPr>
              <w:t>7</w:t>
            </w:r>
          </w:p>
        </w:tc>
        <w:tc>
          <w:tcPr>
            <w:tcW w:w="2550" w:type="dxa"/>
            <w:gridSpan w:val="2"/>
            <w:tcBorders>
              <w:top w:val="single" w:color="auto" w:sz="4" w:space="0"/>
              <w:bottom w:val="single" w:color="auto" w:sz="4" w:space="0"/>
              <w:right w:val="single" w:color="auto" w:sz="4" w:space="0"/>
            </w:tcBorders>
            <w:vAlign w:val="center"/>
          </w:tcPr>
          <w:p w14:paraId="3D24B332">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b/>
                <w:color w:val="auto"/>
                <w:sz w:val="24"/>
                <w:szCs w:val="24"/>
              </w:rPr>
            </w:pPr>
            <w:r>
              <w:rPr>
                <w:rFonts w:hint="eastAsia" w:ascii="宋体" w:hAnsi="宋体" w:eastAsia="宋体" w:cs="宋体"/>
                <w:color w:val="auto"/>
                <w:sz w:val="24"/>
                <w:szCs w:val="24"/>
                <w:highlight w:val="none"/>
              </w:rPr>
              <w:t>文明管理体系与措施</w:t>
            </w:r>
          </w:p>
        </w:tc>
        <w:tc>
          <w:tcPr>
            <w:tcW w:w="737" w:type="dxa"/>
            <w:tcBorders>
              <w:top w:val="single" w:color="auto" w:sz="4" w:space="0"/>
              <w:left w:val="single" w:color="auto" w:sz="4" w:space="0"/>
              <w:bottom w:val="single" w:color="auto" w:sz="4" w:space="0"/>
              <w:right w:val="single" w:color="auto" w:sz="4" w:space="0"/>
            </w:tcBorders>
            <w:vAlign w:val="center"/>
          </w:tcPr>
          <w:p w14:paraId="6E2847E6">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b/>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0AFCDDBB">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根据内容齐全、安排合理、投入计划与进度计划相呼应、措施可行程度合理得</w:t>
            </w:r>
            <w:r>
              <w:rPr>
                <w:rFonts w:hint="eastAsia"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25F723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97" w:type="dxa"/>
            <w:tcBorders>
              <w:top w:val="single" w:color="auto" w:sz="4" w:space="0"/>
              <w:bottom w:val="single" w:color="auto" w:sz="4" w:space="0"/>
              <w:right w:val="single" w:color="auto" w:sz="4" w:space="0"/>
            </w:tcBorders>
            <w:vAlign w:val="center"/>
          </w:tcPr>
          <w:p w14:paraId="4E1BE8CC">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8</w:t>
            </w:r>
          </w:p>
        </w:tc>
        <w:tc>
          <w:tcPr>
            <w:tcW w:w="2550" w:type="dxa"/>
            <w:gridSpan w:val="2"/>
            <w:tcBorders>
              <w:top w:val="single" w:color="auto" w:sz="4" w:space="0"/>
              <w:bottom w:val="single" w:color="auto" w:sz="4" w:space="0"/>
              <w:right w:val="single" w:color="auto" w:sz="4" w:space="0"/>
            </w:tcBorders>
            <w:vAlign w:val="center"/>
          </w:tcPr>
          <w:p w14:paraId="2C91E27F">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b/>
                <w:color w:val="auto"/>
                <w:sz w:val="24"/>
                <w:szCs w:val="24"/>
              </w:rPr>
            </w:pPr>
            <w:r>
              <w:rPr>
                <w:rFonts w:hint="eastAsia" w:ascii="宋体" w:hAnsi="宋体" w:eastAsia="宋体" w:cs="宋体"/>
                <w:color w:val="auto"/>
                <w:sz w:val="24"/>
                <w:szCs w:val="24"/>
                <w:highlight w:val="none"/>
              </w:rPr>
              <w:t>施工管理及措施</w:t>
            </w:r>
          </w:p>
        </w:tc>
        <w:tc>
          <w:tcPr>
            <w:tcW w:w="737" w:type="dxa"/>
            <w:tcBorders>
              <w:top w:val="single" w:color="auto" w:sz="4" w:space="0"/>
              <w:left w:val="single" w:color="auto" w:sz="4" w:space="0"/>
              <w:bottom w:val="single" w:color="auto" w:sz="4" w:space="0"/>
              <w:right w:val="single" w:color="auto" w:sz="4" w:space="0"/>
            </w:tcBorders>
            <w:vAlign w:val="center"/>
          </w:tcPr>
          <w:p w14:paraId="151EF74D">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b/>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top"/>
          </w:tcPr>
          <w:p w14:paraId="0E0981F2">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根据对本工程项目管理的认识，内容齐全、有针对性、对工程现场管理安排合理、符合安全文明生产要求、对工程管理的配合、协调、服务措施可行程度合理得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3ABAE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497" w:type="dxa"/>
            <w:tcBorders>
              <w:top w:val="single" w:color="auto" w:sz="4" w:space="0"/>
              <w:bottom w:val="single" w:color="auto" w:sz="4" w:space="0"/>
              <w:right w:val="single" w:color="auto" w:sz="4" w:space="0"/>
            </w:tcBorders>
            <w:vAlign w:val="center"/>
          </w:tcPr>
          <w:p w14:paraId="61AFAC5A">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9</w:t>
            </w:r>
          </w:p>
        </w:tc>
        <w:tc>
          <w:tcPr>
            <w:tcW w:w="2550" w:type="dxa"/>
            <w:gridSpan w:val="2"/>
            <w:tcBorders>
              <w:top w:val="single" w:color="auto" w:sz="4" w:space="0"/>
              <w:bottom w:val="single" w:color="auto" w:sz="4" w:space="0"/>
              <w:right w:val="single" w:color="auto" w:sz="4" w:space="0"/>
            </w:tcBorders>
            <w:vAlign w:val="center"/>
          </w:tcPr>
          <w:p w14:paraId="16D7A647">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b/>
                <w:color w:val="auto"/>
                <w:sz w:val="24"/>
                <w:szCs w:val="24"/>
              </w:rPr>
            </w:pPr>
            <w:r>
              <w:rPr>
                <w:rFonts w:hint="eastAsia" w:ascii="宋体" w:hAnsi="宋体" w:eastAsia="宋体" w:cs="宋体"/>
                <w:color w:val="auto"/>
                <w:sz w:val="24"/>
                <w:szCs w:val="24"/>
                <w:highlight w:val="none"/>
              </w:rPr>
              <w:t>资源配备计划及措施</w:t>
            </w:r>
          </w:p>
        </w:tc>
        <w:tc>
          <w:tcPr>
            <w:tcW w:w="737" w:type="dxa"/>
            <w:tcBorders>
              <w:top w:val="single" w:color="auto" w:sz="4" w:space="0"/>
              <w:left w:val="single" w:color="auto" w:sz="4" w:space="0"/>
              <w:bottom w:val="single" w:color="auto" w:sz="4" w:space="0"/>
              <w:right w:val="single" w:color="auto" w:sz="4" w:space="0"/>
            </w:tcBorders>
            <w:vAlign w:val="center"/>
          </w:tcPr>
          <w:p w14:paraId="4CC9C88E">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b/>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center"/>
          </w:tcPr>
          <w:p w14:paraId="6CF0D7A4">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ascii="宋体" w:hAnsi="宋体" w:cs="宋体"/>
                <w:color w:val="auto"/>
                <w:sz w:val="24"/>
                <w:szCs w:val="24"/>
              </w:rPr>
            </w:pPr>
            <w:r>
              <w:rPr>
                <w:rFonts w:hint="eastAsia" w:ascii="宋体" w:hAnsi="宋体" w:eastAsia="宋体" w:cs="宋体"/>
                <w:b w:val="0"/>
                <w:bCs/>
                <w:color w:val="auto"/>
                <w:sz w:val="24"/>
                <w:szCs w:val="24"/>
                <w:highlight w:val="none"/>
                <w:lang w:val="en-US" w:eastAsia="zh-CN"/>
              </w:rPr>
              <w:t>根据针对工程特点内容齐全、安排合理、对施工关键部位分析到位等合理得</w:t>
            </w: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分，根据其合理性、详细性一般</w:t>
            </w:r>
            <w:r>
              <w:rPr>
                <w:rFonts w:hint="eastAsia" w:ascii="宋体" w:hAnsi="宋体" w:cs="宋体"/>
                <w:b w:val="0"/>
                <w:bCs/>
                <w:color w:val="auto"/>
                <w:sz w:val="24"/>
                <w:szCs w:val="24"/>
                <w:highlight w:val="none"/>
                <w:lang w:val="en-US" w:eastAsia="zh-CN"/>
              </w:rPr>
              <w:t>得4分</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b w:val="0"/>
                <w:bCs/>
                <w:color w:val="auto"/>
                <w:sz w:val="24"/>
                <w:szCs w:val="24"/>
                <w:highlight w:val="none"/>
                <w:lang w:val="en-US" w:eastAsia="zh-CN"/>
              </w:rPr>
              <w:t>缺项不得分。</w:t>
            </w:r>
          </w:p>
        </w:tc>
      </w:tr>
      <w:tr w14:paraId="707C0E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497" w:type="dxa"/>
            <w:tcBorders>
              <w:top w:val="single" w:color="auto" w:sz="4" w:space="0"/>
              <w:bottom w:val="single" w:color="auto" w:sz="4" w:space="0"/>
              <w:right w:val="single" w:color="auto" w:sz="4" w:space="0"/>
            </w:tcBorders>
            <w:vAlign w:val="center"/>
          </w:tcPr>
          <w:p w14:paraId="532A7A30">
            <w:pPr>
              <w:adjustRightInd w:val="0"/>
              <w:snapToGrid w:val="0"/>
              <w:spacing w:line="360" w:lineRule="auto"/>
              <w:jc w:val="center"/>
              <w:rPr>
                <w:rFonts w:ascii="宋体" w:hAnsi="宋体" w:cs="宋体"/>
                <w:color w:val="auto"/>
                <w:sz w:val="24"/>
                <w:szCs w:val="24"/>
              </w:rPr>
            </w:pPr>
            <w:r>
              <w:rPr>
                <w:rFonts w:hint="eastAsia" w:ascii="宋体" w:hAnsi="宋体" w:cs="宋体"/>
                <w:color w:val="auto"/>
                <w:sz w:val="24"/>
                <w:szCs w:val="24"/>
              </w:rPr>
              <w:t>10</w:t>
            </w:r>
          </w:p>
        </w:tc>
        <w:tc>
          <w:tcPr>
            <w:tcW w:w="2550" w:type="dxa"/>
            <w:gridSpan w:val="2"/>
            <w:tcBorders>
              <w:top w:val="single" w:color="auto" w:sz="4" w:space="0"/>
              <w:bottom w:val="single" w:color="auto" w:sz="4" w:space="0"/>
              <w:right w:val="single" w:color="auto" w:sz="4" w:space="0"/>
            </w:tcBorders>
            <w:vAlign w:val="center"/>
          </w:tcPr>
          <w:p w14:paraId="24F2CEEE">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ascii="宋体" w:hAnsi="宋体" w:cs="宋体"/>
                <w:color w:val="auto"/>
                <w:sz w:val="24"/>
                <w:szCs w:val="24"/>
              </w:rPr>
            </w:pPr>
            <w:r>
              <w:rPr>
                <w:rFonts w:hint="eastAsia" w:ascii="宋体" w:hAnsi="宋体" w:eastAsia="宋体" w:cs="宋体"/>
                <w:color w:val="auto"/>
                <w:sz w:val="24"/>
                <w:szCs w:val="24"/>
                <w:highlight w:val="none"/>
              </w:rPr>
              <w:t>施工关键部位、材料采购要点的控制及措施</w:t>
            </w:r>
          </w:p>
        </w:tc>
        <w:tc>
          <w:tcPr>
            <w:tcW w:w="737" w:type="dxa"/>
            <w:tcBorders>
              <w:top w:val="single" w:color="auto" w:sz="4" w:space="0"/>
              <w:left w:val="single" w:color="auto" w:sz="4" w:space="0"/>
              <w:bottom w:val="single" w:color="auto" w:sz="4" w:space="0"/>
              <w:right w:val="single" w:color="auto" w:sz="4" w:space="0"/>
            </w:tcBorders>
            <w:vAlign w:val="center"/>
          </w:tcPr>
          <w:p w14:paraId="3DF034A3">
            <w:pPr>
              <w:keepNext w:val="0"/>
              <w:keepLines w:val="0"/>
              <w:pageBreakBefore w:val="0"/>
              <w:widowControl w:val="0"/>
              <w:kinsoku/>
              <w:wordWrap/>
              <w:overflowPunct/>
              <w:topLinePunct w:val="0"/>
              <w:autoSpaceDE/>
              <w:autoSpaceDN/>
              <w:bidi w:val="0"/>
              <w:adjustRightInd/>
              <w:spacing w:line="360" w:lineRule="auto"/>
              <w:ind w:left="0" w:leftChars="0" w:right="0" w:rightChars="0"/>
              <w:jc w:val="center"/>
              <w:textAlignment w:val="auto"/>
              <w:rPr>
                <w:rFonts w:ascii="宋体" w:hAnsi="宋体" w:cs="宋体"/>
                <w:color w:val="auto"/>
                <w:sz w:val="24"/>
                <w:szCs w:val="24"/>
              </w:rPr>
            </w:pPr>
            <w:r>
              <w:rPr>
                <w:rFonts w:hint="eastAsia" w:ascii="宋体" w:hAnsi="宋体" w:cs="宋体"/>
                <w:b w:val="0"/>
                <w:bCs/>
                <w:color w:val="auto"/>
                <w:sz w:val="24"/>
                <w:szCs w:val="24"/>
                <w:highlight w:val="none"/>
                <w:lang w:val="en-US" w:eastAsia="zh-CN"/>
              </w:rPr>
              <w:t>6</w:t>
            </w:r>
          </w:p>
        </w:tc>
        <w:tc>
          <w:tcPr>
            <w:tcW w:w="5846" w:type="dxa"/>
            <w:tcBorders>
              <w:top w:val="single" w:color="auto" w:sz="4" w:space="0"/>
              <w:left w:val="single" w:color="auto" w:sz="4" w:space="0"/>
              <w:bottom w:val="single" w:color="auto" w:sz="4" w:space="0"/>
              <w:right w:val="single" w:color="auto" w:sz="4" w:space="0"/>
            </w:tcBorders>
            <w:vAlign w:val="center"/>
          </w:tcPr>
          <w:p w14:paraId="43031372">
            <w:pPr>
              <w:keepNext w:val="0"/>
              <w:keepLines w:val="0"/>
              <w:pageBreakBefore w:val="0"/>
              <w:widowControl w:val="0"/>
              <w:kinsoku/>
              <w:wordWrap/>
              <w:overflowPunct/>
              <w:topLinePunct w:val="0"/>
              <w:autoSpaceDE/>
              <w:autoSpaceDN/>
              <w:bidi w:val="0"/>
              <w:adjustRightInd/>
              <w:spacing w:line="360" w:lineRule="auto"/>
              <w:ind w:left="0" w:leftChars="0" w:right="0" w:rightChars="0"/>
              <w:jc w:val="both"/>
              <w:textAlignment w:val="auto"/>
              <w:rPr>
                <w:rFonts w:ascii="宋体" w:hAnsi="宋体" w:cs="宋体"/>
                <w:color w:val="auto"/>
                <w:sz w:val="24"/>
                <w:szCs w:val="24"/>
              </w:rPr>
            </w:pPr>
            <w:r>
              <w:rPr>
                <w:rFonts w:hint="eastAsia" w:ascii="宋体" w:hAnsi="宋体" w:eastAsia="宋体" w:cs="宋体"/>
                <w:color w:val="auto"/>
                <w:sz w:val="24"/>
                <w:szCs w:val="24"/>
                <w:highlight w:val="none"/>
              </w:rPr>
              <w:t>根据措施体系完整、内容齐全、安排恰当、针对项目实际情况措施可行程度合理得</w:t>
            </w:r>
            <w:bookmarkStart w:id="54" w:name="_GoBack"/>
            <w:bookmarkEnd w:id="54"/>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分，根据其合理性、详细性一般</w:t>
            </w:r>
            <w:r>
              <w:rPr>
                <w:rFonts w:hint="eastAsia" w:ascii="宋体" w:hAnsi="宋体" w:cs="宋体"/>
                <w:color w:val="auto"/>
                <w:sz w:val="24"/>
                <w:szCs w:val="24"/>
                <w:highlight w:val="none"/>
                <w:lang w:eastAsia="zh-CN"/>
              </w:rPr>
              <w:t>得4分</w:t>
            </w:r>
            <w:r>
              <w:rPr>
                <w:rFonts w:hint="eastAsia" w:ascii="宋体" w:hAnsi="宋体" w:eastAsia="宋体" w:cs="宋体"/>
                <w:color w:val="auto"/>
                <w:sz w:val="24"/>
                <w:szCs w:val="24"/>
                <w:highlight w:val="none"/>
              </w:rPr>
              <w:t>，</w:t>
            </w:r>
            <w:r>
              <w:rPr>
                <w:rFonts w:hint="eastAsia" w:ascii="宋体" w:hAnsi="宋体" w:cs="宋体"/>
                <w:b w:val="0"/>
                <w:bCs/>
                <w:color w:val="auto"/>
                <w:sz w:val="24"/>
                <w:szCs w:val="24"/>
                <w:highlight w:val="none"/>
                <w:lang w:val="en-US" w:eastAsia="zh-CN"/>
              </w:rPr>
              <w:t>差得2分，</w:t>
            </w:r>
            <w:r>
              <w:rPr>
                <w:rFonts w:hint="eastAsia" w:ascii="宋体" w:hAnsi="宋体" w:eastAsia="宋体" w:cs="宋体"/>
                <w:color w:val="auto"/>
                <w:sz w:val="24"/>
                <w:szCs w:val="24"/>
                <w:highlight w:val="none"/>
              </w:rPr>
              <w:t>缺项不得分。</w:t>
            </w:r>
          </w:p>
        </w:tc>
      </w:tr>
    </w:tbl>
    <w:p w14:paraId="4D3784C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b/>
          <w:bCs/>
          <w:color w:val="auto"/>
          <w:sz w:val="24"/>
        </w:rPr>
      </w:pPr>
      <w:r>
        <w:rPr>
          <w:rFonts w:hint="eastAsia" w:ascii="宋体" w:hAnsi="宋体" w:cs="宋体"/>
          <w:b/>
          <w:bCs/>
          <w:color w:val="auto"/>
          <w:sz w:val="24"/>
        </w:rPr>
        <w:t>注：</w:t>
      </w:r>
      <w:bookmarkStart w:id="13" w:name="_Toc23800"/>
      <w:r>
        <w:rPr>
          <w:rFonts w:hint="eastAsia" w:ascii="宋体" w:hAnsi="宋体" w:cs="宋体"/>
          <w:b/>
          <w:bCs/>
          <w:color w:val="auto"/>
          <w:sz w:val="24"/>
        </w:rPr>
        <w:t>一、</w:t>
      </w:r>
      <w:r>
        <w:rPr>
          <w:rFonts w:hint="eastAsia" w:ascii="宋体" w:hAnsi="宋体"/>
          <w:b/>
          <w:bCs/>
          <w:color w:val="auto"/>
          <w:sz w:val="24"/>
        </w:rPr>
        <w:t>总得分相同者，按最终报价低的名次在前；最终报价也相同的，施工组织设计总得分高者排名优先；</w:t>
      </w:r>
      <w:r>
        <w:rPr>
          <w:rFonts w:hint="eastAsia" w:ascii="宋体" w:hAnsi="宋体"/>
          <w:b/>
          <w:color w:val="auto"/>
          <w:sz w:val="24"/>
        </w:rPr>
        <w:t>施工组织设计总得分也相同的，资信总得分高者排名优先；资信总得分也相同的，采购人按响应文件</w:t>
      </w:r>
      <w:r>
        <w:rPr>
          <w:rFonts w:hint="eastAsia" w:ascii="宋体" w:hAnsi="宋体"/>
          <w:b/>
          <w:color w:val="auto"/>
          <w:sz w:val="24"/>
          <w:lang w:eastAsia="zh-CN"/>
        </w:rPr>
        <w:t>递交</w:t>
      </w:r>
      <w:r>
        <w:rPr>
          <w:rFonts w:hint="eastAsia" w:ascii="宋体" w:hAnsi="宋体"/>
          <w:b/>
          <w:color w:val="auto"/>
          <w:sz w:val="24"/>
        </w:rPr>
        <w:t>顺序排名。</w:t>
      </w:r>
    </w:p>
    <w:p w14:paraId="42692C2E">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ascii="宋体" w:hAnsi="宋体"/>
          <w:b/>
          <w:color w:val="auto"/>
          <w:sz w:val="24"/>
        </w:rPr>
      </w:pPr>
      <w:r>
        <w:rPr>
          <w:rFonts w:hint="eastAsia" w:ascii="宋体" w:hAnsi="宋体"/>
          <w:b/>
          <w:color w:val="auto"/>
          <w:sz w:val="24"/>
        </w:rPr>
        <w:t>二、评分分值计算保留小数点后两位，小数点后第三位“四舍五入”。</w:t>
      </w:r>
    </w:p>
    <w:p w14:paraId="061B162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三</w:t>
      </w:r>
      <w:r>
        <w:rPr>
          <w:rFonts w:hint="eastAsia" w:ascii="宋体" w:hAnsi="宋体" w:cs="Times New Roman"/>
          <w:b/>
          <w:bCs/>
          <w:color w:val="auto"/>
          <w:sz w:val="24"/>
        </w:rPr>
        <w:t>、评分办法中涉及资信按照相关要求提供，供应商应保证相关证件的真实性，成交供应商的资信验证结果将予以公示。</w:t>
      </w:r>
    </w:p>
    <w:p w14:paraId="765C7AF8">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四</w:t>
      </w:r>
      <w:r>
        <w:rPr>
          <w:rFonts w:hint="eastAsia" w:ascii="宋体" w:hAnsi="宋体" w:cs="Times New Roman"/>
          <w:b/>
          <w:bCs/>
          <w:color w:val="auto"/>
          <w:sz w:val="24"/>
        </w:rPr>
        <w:t>、提供虚假证明材料的，取消其竞标资格；若如日后查出以虚假证明材料谋取成交的，一经查实，采购人可以随时终止采购合同，并由该单位赔偿采购人的一切损失。</w:t>
      </w:r>
    </w:p>
    <w:p w14:paraId="1ADEC498">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lang w:eastAsia="zh-CN"/>
        </w:rPr>
        <w:t>五</w:t>
      </w:r>
      <w:r>
        <w:rPr>
          <w:rFonts w:hint="eastAsia" w:ascii="宋体" w:hAnsi="宋体" w:cs="Times New Roman"/>
          <w:b/>
          <w:bCs/>
          <w:color w:val="auto"/>
          <w:sz w:val="24"/>
        </w:rPr>
        <w:t>、成交通知书</w:t>
      </w:r>
    </w:p>
    <w:p w14:paraId="74190A4A">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Times New Roman"/>
          <w:b/>
          <w:bCs/>
          <w:color w:val="auto"/>
          <w:sz w:val="24"/>
        </w:rPr>
      </w:pPr>
      <w:r>
        <w:rPr>
          <w:rFonts w:hint="eastAsia" w:ascii="宋体" w:hAnsi="宋体" w:cs="Times New Roman"/>
          <w:b/>
          <w:bCs/>
          <w:color w:val="auto"/>
          <w:sz w:val="24"/>
        </w:rPr>
        <w:t>成交结果公示结束无异议后，采购人向成交供应商签发《成交通知书》。</w:t>
      </w:r>
    </w:p>
    <w:p w14:paraId="5BCE445E">
      <w:pPr>
        <w:widowControl/>
        <w:jc w:val="left"/>
        <w:rPr>
          <w:rFonts w:ascii="宋体" w:hAnsi="宋体"/>
          <w:b/>
          <w:color w:val="auto"/>
          <w:sz w:val="24"/>
        </w:rPr>
      </w:pPr>
      <w:r>
        <w:rPr>
          <w:rFonts w:ascii="宋体" w:hAnsi="宋体"/>
          <w:b/>
          <w:color w:val="auto"/>
          <w:sz w:val="24"/>
        </w:rPr>
        <w:br w:type="page"/>
      </w:r>
    </w:p>
    <w:p w14:paraId="5A167A0B">
      <w:pPr>
        <w:pStyle w:val="3"/>
        <w:bidi w:val="0"/>
        <w:jc w:val="center"/>
        <w:outlineLvl w:val="0"/>
        <w:rPr>
          <w:rFonts w:hint="eastAsia" w:ascii="宋体" w:hAnsi="宋体" w:eastAsia="宋体" w:cs="宋体"/>
          <w:color w:val="auto"/>
          <w:sz w:val="24"/>
          <w:szCs w:val="24"/>
          <w:lang w:val="en-US" w:eastAsia="zh-CN"/>
        </w:rPr>
      </w:pPr>
      <w:bookmarkStart w:id="14" w:name="_Toc19153"/>
      <w:r>
        <w:rPr>
          <w:rFonts w:hint="eastAsia" w:ascii="宋体" w:hAnsi="宋体" w:eastAsia="宋体" w:cs="宋体"/>
          <w:color w:val="auto"/>
          <w:sz w:val="24"/>
          <w:szCs w:val="24"/>
          <w:lang w:val="en-US" w:eastAsia="zh-CN"/>
        </w:rPr>
        <w:t>第四部分  采购内容</w:t>
      </w:r>
      <w:bookmarkEnd w:id="13"/>
      <w:r>
        <w:rPr>
          <w:rFonts w:hint="eastAsia" w:ascii="宋体" w:hAnsi="宋体" w:eastAsia="宋体" w:cs="宋体"/>
          <w:color w:val="auto"/>
          <w:sz w:val="24"/>
          <w:szCs w:val="24"/>
          <w:lang w:val="en-US" w:eastAsia="zh-CN"/>
        </w:rPr>
        <w:t>及要求</w:t>
      </w:r>
      <w:bookmarkEnd w:id="14"/>
    </w:p>
    <w:p w14:paraId="3A5B2233">
      <w:pPr>
        <w:spacing w:line="540" w:lineRule="exact"/>
        <w:rPr>
          <w:rFonts w:ascii="宋体" w:hAnsi="宋体"/>
          <w:color w:val="auto"/>
          <w:sz w:val="24"/>
        </w:rPr>
      </w:pPr>
      <w:r>
        <w:rPr>
          <w:rFonts w:hint="eastAsia" w:ascii="宋体" w:hAnsi="宋体"/>
          <w:b/>
          <w:bCs/>
          <w:color w:val="auto"/>
          <w:sz w:val="24"/>
        </w:rPr>
        <w:t>一、项目内容及要求</w:t>
      </w:r>
    </w:p>
    <w:p w14:paraId="04B9BC4D">
      <w:pPr>
        <w:spacing w:line="540" w:lineRule="exact"/>
        <w:ind w:firstLine="480" w:firstLineChars="200"/>
        <w:rPr>
          <w:rFonts w:ascii="宋体" w:hAnsi="宋体" w:cs="黑体"/>
          <w:bCs/>
          <w:color w:val="auto"/>
          <w:kern w:val="0"/>
          <w:sz w:val="24"/>
          <w:highlight w:val="none"/>
        </w:rPr>
      </w:pPr>
      <w:r>
        <w:rPr>
          <w:rFonts w:hint="eastAsia" w:ascii="宋体" w:hAnsi="宋体"/>
          <w:color w:val="auto"/>
          <w:sz w:val="24"/>
        </w:rPr>
        <w:t>（一）采购内容：</w:t>
      </w:r>
      <w:r>
        <w:rPr>
          <w:rFonts w:ascii="宋体" w:hAnsi="宋体" w:cs="黑体"/>
          <w:bCs/>
          <w:color w:val="auto"/>
          <w:kern w:val="0"/>
          <w:sz w:val="24"/>
        </w:rPr>
        <w:t xml:space="preserve"> </w:t>
      </w:r>
      <w:bookmarkStart w:id="15" w:name="_Hlk62486298"/>
    </w:p>
    <w:bookmarkEnd w:id="15"/>
    <w:p w14:paraId="586355C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sz w:val="24"/>
          <w:highlight w:val="none"/>
        </w:rPr>
      </w:pPr>
      <w:r>
        <w:rPr>
          <w:rFonts w:hint="eastAsia" w:ascii="宋体" w:hAnsi="宋体" w:cs="宋体"/>
          <w:color w:val="auto"/>
          <w:sz w:val="24"/>
          <w:szCs w:val="24"/>
          <w:lang w:eastAsia="zh-CN"/>
        </w:rPr>
        <w:t>千泉街道郭庄社区低压线路升级改造工程</w:t>
      </w:r>
      <w:r>
        <w:rPr>
          <w:rFonts w:hint="eastAsia" w:ascii="宋体" w:hAnsi="宋体" w:eastAsia="宋体" w:cs="宋体"/>
          <w:color w:val="auto"/>
          <w:sz w:val="24"/>
          <w:szCs w:val="24"/>
          <w:lang w:eastAsia="zh-CN"/>
        </w:rPr>
        <w:t>主要包括：</w:t>
      </w:r>
      <w:r>
        <w:rPr>
          <w:rFonts w:hint="eastAsia" w:ascii="宋体" w:hAnsi="宋体" w:cs="宋体"/>
          <w:color w:val="auto"/>
          <w:sz w:val="24"/>
          <w:szCs w:val="24"/>
          <w:lang w:val="en-US" w:eastAsia="zh-CN"/>
        </w:rPr>
        <w:t>更换10㎡铝芯线30000米、更换智能扫码电表645块、更换150㎡主线5000米、更换箱式变压器一台，安装路灯 40 盏等</w:t>
      </w:r>
      <w:r>
        <w:rPr>
          <w:rFonts w:hint="eastAsia" w:ascii="宋体" w:hAnsi="宋体" w:eastAsia="宋体" w:cs="宋体"/>
          <w:color w:val="auto"/>
          <w:sz w:val="24"/>
          <w:szCs w:val="24"/>
          <w:lang w:eastAsia="zh-CN"/>
        </w:rPr>
        <w:t xml:space="preserve">。采购预算为 </w:t>
      </w:r>
      <w:r>
        <w:rPr>
          <w:rFonts w:hint="eastAsia" w:ascii="宋体" w:hAnsi="宋体" w:cs="宋体"/>
          <w:color w:val="auto"/>
          <w:sz w:val="24"/>
          <w:szCs w:val="24"/>
          <w:lang w:val="en-US" w:eastAsia="zh-CN"/>
        </w:rPr>
        <w:t>1127047.96</w:t>
      </w:r>
      <w:r>
        <w:rPr>
          <w:rFonts w:hint="eastAsia" w:ascii="宋体" w:hAnsi="宋体" w:eastAsia="宋体" w:cs="宋体"/>
          <w:color w:val="auto"/>
          <w:sz w:val="24"/>
          <w:szCs w:val="24"/>
          <w:lang w:eastAsia="zh-CN"/>
        </w:rPr>
        <w:t xml:space="preserve"> 元 (详见第四章采购内容及要求)</w:t>
      </w:r>
      <w:r>
        <w:rPr>
          <w:rFonts w:hint="eastAsia" w:ascii="宋体" w:hAnsi="宋体"/>
          <w:color w:val="auto"/>
          <w:sz w:val="24"/>
          <w:highlight w:val="none"/>
        </w:rPr>
        <w:t>。</w:t>
      </w:r>
    </w:p>
    <w:p w14:paraId="5C20C6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bCs/>
          <w:color w:val="auto"/>
          <w:sz w:val="24"/>
          <w:highlight w:val="none"/>
        </w:rPr>
      </w:pPr>
      <w:r>
        <w:rPr>
          <w:rFonts w:hint="eastAsia" w:ascii="宋体" w:hAnsi="宋体" w:cs="黑体"/>
          <w:bCs/>
          <w:color w:val="auto"/>
          <w:kern w:val="0"/>
          <w:sz w:val="24"/>
          <w:highlight w:val="none"/>
        </w:rPr>
        <w:t>（二）</w:t>
      </w:r>
      <w:r>
        <w:rPr>
          <w:rFonts w:hint="eastAsia" w:ascii="宋体" w:hAnsi="宋体"/>
          <w:color w:val="auto"/>
          <w:sz w:val="24"/>
          <w:highlight w:val="none"/>
        </w:rPr>
        <w:t>建设地点：</w:t>
      </w:r>
      <w:r>
        <w:rPr>
          <w:rFonts w:hint="eastAsia" w:ascii="宋体" w:hAnsi="宋体" w:cs="黑体"/>
          <w:bCs/>
          <w:color w:val="auto"/>
          <w:kern w:val="0"/>
          <w:sz w:val="24"/>
          <w:highlight w:val="none"/>
          <w:lang w:eastAsia="zh-CN"/>
        </w:rPr>
        <w:t>邹城市千泉街道郭庄社区</w:t>
      </w:r>
      <w:r>
        <w:rPr>
          <w:rFonts w:hint="eastAsia" w:ascii="宋体" w:hAnsi="宋体" w:cs="黑体"/>
          <w:bCs/>
          <w:color w:val="auto"/>
          <w:kern w:val="0"/>
          <w:sz w:val="24"/>
          <w:highlight w:val="none"/>
        </w:rPr>
        <w:t>。</w:t>
      </w:r>
    </w:p>
    <w:p w14:paraId="26779D25">
      <w:pPr>
        <w:keepNext w:val="0"/>
        <w:keepLines w:val="0"/>
        <w:pageBreakBefore w:val="0"/>
        <w:widowControl w:val="0"/>
        <w:shd w:val="clear" w:color="auto" w:fill="FFFFFF"/>
        <w:tabs>
          <w:tab w:val="left" w:pos="840"/>
        </w:tabs>
        <w:kinsoku/>
        <w:wordWrap/>
        <w:overflowPunct/>
        <w:topLinePunct w:val="0"/>
        <w:autoSpaceDE/>
        <w:autoSpaceDN/>
        <w:bidi w:val="0"/>
        <w:adjustRightInd/>
        <w:snapToGrid/>
        <w:spacing w:line="360" w:lineRule="auto"/>
        <w:ind w:firstLine="470" w:firstLineChars="196"/>
        <w:textAlignment w:val="auto"/>
        <w:rPr>
          <w:rFonts w:ascii="宋体" w:hAnsi="宋体" w:cs="黑体"/>
          <w:bCs/>
          <w:color w:val="auto"/>
          <w:kern w:val="0"/>
          <w:sz w:val="24"/>
          <w:highlight w:val="none"/>
          <w:u w:val="single"/>
        </w:rPr>
      </w:pPr>
      <w:r>
        <w:rPr>
          <w:rFonts w:hint="eastAsia" w:ascii="宋体" w:hAnsi="宋体"/>
          <w:color w:val="auto"/>
          <w:sz w:val="24"/>
          <w:highlight w:val="none"/>
        </w:rPr>
        <w:t>（三）建设</w:t>
      </w:r>
      <w:r>
        <w:rPr>
          <w:rFonts w:hint="eastAsia" w:ascii="宋体" w:hAnsi="宋体"/>
          <w:bCs/>
          <w:color w:val="auto"/>
          <w:sz w:val="24"/>
          <w:highlight w:val="none"/>
        </w:rPr>
        <w:t>规模：</w:t>
      </w:r>
      <w:r>
        <w:rPr>
          <w:rFonts w:hint="eastAsia" w:ascii="宋体" w:hAnsi="宋体"/>
          <w:color w:val="auto"/>
          <w:sz w:val="24"/>
          <w:highlight w:val="none"/>
        </w:rPr>
        <w:t>本项目采购预算</w:t>
      </w:r>
      <w:r>
        <w:rPr>
          <w:rFonts w:hint="eastAsia" w:ascii="宋体" w:hAnsi="宋体"/>
          <w:color w:val="auto"/>
          <w:sz w:val="24"/>
          <w:highlight w:val="none"/>
          <w:lang w:val="en-US" w:eastAsia="zh-CN"/>
        </w:rPr>
        <w:t>1127047.96</w:t>
      </w:r>
      <w:r>
        <w:rPr>
          <w:rFonts w:hint="eastAsia" w:ascii="宋体" w:hAnsi="宋体"/>
          <w:color w:val="auto"/>
          <w:sz w:val="24"/>
          <w:highlight w:val="none"/>
        </w:rPr>
        <w:t>元。</w:t>
      </w:r>
    </w:p>
    <w:p w14:paraId="3C0CC0B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（四）计划工期：</w:t>
      </w:r>
      <w:bookmarkStart w:id="16" w:name="_Hlk62486200"/>
      <w:r>
        <w:rPr>
          <w:rFonts w:hint="eastAsia" w:ascii="宋体" w:hAnsi="宋体" w:cs="宋体"/>
          <w:color w:val="auto"/>
          <w:sz w:val="24"/>
          <w:highlight w:val="none"/>
          <w:lang w:val="en-US" w:eastAsia="zh-CN"/>
        </w:rPr>
        <w:t>60日历天</w:t>
      </w:r>
      <w:r>
        <w:rPr>
          <w:rFonts w:hint="eastAsia" w:ascii="宋体" w:hAnsi="宋体" w:cs="宋体"/>
          <w:color w:val="auto"/>
          <w:sz w:val="24"/>
          <w:highlight w:val="none"/>
        </w:rPr>
        <w:t>。</w:t>
      </w:r>
      <w:bookmarkEnd w:id="16"/>
    </w:p>
    <w:p w14:paraId="72AA793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（五）质量要求：合格。</w:t>
      </w:r>
    </w:p>
    <w:p w14:paraId="3E390C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（六）</w:t>
      </w:r>
      <w:r>
        <w:rPr>
          <w:rFonts w:hint="eastAsia" w:ascii="宋体" w:hAnsi="宋体" w:eastAsia="宋体" w:cs="Times New Roman"/>
          <w:color w:val="auto"/>
          <w:sz w:val="24"/>
          <w:highlight w:val="none"/>
          <w:lang w:eastAsia="zh-CN"/>
        </w:rPr>
        <w:t>缺陷责任期</w:t>
      </w:r>
      <w:r>
        <w:rPr>
          <w:rFonts w:hint="eastAsia" w:ascii="宋体" w:hAnsi="宋体" w:eastAsia="宋体" w:cs="Times New Roman"/>
          <w:color w:val="auto"/>
          <w:sz w:val="24"/>
          <w:highlight w:val="none"/>
        </w:rPr>
        <w:t>：</w:t>
      </w:r>
      <w:r>
        <w:rPr>
          <w:rFonts w:hint="eastAsia" w:ascii="宋体" w:hAnsi="宋体" w:eastAsia="宋体" w:cs="Times New Roman"/>
          <w:color w:val="auto"/>
          <w:sz w:val="24"/>
          <w:highlight w:val="none"/>
          <w:lang w:eastAsia="zh-CN"/>
        </w:rPr>
        <w:t>两</w:t>
      </w:r>
      <w:r>
        <w:rPr>
          <w:rFonts w:hint="eastAsia" w:ascii="宋体" w:hAnsi="宋体" w:eastAsia="宋体" w:cs="Times New Roman"/>
          <w:color w:val="auto"/>
          <w:sz w:val="24"/>
          <w:highlight w:val="none"/>
        </w:rPr>
        <w:t>年。</w:t>
      </w:r>
    </w:p>
    <w:p w14:paraId="4DCACF3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（七）其他要求：</w:t>
      </w:r>
    </w:p>
    <w:p w14:paraId="0304BD9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1、成交</w:t>
      </w:r>
      <w:r>
        <w:rPr>
          <w:rFonts w:hint="eastAsia" w:ascii="宋体" w:hAnsi="宋体" w:eastAsia="宋体" w:cs="宋体"/>
          <w:b/>
          <w:bCs/>
          <w:color w:val="auto"/>
          <w:sz w:val="24"/>
          <w:szCs w:val="24"/>
          <w:highlight w:val="none"/>
          <w:lang w:eastAsia="zh-CN"/>
        </w:rPr>
        <w:t>供应商应保证用于本项目的所有材料、设备均是设备（材料）生产厂商原造的，全新、未使用过的正规产品，并符合本项目采购文件规定的数量、质量、性能和规格的要求及国家、行业等规范标准。</w:t>
      </w:r>
      <w:r>
        <w:rPr>
          <w:rFonts w:hint="eastAsia" w:ascii="宋体" w:hAnsi="宋体" w:eastAsia="宋体" w:cs="宋体"/>
          <w:b/>
          <w:bCs/>
          <w:color w:val="auto"/>
          <w:sz w:val="24"/>
          <w:szCs w:val="24"/>
          <w:highlight w:val="none"/>
          <w:lang w:val="en-US" w:eastAsia="zh-CN"/>
        </w:rPr>
        <w:t>成交</w:t>
      </w:r>
      <w:r>
        <w:rPr>
          <w:rFonts w:hint="eastAsia" w:ascii="宋体" w:hAnsi="宋体" w:eastAsia="宋体" w:cs="宋体"/>
          <w:b/>
          <w:bCs/>
          <w:color w:val="auto"/>
          <w:sz w:val="24"/>
          <w:szCs w:val="24"/>
          <w:highlight w:val="none"/>
          <w:lang w:eastAsia="zh-CN"/>
        </w:rPr>
        <w:t>供应商应对由于施工工艺或材料、设备的缺陷而发生的任何不足或故障负责，一切费用和责任由成交供应商承担。</w:t>
      </w:r>
    </w:p>
    <w:p w14:paraId="171D5E0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2、成交供应商应做好安全施工各类措施，</w:t>
      </w:r>
      <w:r>
        <w:rPr>
          <w:rFonts w:hint="eastAsia" w:ascii="宋体" w:hAnsi="宋体" w:eastAsia="宋体" w:cs="宋体"/>
          <w:b/>
          <w:bCs/>
          <w:color w:val="auto"/>
          <w:sz w:val="24"/>
          <w:szCs w:val="24"/>
          <w:highlight w:val="none"/>
        </w:rPr>
        <w:t>确保施工过程的安全</w:t>
      </w:r>
      <w:r>
        <w:rPr>
          <w:rFonts w:hint="eastAsia" w:ascii="宋体" w:hAnsi="宋体" w:eastAsia="宋体" w:cs="宋体"/>
          <w:b/>
          <w:bCs/>
          <w:color w:val="auto"/>
          <w:sz w:val="24"/>
          <w:szCs w:val="24"/>
          <w:highlight w:val="none"/>
          <w:lang w:eastAsia="zh-CN"/>
        </w:rPr>
        <w:t>，施工期间发生的一切安全事故，相关责任和损失由成交供应商自负，与采购人无关。</w:t>
      </w:r>
    </w:p>
    <w:p w14:paraId="7D8FF3C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3、因本项目需要进户施工，成交供应商应做好文明施工各类措施，确保社区居民的正常生活和私人财产（物品）不受影响或损失，施工期间如对社区居民私人财产（物品）损坏，成交供应商应照价赔偿。</w:t>
      </w:r>
    </w:p>
    <w:p w14:paraId="61EF431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4、进户施工期间，如有需要，采购人可视情况予以协助协调。</w:t>
      </w:r>
    </w:p>
    <w:p w14:paraId="4B527054">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二、工程量清单及采购预算（控制价）（</w:t>
      </w:r>
      <w:r>
        <w:rPr>
          <w:rFonts w:hint="eastAsia" w:ascii="宋体" w:hAnsi="宋体" w:cs="宋体"/>
          <w:b/>
          <w:color w:val="auto"/>
          <w:sz w:val="24"/>
          <w:szCs w:val="24"/>
          <w:lang w:eastAsia="zh-CN"/>
        </w:rPr>
        <w:t>另附</w:t>
      </w:r>
      <w:r>
        <w:rPr>
          <w:rFonts w:hint="eastAsia" w:ascii="宋体" w:hAnsi="宋体" w:eastAsia="宋体" w:cs="宋体"/>
          <w:b/>
          <w:color w:val="auto"/>
          <w:sz w:val="24"/>
          <w:szCs w:val="24"/>
        </w:rPr>
        <w:t>）</w:t>
      </w:r>
    </w:p>
    <w:p w14:paraId="0309B473">
      <w:pPr>
        <w:widowControl/>
        <w:jc w:val="center"/>
        <w:outlineLvl w:val="0"/>
        <w:rPr>
          <w:rFonts w:ascii="宋体" w:hAnsi="宋体"/>
          <w:color w:val="auto"/>
          <w:sz w:val="32"/>
          <w:szCs w:val="32"/>
        </w:rPr>
      </w:pPr>
      <w:r>
        <w:rPr>
          <w:rFonts w:hint="eastAsia" w:ascii="宋体" w:hAnsi="宋体"/>
          <w:color w:val="auto"/>
          <w:sz w:val="32"/>
          <w:szCs w:val="32"/>
        </w:rPr>
        <w:br w:type="page"/>
      </w:r>
      <w:bookmarkStart w:id="17" w:name="_Toc16799"/>
      <w:bookmarkStart w:id="18" w:name="_Toc16480"/>
      <w:r>
        <w:rPr>
          <w:rStyle w:val="55"/>
          <w:rFonts w:hint="eastAsia" w:ascii="宋体" w:hAnsi="宋体" w:eastAsia="宋体" w:cs="宋体"/>
          <w:color w:val="auto"/>
        </w:rPr>
        <w:t>第五部分  合同授予</w:t>
      </w:r>
      <w:bookmarkEnd w:id="17"/>
      <w:bookmarkEnd w:id="18"/>
    </w:p>
    <w:p w14:paraId="4D3604F4">
      <w:pPr>
        <w:widowControl/>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一、签订合同：</w:t>
      </w:r>
    </w:p>
    <w:p w14:paraId="6D9BC763">
      <w:pPr>
        <w:widowControl/>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采购人和成交供应商按成交通知书约定签订合同，合同签订的内容不能超出磋商文件、成交供应商的响应文件、</w:t>
      </w:r>
      <w:r>
        <w:rPr>
          <w:rFonts w:hint="eastAsia" w:ascii="宋体" w:hAnsi="宋体"/>
          <w:bCs/>
          <w:color w:val="auto"/>
          <w:sz w:val="24"/>
        </w:rPr>
        <w:t>磋商</w:t>
      </w:r>
      <w:r>
        <w:rPr>
          <w:rFonts w:hint="eastAsia" w:ascii="宋体" w:hAnsi="宋体" w:cs="宋体"/>
          <w:color w:val="auto"/>
          <w:kern w:val="0"/>
          <w:sz w:val="24"/>
        </w:rPr>
        <w:t>过程中的补充承诺、最终书面报价等的实质性内容。因供应商原因不能与采购人签订合同的，视为供应商放弃成交资格。</w:t>
      </w:r>
    </w:p>
    <w:p w14:paraId="788646A1">
      <w:pPr>
        <w:pStyle w:val="3"/>
        <w:keepNext w:val="0"/>
        <w:keepLines w:val="0"/>
        <w:spacing w:before="0" w:after="0" w:line="540" w:lineRule="exact"/>
        <w:jc w:val="center"/>
        <w:outlineLvl w:val="9"/>
        <w:rPr>
          <w:rFonts w:ascii="宋体" w:hAnsi="宋体" w:eastAsia="宋体" w:cs="宋体"/>
          <w:color w:val="auto"/>
          <w:sz w:val="24"/>
          <w:szCs w:val="24"/>
        </w:rPr>
      </w:pPr>
      <w:bookmarkStart w:id="19" w:name="_Toc5213"/>
      <w:bookmarkStart w:id="20" w:name="_Toc457668115"/>
      <w:bookmarkStart w:id="21" w:name="_Toc17168"/>
    </w:p>
    <w:p w14:paraId="4EAA12A8">
      <w:pPr>
        <w:pStyle w:val="3"/>
        <w:keepNext w:val="0"/>
        <w:keepLines w:val="0"/>
        <w:spacing w:before="0" w:after="0" w:line="540" w:lineRule="exact"/>
        <w:jc w:val="center"/>
        <w:outlineLvl w:val="9"/>
        <w:rPr>
          <w:rFonts w:ascii="宋体" w:hAnsi="宋体" w:eastAsia="宋体" w:cs="宋体"/>
          <w:color w:val="auto"/>
          <w:sz w:val="24"/>
          <w:szCs w:val="24"/>
        </w:rPr>
      </w:pPr>
    </w:p>
    <w:p w14:paraId="4AC21DEE">
      <w:pPr>
        <w:pStyle w:val="3"/>
        <w:keepNext w:val="0"/>
        <w:keepLines w:val="0"/>
        <w:spacing w:before="0" w:after="0" w:line="540" w:lineRule="exact"/>
        <w:jc w:val="center"/>
        <w:outlineLvl w:val="9"/>
        <w:rPr>
          <w:rFonts w:ascii="宋体" w:hAnsi="宋体" w:eastAsia="宋体" w:cs="宋体"/>
          <w:color w:val="auto"/>
          <w:sz w:val="24"/>
          <w:szCs w:val="24"/>
        </w:rPr>
      </w:pPr>
    </w:p>
    <w:p w14:paraId="76248F51">
      <w:pPr>
        <w:pStyle w:val="3"/>
        <w:keepNext w:val="0"/>
        <w:keepLines w:val="0"/>
        <w:spacing w:before="0" w:after="0" w:line="540" w:lineRule="exact"/>
        <w:jc w:val="center"/>
        <w:outlineLvl w:val="9"/>
        <w:rPr>
          <w:rFonts w:ascii="宋体" w:hAnsi="宋体" w:eastAsia="宋体" w:cs="宋体"/>
          <w:color w:val="auto"/>
          <w:sz w:val="24"/>
          <w:szCs w:val="24"/>
        </w:rPr>
      </w:pPr>
    </w:p>
    <w:p w14:paraId="3A38D2BD">
      <w:pPr>
        <w:pStyle w:val="3"/>
        <w:keepNext w:val="0"/>
        <w:keepLines w:val="0"/>
        <w:spacing w:before="0" w:after="0" w:line="540" w:lineRule="exact"/>
        <w:jc w:val="center"/>
        <w:outlineLvl w:val="9"/>
        <w:rPr>
          <w:rFonts w:ascii="宋体" w:hAnsi="宋体" w:eastAsia="宋体" w:cs="宋体"/>
          <w:color w:val="auto"/>
          <w:sz w:val="24"/>
          <w:szCs w:val="24"/>
        </w:rPr>
      </w:pPr>
    </w:p>
    <w:p w14:paraId="2EEAE520">
      <w:pPr>
        <w:pStyle w:val="3"/>
        <w:keepNext w:val="0"/>
        <w:keepLines w:val="0"/>
        <w:spacing w:before="0" w:after="0" w:line="540" w:lineRule="exact"/>
        <w:jc w:val="center"/>
        <w:outlineLvl w:val="9"/>
        <w:rPr>
          <w:rFonts w:ascii="宋体" w:hAnsi="宋体" w:eastAsia="宋体" w:cs="宋体"/>
          <w:color w:val="auto"/>
          <w:sz w:val="24"/>
          <w:szCs w:val="24"/>
        </w:rPr>
      </w:pPr>
    </w:p>
    <w:p w14:paraId="55A0CB6C">
      <w:pPr>
        <w:pStyle w:val="3"/>
        <w:keepNext w:val="0"/>
        <w:keepLines w:val="0"/>
        <w:spacing w:before="0" w:after="0" w:line="540" w:lineRule="exact"/>
        <w:jc w:val="center"/>
        <w:outlineLvl w:val="9"/>
        <w:rPr>
          <w:rFonts w:ascii="宋体" w:hAnsi="宋体" w:eastAsia="宋体" w:cs="宋体"/>
          <w:color w:val="auto"/>
          <w:sz w:val="24"/>
          <w:szCs w:val="24"/>
        </w:rPr>
      </w:pPr>
    </w:p>
    <w:p w14:paraId="51FB7FE3">
      <w:pPr>
        <w:pStyle w:val="3"/>
        <w:keepNext w:val="0"/>
        <w:keepLines w:val="0"/>
        <w:spacing w:before="0" w:after="0" w:line="540" w:lineRule="exact"/>
        <w:jc w:val="both"/>
        <w:outlineLvl w:val="9"/>
        <w:rPr>
          <w:rFonts w:hint="eastAsia" w:ascii="宋体" w:hAnsi="宋体" w:eastAsia="宋体" w:cs="宋体"/>
          <w:color w:val="auto"/>
          <w:sz w:val="24"/>
          <w:szCs w:val="24"/>
          <w:lang w:eastAsia="zh-CN"/>
        </w:rPr>
      </w:pPr>
    </w:p>
    <w:p w14:paraId="5E384F91">
      <w:pPr>
        <w:pStyle w:val="3"/>
        <w:keepNext w:val="0"/>
        <w:keepLines w:val="0"/>
        <w:spacing w:before="0" w:after="0" w:line="540" w:lineRule="exact"/>
        <w:jc w:val="center"/>
        <w:outlineLvl w:val="9"/>
        <w:rPr>
          <w:rFonts w:ascii="宋体" w:hAnsi="宋体" w:eastAsia="宋体" w:cs="宋体"/>
          <w:color w:val="auto"/>
          <w:sz w:val="24"/>
          <w:szCs w:val="24"/>
        </w:rPr>
      </w:pPr>
    </w:p>
    <w:p w14:paraId="31BD82FB">
      <w:pPr>
        <w:pStyle w:val="3"/>
        <w:keepNext w:val="0"/>
        <w:keepLines w:val="0"/>
        <w:spacing w:before="0" w:after="0" w:line="540" w:lineRule="exact"/>
        <w:jc w:val="center"/>
        <w:outlineLvl w:val="9"/>
        <w:rPr>
          <w:rFonts w:ascii="宋体" w:hAnsi="宋体" w:eastAsia="宋体" w:cs="宋体"/>
          <w:color w:val="auto"/>
          <w:sz w:val="24"/>
          <w:szCs w:val="24"/>
        </w:rPr>
      </w:pPr>
    </w:p>
    <w:p w14:paraId="53763F25">
      <w:pPr>
        <w:pStyle w:val="3"/>
        <w:keepNext w:val="0"/>
        <w:keepLines w:val="0"/>
        <w:spacing w:before="0" w:after="0" w:line="540" w:lineRule="exact"/>
        <w:jc w:val="center"/>
        <w:outlineLvl w:val="9"/>
        <w:rPr>
          <w:rFonts w:ascii="宋体" w:hAnsi="宋体" w:eastAsia="宋体" w:cs="宋体"/>
          <w:color w:val="auto"/>
          <w:sz w:val="24"/>
          <w:szCs w:val="24"/>
        </w:rPr>
      </w:pPr>
    </w:p>
    <w:p w14:paraId="3571DAB8">
      <w:pPr>
        <w:pStyle w:val="3"/>
        <w:keepNext w:val="0"/>
        <w:keepLines w:val="0"/>
        <w:spacing w:before="0" w:after="0" w:line="540" w:lineRule="exact"/>
        <w:jc w:val="center"/>
        <w:outlineLvl w:val="9"/>
        <w:rPr>
          <w:rFonts w:ascii="宋体" w:hAnsi="宋体" w:eastAsia="宋体" w:cs="宋体"/>
          <w:color w:val="auto"/>
          <w:sz w:val="24"/>
          <w:szCs w:val="24"/>
        </w:rPr>
      </w:pPr>
    </w:p>
    <w:p w14:paraId="1FBAFCE8">
      <w:pPr>
        <w:pStyle w:val="3"/>
        <w:keepNext w:val="0"/>
        <w:keepLines w:val="0"/>
        <w:spacing w:before="0" w:after="0" w:line="540" w:lineRule="exact"/>
        <w:jc w:val="center"/>
        <w:outlineLvl w:val="9"/>
        <w:rPr>
          <w:rFonts w:ascii="宋体" w:hAnsi="宋体" w:eastAsia="宋体" w:cs="宋体"/>
          <w:color w:val="auto"/>
          <w:sz w:val="24"/>
          <w:szCs w:val="24"/>
        </w:rPr>
      </w:pPr>
    </w:p>
    <w:p w14:paraId="153280BE">
      <w:pPr>
        <w:pStyle w:val="3"/>
        <w:keepNext w:val="0"/>
        <w:keepLines w:val="0"/>
        <w:spacing w:before="0" w:after="0" w:line="540" w:lineRule="exact"/>
        <w:jc w:val="center"/>
        <w:outlineLvl w:val="9"/>
        <w:rPr>
          <w:rFonts w:ascii="宋体" w:hAnsi="宋体" w:eastAsia="宋体" w:cs="宋体"/>
          <w:color w:val="auto"/>
          <w:sz w:val="24"/>
          <w:szCs w:val="24"/>
        </w:rPr>
      </w:pPr>
    </w:p>
    <w:p w14:paraId="0E8EAD3C">
      <w:pPr>
        <w:pStyle w:val="3"/>
        <w:keepNext w:val="0"/>
        <w:keepLines w:val="0"/>
        <w:spacing w:before="0" w:after="0" w:line="540" w:lineRule="exact"/>
        <w:jc w:val="center"/>
        <w:outlineLvl w:val="9"/>
        <w:rPr>
          <w:rFonts w:ascii="宋体" w:hAnsi="宋体" w:eastAsia="宋体" w:cs="宋体"/>
          <w:color w:val="auto"/>
          <w:sz w:val="24"/>
          <w:szCs w:val="24"/>
        </w:rPr>
      </w:pPr>
    </w:p>
    <w:p w14:paraId="3C82D4CA">
      <w:pPr>
        <w:pStyle w:val="3"/>
        <w:keepNext w:val="0"/>
        <w:keepLines w:val="0"/>
        <w:spacing w:before="0" w:after="0" w:line="540" w:lineRule="exact"/>
        <w:jc w:val="center"/>
        <w:outlineLvl w:val="9"/>
        <w:rPr>
          <w:rFonts w:ascii="宋体" w:hAnsi="宋体" w:eastAsia="宋体" w:cs="宋体"/>
          <w:color w:val="auto"/>
          <w:sz w:val="24"/>
          <w:szCs w:val="24"/>
        </w:rPr>
      </w:pPr>
    </w:p>
    <w:p w14:paraId="4F38D54D">
      <w:pPr>
        <w:pStyle w:val="3"/>
        <w:keepNext w:val="0"/>
        <w:keepLines w:val="0"/>
        <w:spacing w:before="0" w:after="0" w:line="540" w:lineRule="exact"/>
        <w:jc w:val="center"/>
        <w:outlineLvl w:val="9"/>
        <w:rPr>
          <w:rFonts w:ascii="宋体" w:hAnsi="宋体" w:eastAsia="宋体" w:cs="宋体"/>
          <w:color w:val="auto"/>
          <w:sz w:val="24"/>
          <w:szCs w:val="24"/>
        </w:rPr>
      </w:pPr>
    </w:p>
    <w:p w14:paraId="292E35BC">
      <w:pPr>
        <w:pStyle w:val="3"/>
        <w:keepNext w:val="0"/>
        <w:keepLines w:val="0"/>
        <w:spacing w:before="0" w:after="0" w:line="540" w:lineRule="exact"/>
        <w:jc w:val="center"/>
        <w:outlineLvl w:val="9"/>
        <w:rPr>
          <w:rFonts w:ascii="宋体" w:hAnsi="宋体" w:eastAsia="宋体" w:cs="宋体"/>
          <w:color w:val="auto"/>
          <w:sz w:val="24"/>
          <w:szCs w:val="24"/>
        </w:rPr>
      </w:pPr>
    </w:p>
    <w:p w14:paraId="49B69432">
      <w:pPr>
        <w:pStyle w:val="3"/>
        <w:keepNext w:val="0"/>
        <w:keepLines w:val="0"/>
        <w:spacing w:before="0" w:after="0" w:line="540" w:lineRule="exact"/>
        <w:jc w:val="center"/>
        <w:outlineLvl w:val="9"/>
        <w:rPr>
          <w:rFonts w:ascii="宋体" w:hAnsi="宋体" w:eastAsia="宋体" w:cs="宋体"/>
          <w:color w:val="auto"/>
          <w:sz w:val="24"/>
          <w:szCs w:val="24"/>
        </w:rPr>
      </w:pPr>
    </w:p>
    <w:p w14:paraId="653B04AC">
      <w:pPr>
        <w:pStyle w:val="3"/>
        <w:keepNext w:val="0"/>
        <w:keepLines w:val="0"/>
        <w:spacing w:before="0" w:after="0" w:line="540" w:lineRule="exact"/>
        <w:jc w:val="center"/>
        <w:outlineLvl w:val="9"/>
        <w:rPr>
          <w:rFonts w:ascii="宋体" w:hAnsi="宋体" w:eastAsia="宋体" w:cs="宋体"/>
          <w:color w:val="auto"/>
          <w:sz w:val="24"/>
          <w:szCs w:val="24"/>
        </w:rPr>
      </w:pPr>
    </w:p>
    <w:bookmarkEnd w:id="19"/>
    <w:bookmarkEnd w:id="20"/>
    <w:bookmarkEnd w:id="21"/>
    <w:p w14:paraId="6EFBA068">
      <w:pPr>
        <w:pStyle w:val="4"/>
        <w:spacing w:line="520" w:lineRule="exact"/>
        <w:ind w:firstLine="482" w:firstLineChars="200"/>
        <w:jc w:val="center"/>
        <w:outlineLvl w:val="0"/>
        <w:rPr>
          <w:rFonts w:hint="eastAsia" w:ascii="宋体" w:hAnsi="宋体" w:eastAsia="宋体" w:cs="宋体"/>
          <w:b w:val="0"/>
          <w:color w:val="auto"/>
          <w:sz w:val="24"/>
          <w:szCs w:val="24"/>
        </w:rPr>
      </w:pPr>
      <w:bookmarkStart w:id="22" w:name="_Toc4535"/>
      <w:r>
        <w:rPr>
          <w:rFonts w:hint="eastAsia" w:ascii="宋体" w:hAnsi="宋体" w:eastAsia="宋体" w:cs="宋体"/>
          <w:color w:val="auto"/>
          <w:sz w:val="24"/>
          <w:szCs w:val="24"/>
        </w:rPr>
        <w:t>第一部分 合同协议书</w:t>
      </w:r>
      <w:bookmarkEnd w:id="22"/>
    </w:p>
    <w:p w14:paraId="60C8F799">
      <w:pPr>
        <w:spacing w:line="520" w:lineRule="exact"/>
        <w:rPr>
          <w:rFonts w:hint="default" w:ascii="宋体" w:hAnsi="宋体" w:eastAsia="宋体" w:cs="宋体"/>
          <w:b/>
          <w:color w:val="auto"/>
          <w:sz w:val="24"/>
          <w:szCs w:val="24"/>
          <w:lang w:val="en-US" w:eastAsia="zh-CN"/>
        </w:rPr>
      </w:pPr>
      <w:r>
        <w:rPr>
          <w:rFonts w:hint="eastAsia" w:ascii="宋体" w:hAnsi="宋体" w:eastAsia="宋体" w:cs="宋体"/>
          <w:b/>
          <w:color w:val="auto"/>
          <w:sz w:val="24"/>
          <w:szCs w:val="24"/>
        </w:rPr>
        <w:t>发包人（全称）：</w:t>
      </w:r>
      <w:r>
        <w:rPr>
          <w:rFonts w:hint="eastAsia" w:ascii="宋体" w:hAnsi="宋体" w:eastAsia="宋体" w:cs="宋体"/>
          <w:b/>
          <w:color w:val="auto"/>
          <w:sz w:val="24"/>
          <w:szCs w:val="24"/>
          <w:u w:val="single"/>
          <w:lang w:val="en-US" w:eastAsia="zh-CN"/>
        </w:rPr>
        <w:t xml:space="preserve">   </w:t>
      </w:r>
      <w:r>
        <w:rPr>
          <w:rFonts w:hint="eastAsia" w:ascii="宋体" w:hAnsi="宋体" w:cs="宋体"/>
          <w:b/>
          <w:color w:val="auto"/>
          <w:sz w:val="24"/>
          <w:szCs w:val="24"/>
          <w:u w:val="single"/>
          <w:lang w:eastAsia="zh-CN"/>
        </w:rPr>
        <w:t>邹城市千泉街道郭庄社区居民委员会</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p>
    <w:p w14:paraId="1F37AE42">
      <w:pPr>
        <w:spacing w:line="520" w:lineRule="exact"/>
        <w:rPr>
          <w:rFonts w:hint="eastAsia" w:ascii="宋体" w:hAnsi="宋体" w:eastAsia="宋体" w:cs="宋体"/>
          <w:b/>
          <w:color w:val="auto"/>
          <w:sz w:val="24"/>
          <w:szCs w:val="24"/>
          <w:u w:val="single"/>
        </w:rPr>
      </w:pPr>
      <w:r>
        <w:rPr>
          <w:rFonts w:hint="eastAsia" w:ascii="宋体" w:hAnsi="宋体" w:eastAsia="宋体" w:cs="宋体"/>
          <w:b/>
          <w:color w:val="auto"/>
          <w:sz w:val="24"/>
          <w:szCs w:val="24"/>
        </w:rPr>
        <w:t>承包人（全称）：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p>
    <w:p w14:paraId="6F3E5025">
      <w:pPr>
        <w:spacing w:line="520" w:lineRule="exact"/>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根据《中华人民共和国</w:t>
      </w:r>
      <w:r>
        <w:rPr>
          <w:rFonts w:hint="eastAsia" w:ascii="宋体" w:hAnsi="宋体" w:eastAsia="宋体" w:cs="宋体"/>
          <w:color w:val="auto"/>
          <w:sz w:val="24"/>
          <w:szCs w:val="24"/>
          <w:lang w:eastAsia="zh-CN"/>
        </w:rPr>
        <w:t>民法典</w:t>
      </w:r>
      <w:r>
        <w:rPr>
          <w:rFonts w:hint="eastAsia" w:ascii="宋体" w:hAnsi="宋体" w:eastAsia="宋体" w:cs="宋体"/>
          <w:color w:val="auto"/>
          <w:sz w:val="24"/>
          <w:szCs w:val="24"/>
        </w:rPr>
        <w:t>》、《中华人民共和国建筑法》及有关法律规定，遵循平等、自愿、公平和诚实信用的原则，双方就</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及有关事项协商一致，共同达成如下协议：</w:t>
      </w:r>
    </w:p>
    <w:p w14:paraId="413B1445">
      <w:pPr>
        <w:spacing w:line="520" w:lineRule="exact"/>
        <w:rPr>
          <w:rFonts w:hint="eastAsia" w:ascii="宋体" w:hAnsi="宋体" w:eastAsia="宋体" w:cs="宋体"/>
          <w:color w:val="auto"/>
          <w:sz w:val="24"/>
          <w:szCs w:val="24"/>
        </w:rPr>
      </w:pPr>
      <w:bookmarkStart w:id="23" w:name="_Toc351203481"/>
      <w:r>
        <w:rPr>
          <w:rFonts w:hint="eastAsia" w:ascii="宋体" w:hAnsi="宋体" w:eastAsia="宋体" w:cs="宋体"/>
          <w:b/>
          <w:color w:val="auto"/>
          <w:sz w:val="24"/>
          <w:szCs w:val="24"/>
        </w:rPr>
        <w:t>一、工程概况</w:t>
      </w:r>
      <w:bookmarkEnd w:id="23"/>
    </w:p>
    <w:p w14:paraId="7244EF94">
      <w:pPr>
        <w:spacing w:line="520" w:lineRule="exact"/>
        <w:ind w:firstLine="480" w:firstLineChars="200"/>
        <w:rPr>
          <w:rFonts w:hint="eastAsia" w:ascii="宋体" w:hAnsi="宋体" w:eastAsia="宋体" w:cs="宋体"/>
          <w:color w:val="auto"/>
          <w:sz w:val="24"/>
          <w:szCs w:val="24"/>
          <w:u w:val="single"/>
        </w:rPr>
      </w:pPr>
      <w:r>
        <w:rPr>
          <w:rFonts w:hint="eastAsia" w:ascii="宋体" w:hAnsi="宋体" w:eastAsia="宋体" w:cs="宋体"/>
          <w:bCs/>
          <w:color w:val="auto"/>
          <w:sz w:val="24"/>
          <w:szCs w:val="24"/>
        </w:rPr>
        <w:t>1.工程名称</w:t>
      </w:r>
      <w:r>
        <w:rPr>
          <w:rFonts w:hint="eastAsia" w:ascii="宋体" w:hAnsi="宋体" w:eastAsia="宋体" w:cs="宋体"/>
          <w:color w:val="auto"/>
          <w:sz w:val="24"/>
          <w:szCs w:val="24"/>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w:t>
      </w:r>
    </w:p>
    <w:p w14:paraId="770979A5">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2.工程地点：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w:t>
      </w:r>
    </w:p>
    <w:p w14:paraId="3ECFF050">
      <w:pPr>
        <w:spacing w:line="520" w:lineRule="exact"/>
        <w:ind w:firstLine="480" w:firstLineChars="200"/>
        <w:rPr>
          <w:rFonts w:hint="eastAsia" w:ascii="宋体" w:hAnsi="宋体" w:eastAsia="宋体" w:cs="宋体"/>
          <w:bCs/>
          <w:color w:val="auto"/>
          <w:kern w:val="0"/>
          <w:sz w:val="24"/>
          <w:szCs w:val="24"/>
          <w:u w:val="single"/>
          <w:lang w:val="en-US"/>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rPr>
        <w:t>工程内容：</w:t>
      </w:r>
      <w:r>
        <w:rPr>
          <w:rFonts w:hint="eastAsia" w:ascii="宋体" w:hAnsi="宋体" w:eastAsia="宋体" w:cs="宋体"/>
          <w:color w:val="auto"/>
          <w:kern w:val="0"/>
          <w:sz w:val="24"/>
          <w:szCs w:val="24"/>
          <w:u w:val="single"/>
          <w:lang w:val="en-US" w:eastAsia="zh-CN"/>
        </w:rPr>
        <w:t xml:space="preserve">                                                   </w:t>
      </w:r>
    </w:p>
    <w:p w14:paraId="7BE57F23">
      <w:pPr>
        <w:spacing w:line="520" w:lineRule="exact"/>
        <w:ind w:firstLine="480" w:firstLineChars="200"/>
        <w:rPr>
          <w:rFonts w:hint="eastAsia" w:ascii="宋体" w:hAnsi="宋体" w:eastAsia="宋体" w:cs="宋体"/>
          <w:bCs/>
          <w:color w:val="auto"/>
          <w:sz w:val="24"/>
          <w:szCs w:val="24"/>
        </w:rPr>
      </w:pP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rPr>
        <w:t>.</w:t>
      </w:r>
      <w:r>
        <w:rPr>
          <w:rFonts w:hint="eastAsia" w:ascii="宋体" w:hAnsi="宋体" w:eastAsia="宋体" w:cs="宋体"/>
          <w:bCs/>
          <w:color w:val="auto"/>
          <w:sz w:val="24"/>
          <w:szCs w:val="24"/>
        </w:rPr>
        <w:t>工程承包范围：</w:t>
      </w:r>
    </w:p>
    <w:p w14:paraId="4243CDDF">
      <w:pPr>
        <w:keepNext/>
        <w:keepLines/>
        <w:spacing w:line="520" w:lineRule="exact"/>
        <w:ind w:firstLine="240" w:firstLineChars="100"/>
        <w:outlineLvl w:val="3"/>
        <w:rPr>
          <w:rFonts w:hint="eastAsia" w:ascii="宋体" w:hAnsi="宋体" w:eastAsia="宋体" w:cs="宋体"/>
          <w:b/>
          <w:color w:val="auto"/>
          <w:kern w:val="0"/>
          <w:sz w:val="24"/>
          <w:szCs w:val="24"/>
        </w:rPr>
      </w:pPr>
      <w:bookmarkStart w:id="24" w:name="_Toc351203482"/>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rPr>
        <w:t>。</w:t>
      </w:r>
    </w:p>
    <w:p w14:paraId="071E050A">
      <w:pPr>
        <w:keepNext/>
        <w:keepLines/>
        <w:spacing w:line="520" w:lineRule="exact"/>
        <w:ind w:firstLine="241" w:firstLineChars="100"/>
        <w:outlineLvl w:val="3"/>
        <w:rPr>
          <w:rFonts w:hint="eastAsia" w:ascii="宋体" w:hAnsi="宋体" w:eastAsia="宋体" w:cs="宋体"/>
          <w:b/>
          <w:bCs/>
          <w:color w:val="auto"/>
          <w:sz w:val="24"/>
          <w:szCs w:val="24"/>
        </w:rPr>
      </w:pPr>
      <w:r>
        <w:rPr>
          <w:rFonts w:hint="eastAsia" w:ascii="宋体" w:hAnsi="宋体" w:eastAsia="宋体" w:cs="宋体"/>
          <w:b/>
          <w:bCs/>
          <w:color w:val="auto"/>
          <w:sz w:val="24"/>
          <w:szCs w:val="24"/>
        </w:rPr>
        <w:t>二、合同工期</w:t>
      </w:r>
      <w:bookmarkEnd w:id="24"/>
    </w:p>
    <w:p w14:paraId="631417DC">
      <w:pPr>
        <w:spacing w:line="5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实际开工日期以开工报告确定的日期为准。</w:t>
      </w:r>
    </w:p>
    <w:p w14:paraId="36678DA0">
      <w:pPr>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工期总日历天数：从实际开工之日起算</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w:t>
      </w:r>
    </w:p>
    <w:p w14:paraId="3056D18B">
      <w:pPr>
        <w:spacing w:line="5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工期总日历天数与根据前述计划开工日期计算的工期天数不一致的，以工期总日历天数为准。</w:t>
      </w:r>
    </w:p>
    <w:p w14:paraId="26491041">
      <w:pPr>
        <w:keepNext/>
        <w:keepLines/>
        <w:spacing w:line="520" w:lineRule="exact"/>
        <w:outlineLvl w:val="3"/>
        <w:rPr>
          <w:rFonts w:hint="eastAsia" w:ascii="宋体" w:hAnsi="宋体" w:eastAsia="宋体" w:cs="宋体"/>
          <w:b/>
          <w:color w:val="auto"/>
          <w:sz w:val="24"/>
          <w:szCs w:val="24"/>
        </w:rPr>
      </w:pPr>
      <w:bookmarkStart w:id="25" w:name="_Toc351203483"/>
      <w:r>
        <w:rPr>
          <w:rFonts w:hint="eastAsia" w:ascii="宋体" w:hAnsi="宋体" w:eastAsia="宋体" w:cs="宋体"/>
          <w:b/>
          <w:bCs/>
          <w:color w:val="auto"/>
          <w:sz w:val="24"/>
          <w:szCs w:val="24"/>
        </w:rPr>
        <w:t>三、质量标准</w:t>
      </w:r>
      <w:bookmarkEnd w:id="25"/>
    </w:p>
    <w:p w14:paraId="33F22350">
      <w:pPr>
        <w:spacing w:line="520" w:lineRule="exact"/>
        <w:ind w:firstLine="480" w:firstLineChars="200"/>
        <w:rPr>
          <w:rFonts w:hint="eastAsia" w:ascii="宋体" w:hAnsi="宋体" w:eastAsia="宋体" w:cs="宋体"/>
          <w:b/>
          <w:color w:val="auto"/>
          <w:sz w:val="24"/>
          <w:szCs w:val="24"/>
        </w:rPr>
      </w:pPr>
      <w:r>
        <w:rPr>
          <w:rFonts w:hint="eastAsia" w:ascii="宋体" w:hAnsi="宋体" w:eastAsia="宋体" w:cs="宋体"/>
          <w:color w:val="auto"/>
          <w:sz w:val="24"/>
          <w:szCs w:val="24"/>
        </w:rPr>
        <w:t>工程质量达到国家验收标准</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cs="宋体"/>
          <w:color w:val="auto"/>
          <w:sz w:val="24"/>
          <w:szCs w:val="24"/>
          <w:u w:val="single"/>
          <w:lang w:val="en-US"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的标准。</w:t>
      </w:r>
      <w:bookmarkStart w:id="26" w:name="_Toc351203484"/>
    </w:p>
    <w:p w14:paraId="0F258484">
      <w:pPr>
        <w:spacing w:line="520" w:lineRule="exact"/>
        <w:rPr>
          <w:rFonts w:hint="eastAsia" w:ascii="宋体" w:hAnsi="宋体" w:eastAsia="宋体" w:cs="宋体"/>
          <w:color w:val="auto"/>
          <w:sz w:val="24"/>
          <w:szCs w:val="24"/>
        </w:rPr>
      </w:pPr>
      <w:r>
        <w:rPr>
          <w:rFonts w:hint="eastAsia" w:ascii="宋体" w:hAnsi="宋体" w:eastAsia="宋体" w:cs="宋体"/>
          <w:b/>
          <w:color w:val="auto"/>
          <w:sz w:val="24"/>
          <w:szCs w:val="24"/>
        </w:rPr>
        <w:t>四、签约合同价与合同价格形式</w:t>
      </w:r>
      <w:bookmarkEnd w:id="26"/>
      <w:r>
        <w:rPr>
          <w:rFonts w:hint="eastAsia" w:ascii="宋体" w:hAnsi="宋体" w:eastAsia="宋体" w:cs="宋体"/>
          <w:b/>
          <w:color w:val="auto"/>
          <w:sz w:val="24"/>
          <w:szCs w:val="24"/>
        </w:rPr>
        <w:tab/>
      </w:r>
    </w:p>
    <w:p w14:paraId="399BA9B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1.签约合同价为：人民币（大写）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68B6FD5">
      <w:pPr>
        <w:spacing w:line="5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2.合同价格形式：</w:t>
      </w:r>
      <w:r>
        <w:rPr>
          <w:rFonts w:hint="eastAsia" w:ascii="宋体" w:hAnsi="宋体" w:eastAsia="宋体" w:cs="宋体"/>
          <w:i w:val="0"/>
          <w:iCs w:val="0"/>
          <w:color w:val="auto"/>
          <w:sz w:val="24"/>
          <w:szCs w:val="24"/>
          <w:u w:val="single"/>
          <w:lang w:val="en-US"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20C175A6">
      <w:pPr>
        <w:keepNext/>
        <w:keepLines/>
        <w:spacing w:line="520" w:lineRule="exact"/>
        <w:outlineLvl w:val="3"/>
        <w:rPr>
          <w:rFonts w:hint="eastAsia" w:ascii="宋体" w:hAnsi="宋体" w:eastAsia="宋体" w:cs="宋体"/>
          <w:b/>
          <w:bCs/>
          <w:color w:val="auto"/>
          <w:sz w:val="24"/>
          <w:szCs w:val="24"/>
        </w:rPr>
      </w:pPr>
      <w:bookmarkStart w:id="27" w:name="_Toc351203485"/>
      <w:r>
        <w:rPr>
          <w:rFonts w:hint="eastAsia" w:ascii="宋体" w:hAnsi="宋体" w:eastAsia="宋体" w:cs="宋体"/>
          <w:b/>
          <w:bCs/>
          <w:color w:val="auto"/>
          <w:sz w:val="24"/>
          <w:szCs w:val="24"/>
        </w:rPr>
        <w:t>五、</w:t>
      </w:r>
      <w:bookmarkEnd w:id="27"/>
      <w:r>
        <w:rPr>
          <w:rFonts w:hint="eastAsia" w:ascii="宋体" w:hAnsi="宋体" w:eastAsia="宋体" w:cs="宋体"/>
          <w:b/>
          <w:bCs/>
          <w:color w:val="auto"/>
          <w:sz w:val="24"/>
          <w:szCs w:val="24"/>
        </w:rPr>
        <w:t>项目经理</w:t>
      </w:r>
    </w:p>
    <w:p w14:paraId="2D4B249D">
      <w:pPr>
        <w:spacing w:line="5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承包人项目经理：</w:t>
      </w:r>
    </w:p>
    <w:p w14:paraId="2A5AFC39">
      <w:pPr>
        <w:spacing w:line="360" w:lineRule="exact"/>
        <w:ind w:firstLine="480" w:firstLineChars="200"/>
        <w:rPr>
          <w:rFonts w:hint="eastAsia" w:ascii="宋体" w:hAnsi="宋体" w:eastAsia="宋体" w:cs="宋体"/>
          <w:color w:val="auto"/>
          <w:sz w:val="24"/>
          <w:szCs w:val="24"/>
        </w:rPr>
      </w:pPr>
      <w:bookmarkStart w:id="28" w:name="_Toc351203486"/>
      <w:r>
        <w:rPr>
          <w:rFonts w:hint="eastAsia" w:ascii="宋体" w:hAnsi="宋体" w:eastAsia="宋体" w:cs="宋体"/>
          <w:color w:val="auto"/>
          <w:sz w:val="24"/>
          <w:szCs w:val="24"/>
        </w:rPr>
        <w:t>姓名：</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身份证号：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366F4277">
      <w:pPr>
        <w:spacing w:line="360" w:lineRule="exact"/>
        <w:ind w:firstLine="480" w:firstLineChars="200"/>
        <w:rPr>
          <w:rFonts w:hint="eastAsia" w:ascii="宋体" w:hAnsi="宋体" w:eastAsia="宋体" w:cs="宋体"/>
          <w:color w:val="auto"/>
          <w:sz w:val="24"/>
          <w:szCs w:val="24"/>
        </w:rPr>
      </w:pPr>
    </w:p>
    <w:p w14:paraId="67CE3A4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建造师注册证书号：</w:t>
      </w:r>
      <w:r>
        <w:rPr>
          <w:rFonts w:hint="eastAsia" w:ascii="宋体" w:hAnsi="宋体" w:cs="宋体"/>
          <w:color w:val="auto"/>
          <w:sz w:val="24"/>
          <w:szCs w:val="24"/>
          <w:u w:val="single"/>
          <w:lang w:val="en-US" w:eastAsia="zh-CN"/>
        </w:rPr>
        <w:t xml:space="preserve">                          </w:t>
      </w:r>
      <w:r>
        <w:rPr>
          <w:rFonts w:hint="eastAsia" w:ascii="宋体" w:hAnsi="宋体" w:eastAsia="宋体" w:cs="宋体"/>
          <w:color w:val="auto"/>
          <w:sz w:val="24"/>
          <w:szCs w:val="24"/>
        </w:rPr>
        <w:t xml:space="preserve"> 。</w:t>
      </w:r>
    </w:p>
    <w:p w14:paraId="563C38FF">
      <w:pPr>
        <w:spacing w:line="520" w:lineRule="exact"/>
        <w:rPr>
          <w:rFonts w:hint="eastAsia" w:ascii="宋体" w:hAnsi="宋体" w:eastAsia="宋体" w:cs="宋体"/>
          <w:color w:val="auto"/>
          <w:sz w:val="24"/>
          <w:szCs w:val="24"/>
        </w:rPr>
      </w:pPr>
      <w:r>
        <w:rPr>
          <w:rFonts w:hint="eastAsia" w:ascii="宋体" w:hAnsi="宋体" w:eastAsia="宋体" w:cs="宋体"/>
          <w:b/>
          <w:color w:val="auto"/>
          <w:sz w:val="24"/>
          <w:szCs w:val="24"/>
        </w:rPr>
        <w:t>六、合同文件构成</w:t>
      </w:r>
      <w:bookmarkEnd w:id="28"/>
    </w:p>
    <w:p w14:paraId="7C121EB4">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本协议书与下列文件一起构成合同文件：</w:t>
      </w:r>
    </w:p>
    <w:p w14:paraId="520F6A28">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（1）成交通知书；</w:t>
      </w:r>
    </w:p>
    <w:p w14:paraId="1AFAB9E8">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 xml:space="preserve">响应函； </w:t>
      </w:r>
    </w:p>
    <w:p w14:paraId="68C72B16">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（3）专用合同条款及其附件；</w:t>
      </w:r>
    </w:p>
    <w:p w14:paraId="296E894E">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（4）通用合同条款；</w:t>
      </w:r>
    </w:p>
    <w:p w14:paraId="7B72E3BF">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（5）技术标准和要求；</w:t>
      </w:r>
    </w:p>
    <w:p w14:paraId="69E9A72D">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（6）已标价工程量清单</w:t>
      </w:r>
      <w:r>
        <w:rPr>
          <w:rFonts w:hint="eastAsia" w:ascii="宋体" w:hAnsi="宋体" w:eastAsia="宋体" w:cs="宋体"/>
          <w:color w:val="auto"/>
          <w:sz w:val="24"/>
          <w:szCs w:val="24"/>
          <w:u w:val="single"/>
        </w:rPr>
        <w:t>（按最终承诺报价与初次报价的调整比例同比例调整）</w:t>
      </w:r>
      <w:r>
        <w:rPr>
          <w:rFonts w:hint="eastAsia" w:ascii="宋体" w:hAnsi="宋体" w:eastAsia="宋体" w:cs="宋体"/>
          <w:color w:val="auto"/>
          <w:sz w:val="24"/>
          <w:szCs w:val="24"/>
        </w:rPr>
        <w:t>；</w:t>
      </w:r>
    </w:p>
    <w:p w14:paraId="1781C59F">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（7）其他合同文件。</w:t>
      </w:r>
    </w:p>
    <w:p w14:paraId="1B990279">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在合同订立及履行过程中形成的与合同有关的文件均构成合同文件组成部分。</w:t>
      </w:r>
    </w:p>
    <w:p w14:paraId="0B683AF1">
      <w:pPr>
        <w:autoSpaceDE w:val="0"/>
        <w:autoSpaceDN w:val="0"/>
        <w:spacing w:line="5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上述各项合同文件包括合同当事人就该项合同文件所作出的补充和修改，属于同一类内容的文件，应以最新签署的为准。专用合同条款及其附件须经合同当事人签字或盖章。</w:t>
      </w:r>
    </w:p>
    <w:p w14:paraId="2612AA79">
      <w:pPr>
        <w:keepNext/>
        <w:keepLines/>
        <w:spacing w:line="520" w:lineRule="exact"/>
        <w:outlineLvl w:val="3"/>
        <w:rPr>
          <w:rFonts w:hint="eastAsia" w:ascii="宋体" w:hAnsi="宋体" w:eastAsia="宋体" w:cs="宋体"/>
          <w:b/>
          <w:color w:val="auto"/>
          <w:sz w:val="24"/>
          <w:szCs w:val="24"/>
        </w:rPr>
      </w:pPr>
      <w:bookmarkStart w:id="29" w:name="_Toc351203487"/>
      <w:r>
        <w:rPr>
          <w:rFonts w:hint="eastAsia" w:ascii="宋体" w:hAnsi="宋体" w:eastAsia="宋体" w:cs="宋体"/>
          <w:b/>
          <w:bCs/>
          <w:color w:val="auto"/>
          <w:sz w:val="24"/>
          <w:szCs w:val="24"/>
        </w:rPr>
        <w:t>七、承诺</w:t>
      </w:r>
      <w:bookmarkEnd w:id="29"/>
    </w:p>
    <w:p w14:paraId="766D04F2">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1.发包人承诺按照法律规定履行项目审批手续、筹集工程建设资金并按照合同约定的期限和方式支付合同价款。</w:t>
      </w:r>
    </w:p>
    <w:p w14:paraId="7F66D54A">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2.承包人承诺按照法律规定及合同约定组织完成工程施工，确保工程质量和安全，未经发包方同意不得转包及分包，并在缺陷责任期及保修期内承担相应的工程维修责任。</w:t>
      </w:r>
    </w:p>
    <w:p w14:paraId="17A9985C">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3.发包人和承包人通过招投标形式签订合同的，双方理解并承诺不再就同一工程另行签订与合同实质性内容相背离的协议。</w:t>
      </w:r>
    </w:p>
    <w:p w14:paraId="68D33140">
      <w:pPr>
        <w:spacing w:line="520" w:lineRule="exact"/>
        <w:rPr>
          <w:rFonts w:hint="eastAsia" w:ascii="宋体" w:hAnsi="宋体" w:eastAsia="宋体" w:cs="宋体"/>
          <w:bCs/>
          <w:color w:val="auto"/>
          <w:sz w:val="24"/>
          <w:szCs w:val="24"/>
        </w:rPr>
      </w:pPr>
      <w:bookmarkStart w:id="30" w:name="_Toc351203488"/>
      <w:r>
        <w:rPr>
          <w:rFonts w:hint="eastAsia" w:ascii="宋体" w:hAnsi="宋体" w:eastAsia="宋体" w:cs="宋体"/>
          <w:b/>
          <w:color w:val="auto"/>
          <w:sz w:val="24"/>
          <w:szCs w:val="24"/>
        </w:rPr>
        <w:t>八、词语含义</w:t>
      </w:r>
      <w:bookmarkEnd w:id="30"/>
    </w:p>
    <w:p w14:paraId="46619025">
      <w:pPr>
        <w:spacing w:line="520" w:lineRule="exact"/>
        <w:ind w:firstLine="480" w:firstLineChars="200"/>
        <w:rPr>
          <w:rFonts w:hint="eastAsia" w:ascii="宋体" w:hAnsi="宋体" w:eastAsia="宋体" w:cs="宋体"/>
          <w:b/>
          <w:color w:val="auto"/>
          <w:sz w:val="24"/>
          <w:szCs w:val="24"/>
        </w:rPr>
      </w:pPr>
      <w:r>
        <w:rPr>
          <w:rFonts w:hint="eastAsia" w:ascii="宋体" w:hAnsi="宋体" w:eastAsia="宋体" w:cs="宋体"/>
          <w:bCs/>
          <w:color w:val="auto"/>
          <w:sz w:val="24"/>
          <w:szCs w:val="24"/>
        </w:rPr>
        <w:t>本协议书中词语含义与第二部分通用合同条款中赋予的含义相同。</w:t>
      </w:r>
      <w:bookmarkStart w:id="31" w:name="_Toc351203489"/>
    </w:p>
    <w:p w14:paraId="74DBD119">
      <w:pPr>
        <w:spacing w:line="52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九、签订时间</w:t>
      </w:r>
      <w:bookmarkEnd w:id="31"/>
    </w:p>
    <w:p w14:paraId="74639E62">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本合同于</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年</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月</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 xml:space="preserve">日签订。 </w:t>
      </w:r>
      <w:bookmarkStart w:id="32" w:name="_Toc351203490"/>
    </w:p>
    <w:p w14:paraId="12BC73F2">
      <w:pPr>
        <w:spacing w:line="520" w:lineRule="exact"/>
        <w:rPr>
          <w:rFonts w:hint="eastAsia" w:ascii="宋体" w:hAnsi="宋体" w:eastAsia="宋体" w:cs="宋体"/>
          <w:bCs/>
          <w:color w:val="auto"/>
          <w:sz w:val="24"/>
          <w:szCs w:val="24"/>
        </w:rPr>
      </w:pPr>
      <w:r>
        <w:rPr>
          <w:rFonts w:hint="eastAsia" w:ascii="宋体" w:hAnsi="宋体" w:eastAsia="宋体" w:cs="宋体"/>
          <w:b/>
          <w:color w:val="auto"/>
          <w:sz w:val="24"/>
          <w:szCs w:val="24"/>
        </w:rPr>
        <w:t>十、签订地点</w:t>
      </w:r>
      <w:bookmarkEnd w:id="32"/>
    </w:p>
    <w:p w14:paraId="22E89522">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本合同在</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签订。</w:t>
      </w:r>
    </w:p>
    <w:p w14:paraId="59007228">
      <w:pPr>
        <w:keepNext/>
        <w:keepLines/>
        <w:spacing w:line="520" w:lineRule="exact"/>
        <w:outlineLvl w:val="3"/>
        <w:rPr>
          <w:rFonts w:hint="eastAsia" w:ascii="宋体" w:hAnsi="宋体" w:eastAsia="宋体" w:cs="宋体"/>
          <w:b/>
          <w:color w:val="auto"/>
          <w:sz w:val="24"/>
          <w:szCs w:val="24"/>
        </w:rPr>
      </w:pPr>
      <w:bookmarkStart w:id="33" w:name="_Toc351203491"/>
      <w:r>
        <w:rPr>
          <w:rFonts w:hint="eastAsia" w:ascii="宋体" w:hAnsi="宋体" w:eastAsia="宋体" w:cs="宋体"/>
          <w:bCs/>
          <w:color w:val="auto"/>
          <w:sz w:val="24"/>
          <w:szCs w:val="24"/>
        </w:rPr>
        <w:t>十一、补充协议</w:t>
      </w:r>
      <w:bookmarkEnd w:id="33"/>
    </w:p>
    <w:p w14:paraId="674DEBF2">
      <w:pPr>
        <w:spacing w:line="520" w:lineRule="exact"/>
        <w:ind w:firstLine="480" w:firstLineChars="200"/>
        <w:rPr>
          <w:rFonts w:hint="eastAsia" w:ascii="宋体" w:hAnsi="宋体" w:eastAsia="宋体" w:cs="宋体"/>
          <w:b/>
          <w:bCs/>
          <w:color w:val="auto"/>
          <w:sz w:val="24"/>
          <w:szCs w:val="24"/>
        </w:rPr>
      </w:pPr>
      <w:r>
        <w:rPr>
          <w:rFonts w:hint="eastAsia" w:ascii="宋体" w:hAnsi="宋体" w:eastAsia="宋体" w:cs="宋体"/>
          <w:bCs/>
          <w:color w:val="auto"/>
          <w:sz w:val="24"/>
          <w:szCs w:val="24"/>
        </w:rPr>
        <w:t>合同未尽事宜，合同当事人另行签订补充协议，补充协议是合同的组成部分。</w:t>
      </w:r>
    </w:p>
    <w:p w14:paraId="4DC111FB">
      <w:pPr>
        <w:keepNext/>
        <w:keepLines/>
        <w:spacing w:line="520" w:lineRule="exact"/>
        <w:outlineLvl w:val="3"/>
        <w:rPr>
          <w:rFonts w:hint="eastAsia" w:ascii="宋体" w:hAnsi="宋体" w:eastAsia="宋体" w:cs="宋体"/>
          <w:b/>
          <w:color w:val="auto"/>
          <w:sz w:val="24"/>
          <w:szCs w:val="24"/>
        </w:rPr>
      </w:pPr>
      <w:bookmarkStart w:id="34" w:name="_Toc351203492"/>
      <w:r>
        <w:rPr>
          <w:rFonts w:hint="eastAsia" w:ascii="宋体" w:hAnsi="宋体" w:eastAsia="宋体" w:cs="宋体"/>
          <w:bCs/>
          <w:color w:val="auto"/>
          <w:sz w:val="24"/>
          <w:szCs w:val="24"/>
        </w:rPr>
        <w:t>十二、合同生效</w:t>
      </w:r>
      <w:bookmarkEnd w:id="34"/>
    </w:p>
    <w:p w14:paraId="38589501">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本合同自</w:t>
      </w:r>
      <w:r>
        <w:rPr>
          <w:rFonts w:hint="eastAsia" w:ascii="宋体" w:hAnsi="宋体" w:eastAsia="宋体" w:cs="宋体"/>
          <w:bCs/>
          <w:color w:val="auto"/>
          <w:sz w:val="24"/>
          <w:szCs w:val="24"/>
          <w:u w:val="single"/>
        </w:rPr>
        <w:t>双方法定代表人或其授权委托人在合同协议书上签字并盖单位章后合同</w:t>
      </w:r>
      <w:r>
        <w:rPr>
          <w:rFonts w:hint="eastAsia" w:ascii="宋体" w:hAnsi="宋体" w:eastAsia="宋体" w:cs="宋体"/>
          <w:bCs/>
          <w:color w:val="auto"/>
          <w:sz w:val="24"/>
          <w:szCs w:val="24"/>
        </w:rPr>
        <w:t>生效。</w:t>
      </w:r>
    </w:p>
    <w:p w14:paraId="5772FEF8">
      <w:pPr>
        <w:keepNext/>
        <w:keepLines/>
        <w:spacing w:line="520" w:lineRule="exact"/>
        <w:outlineLvl w:val="3"/>
        <w:rPr>
          <w:rFonts w:hint="eastAsia" w:ascii="宋体" w:hAnsi="宋体" w:eastAsia="宋体" w:cs="宋体"/>
          <w:b/>
          <w:color w:val="auto"/>
          <w:sz w:val="24"/>
          <w:szCs w:val="24"/>
        </w:rPr>
      </w:pPr>
      <w:bookmarkStart w:id="35" w:name="_Toc351203493"/>
      <w:r>
        <w:rPr>
          <w:rFonts w:hint="eastAsia" w:ascii="宋体" w:hAnsi="宋体" w:eastAsia="宋体" w:cs="宋体"/>
          <w:bCs/>
          <w:color w:val="auto"/>
          <w:sz w:val="24"/>
          <w:szCs w:val="24"/>
        </w:rPr>
        <w:t>十三、合同份数</w:t>
      </w:r>
      <w:bookmarkEnd w:id="35"/>
    </w:p>
    <w:p w14:paraId="123CEE5A">
      <w:pPr>
        <w:spacing w:line="52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本合同一式</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份，均具有同等法律效力，发包人执</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份，承包人执</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份，交易中心留存</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份。</w:t>
      </w:r>
    </w:p>
    <w:p w14:paraId="7C86EB4E">
      <w:pPr>
        <w:spacing w:line="480" w:lineRule="exact"/>
        <w:ind w:firstLine="480" w:firstLineChars="200"/>
        <w:rPr>
          <w:rFonts w:hint="eastAsia" w:ascii="宋体" w:hAnsi="宋体" w:eastAsia="宋体" w:cs="宋体"/>
          <w:color w:val="auto"/>
          <w:sz w:val="24"/>
          <w:szCs w:val="24"/>
          <w:lang w:bidi="ar"/>
        </w:rPr>
      </w:pPr>
    </w:p>
    <w:p w14:paraId="6D14195E">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发包人：</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（盖单位章）     承包人：</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 xml:space="preserve">（盖单位章） </w:t>
      </w:r>
    </w:p>
    <w:p w14:paraId="1A369EA3">
      <w:pPr>
        <w:spacing w:line="480" w:lineRule="exact"/>
        <w:ind w:firstLine="240" w:firstLineChars="100"/>
        <w:rPr>
          <w:rFonts w:hint="eastAsia" w:ascii="宋体" w:hAnsi="宋体" w:eastAsia="宋体" w:cs="宋体"/>
          <w:color w:val="auto"/>
          <w:sz w:val="24"/>
          <w:szCs w:val="24"/>
        </w:rPr>
      </w:pPr>
    </w:p>
    <w:p w14:paraId="4F3E82E2">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 xml:space="preserve">法定代表人                                法定代表人          </w:t>
      </w:r>
    </w:p>
    <w:p w14:paraId="4862961F">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或其委托代理人：</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（签字）    或其委托代理人：</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（签字）</w:t>
      </w:r>
    </w:p>
    <w:p w14:paraId="44D814BA">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 xml:space="preserve">电  话：                                  电  话：   </w:t>
      </w:r>
    </w:p>
    <w:p w14:paraId="69648959">
      <w:pPr>
        <w:spacing w:line="480" w:lineRule="exact"/>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lang w:bidi="ar"/>
        </w:rPr>
        <w:t xml:space="preserve">  </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年</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 xml:space="preserve">月 </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 xml:space="preserve">日                      </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年</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 xml:space="preserve">月 </w:t>
      </w:r>
      <w:r>
        <w:rPr>
          <w:rFonts w:hint="eastAsia" w:ascii="宋体" w:hAnsi="宋体" w:eastAsia="宋体" w:cs="宋体"/>
          <w:color w:val="auto"/>
          <w:sz w:val="24"/>
          <w:szCs w:val="24"/>
          <w:u w:val="single"/>
          <w:lang w:bidi="ar"/>
        </w:rPr>
        <w:t xml:space="preserve">     </w:t>
      </w:r>
      <w:r>
        <w:rPr>
          <w:rFonts w:hint="eastAsia" w:ascii="宋体" w:hAnsi="宋体" w:eastAsia="宋体" w:cs="宋体"/>
          <w:color w:val="auto"/>
          <w:sz w:val="24"/>
          <w:szCs w:val="24"/>
          <w:lang w:bidi="ar"/>
        </w:rPr>
        <w:t xml:space="preserve">日  </w:t>
      </w:r>
    </w:p>
    <w:p w14:paraId="7107C242">
      <w:pPr>
        <w:keepNext/>
        <w:keepLines/>
        <w:spacing w:line="520" w:lineRule="exact"/>
        <w:ind w:firstLine="2951" w:firstLineChars="1400"/>
        <w:outlineLvl w:val="9"/>
        <w:rPr>
          <w:rFonts w:ascii="宋体" w:hAnsi="宋体" w:cs="宋体"/>
          <w:b/>
          <w:bCs/>
          <w:color w:val="auto"/>
          <w:szCs w:val="21"/>
        </w:rPr>
      </w:pPr>
    </w:p>
    <w:p w14:paraId="7D380664">
      <w:pPr>
        <w:spacing w:line="520" w:lineRule="exact"/>
        <w:jc w:val="center"/>
        <w:rPr>
          <w:rFonts w:ascii="宋体" w:hAnsi="宋体"/>
          <w:b/>
          <w:bCs/>
          <w:color w:val="auto"/>
          <w:sz w:val="24"/>
          <w:szCs w:val="24"/>
        </w:rPr>
      </w:pPr>
      <w:r>
        <w:rPr>
          <w:rFonts w:ascii="宋体" w:hAnsi="宋体"/>
          <w:color w:val="auto"/>
          <w:szCs w:val="21"/>
        </w:rPr>
        <w:br w:type="page"/>
      </w:r>
      <w:r>
        <w:rPr>
          <w:rFonts w:hint="eastAsia" w:ascii="宋体" w:hAnsi="宋体" w:cs="宋体"/>
          <w:b/>
          <w:bCs/>
          <w:color w:val="auto"/>
          <w:sz w:val="24"/>
          <w:szCs w:val="24"/>
        </w:rPr>
        <w:t>第二节    通用合同条款</w:t>
      </w:r>
    </w:p>
    <w:p w14:paraId="37ACFE43">
      <w:pPr>
        <w:spacing w:line="540" w:lineRule="exact"/>
        <w:jc w:val="center"/>
        <w:rPr>
          <w:color w:val="auto"/>
          <w:sz w:val="24"/>
          <w:szCs w:val="24"/>
          <w:highlight w:val="none"/>
        </w:rPr>
        <w:sectPr>
          <w:footerReference r:id="rId8" w:type="default"/>
          <w:pgSz w:w="11906" w:h="16838"/>
          <w:pgMar w:top="1440" w:right="1080" w:bottom="1440" w:left="1080" w:header="851" w:footer="992" w:gutter="0"/>
          <w:pgNumType w:fmt="decimal"/>
          <w:cols w:space="720" w:num="1"/>
          <w:docGrid w:type="lines" w:linePitch="312" w:charSpace="0"/>
        </w:sectPr>
      </w:pPr>
      <w:bookmarkStart w:id="36" w:name="_Toc22187"/>
      <w:bookmarkStart w:id="37" w:name="_Toc456966898"/>
      <w:bookmarkStart w:id="38" w:name="_Toc14590"/>
      <w:r>
        <w:rPr>
          <w:rFonts w:hint="eastAsia" w:ascii="宋体" w:hAnsi="宋体" w:cs="宋体"/>
          <w:color w:val="auto"/>
          <w:kern w:val="0"/>
          <w:sz w:val="24"/>
          <w:szCs w:val="24"/>
          <w:highlight w:val="none"/>
        </w:rPr>
        <w:t>通用合同条款见《中华人民共和国标准施工招标文件》2007年</w:t>
      </w:r>
    </w:p>
    <w:bookmarkEnd w:id="36"/>
    <w:bookmarkEnd w:id="37"/>
    <w:bookmarkEnd w:id="38"/>
    <w:p w14:paraId="030259F6">
      <w:pPr>
        <w:keepNext/>
        <w:keepLines/>
        <w:spacing w:line="360" w:lineRule="auto"/>
        <w:jc w:val="center"/>
        <w:outlineLvl w:val="1"/>
        <w:rPr>
          <w:rFonts w:hint="eastAsia" w:ascii="宋体" w:hAnsi="宋体" w:eastAsia="宋体" w:cs="宋体"/>
          <w:b/>
          <w:bCs/>
          <w:color w:val="auto"/>
          <w:sz w:val="24"/>
          <w:szCs w:val="24"/>
        </w:rPr>
      </w:pPr>
      <w:r>
        <w:rPr>
          <w:rFonts w:hint="eastAsia" w:ascii="宋体" w:hAnsi="宋体" w:eastAsia="宋体" w:cs="宋体"/>
          <w:b/>
          <w:bCs/>
          <w:color w:val="auto"/>
          <w:sz w:val="24"/>
          <w:szCs w:val="24"/>
        </w:rPr>
        <w:t>第三节     专用合同条款</w:t>
      </w:r>
    </w:p>
    <w:p w14:paraId="680A4659">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1.一般约定</w:t>
      </w:r>
    </w:p>
    <w:p w14:paraId="74C68AA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1.1词语定义</w:t>
      </w:r>
    </w:p>
    <w:p w14:paraId="438F710A">
      <w:pPr>
        <w:spacing w:before="62" w:beforeLines="20"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1.1.2合同当事人和人员</w:t>
      </w:r>
    </w:p>
    <w:p w14:paraId="777D66F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1.1.2.2发包人：</w:t>
      </w:r>
      <w:r>
        <w:rPr>
          <w:rFonts w:hint="eastAsia" w:ascii="宋体" w:hAnsi="宋体" w:eastAsia="宋体" w:cs="宋体"/>
          <w:color w:val="auto"/>
          <w:sz w:val="24"/>
          <w:szCs w:val="24"/>
          <w:u w:val="single"/>
          <w:lang w:val="en-US" w:eastAsia="zh-CN"/>
        </w:rPr>
        <w:t xml:space="preserve"> </w:t>
      </w:r>
      <w:r>
        <w:rPr>
          <w:rFonts w:hint="eastAsia" w:ascii="宋体" w:hAnsi="宋体" w:cs="宋体"/>
          <w:color w:val="auto"/>
          <w:kern w:val="0"/>
          <w:sz w:val="24"/>
          <w:szCs w:val="24"/>
          <w:u w:val="single"/>
          <w:lang w:eastAsia="zh-CN"/>
        </w:rPr>
        <w:t>邹城市千泉街道郭庄社区居民委员会</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sz w:val="24"/>
          <w:szCs w:val="24"/>
        </w:rPr>
        <w:t>。</w:t>
      </w:r>
    </w:p>
    <w:p w14:paraId="6AA42CC7">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1.1.2.6监理人：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D3414E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1.1.2.8发包人代表：指发包人指定的派驻施工场地(现场)的全权代表。</w:t>
      </w:r>
    </w:p>
    <w:p w14:paraId="3C5C571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姓名：</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F261DC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C41E15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电子信箱：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461975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1.1.2.9 专业分包人：指根据合同条款第15.8.1项的约定，由发包人和承包人以招标方式选择的分包人。</w:t>
      </w:r>
    </w:p>
    <w:p w14:paraId="7810F30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1.1.2.10 专项供应商：指根据合同条款第15.8.1项的约定，由发包人和承包人以招标方式选择的供应商。</w:t>
      </w:r>
    </w:p>
    <w:p w14:paraId="21B5C52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1.1.2.11独立承包人：指与发包人直接订立工程承包合同，负责实施与工程有关的其他工作的当事人。</w:t>
      </w:r>
    </w:p>
    <w:p w14:paraId="202E333B">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1.1.3工程和设备</w:t>
      </w:r>
    </w:p>
    <w:p w14:paraId="7D565D9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1.1.3.2永久工程：</w:t>
      </w:r>
      <w:r>
        <w:rPr>
          <w:rFonts w:hint="eastAsia" w:ascii="宋体" w:hAnsi="宋体" w:eastAsia="宋体" w:cs="宋体"/>
          <w:color w:val="auto"/>
          <w:sz w:val="24"/>
          <w:szCs w:val="24"/>
          <w:u w:val="single"/>
        </w:rPr>
        <w:t>按合同约定建造并移交给发包人的工程，包括工程设备</w:t>
      </w:r>
      <w:r>
        <w:rPr>
          <w:rFonts w:hint="eastAsia" w:ascii="宋体" w:hAnsi="宋体" w:eastAsia="宋体" w:cs="宋体"/>
          <w:color w:val="auto"/>
          <w:sz w:val="24"/>
          <w:szCs w:val="24"/>
        </w:rPr>
        <w:t>。</w:t>
      </w:r>
    </w:p>
    <w:p w14:paraId="671A34D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1.1.3.3临时工程：</w:t>
      </w:r>
      <w:r>
        <w:rPr>
          <w:rFonts w:hint="eastAsia" w:ascii="宋体" w:hAnsi="宋体" w:eastAsia="宋体" w:cs="宋体"/>
          <w:color w:val="auto"/>
          <w:sz w:val="24"/>
          <w:szCs w:val="24"/>
          <w:u w:val="single"/>
        </w:rPr>
        <w:t>为完成合同约定的永久工程所修建的各类临时性工程，不包括施工设备</w:t>
      </w:r>
      <w:r>
        <w:rPr>
          <w:rFonts w:hint="eastAsia" w:ascii="宋体" w:hAnsi="宋体" w:eastAsia="宋体" w:cs="宋体"/>
          <w:color w:val="auto"/>
          <w:sz w:val="24"/>
          <w:szCs w:val="24"/>
        </w:rPr>
        <w:t>。</w:t>
      </w:r>
    </w:p>
    <w:p w14:paraId="32F5993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1.1.3.4单位工程：指具有相对独立的设计文件，能够独立组织施工并能形成独立使用功能的永久工程的组成部分。</w:t>
      </w:r>
    </w:p>
    <w:p w14:paraId="3B52D34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1.1.3.10永久占地：</w:t>
      </w:r>
      <w:r>
        <w:rPr>
          <w:rFonts w:hint="eastAsia" w:ascii="宋体" w:hAnsi="宋体" w:eastAsia="宋体" w:cs="宋体"/>
          <w:color w:val="auto"/>
          <w:sz w:val="24"/>
          <w:szCs w:val="24"/>
          <w:u w:val="single"/>
        </w:rPr>
        <w:t>指为实施本合同工程而需要的一切永久占用的土地</w:t>
      </w:r>
      <w:r>
        <w:rPr>
          <w:rFonts w:hint="eastAsia" w:ascii="宋体" w:hAnsi="宋体" w:eastAsia="宋体" w:cs="宋体"/>
          <w:color w:val="auto"/>
          <w:sz w:val="24"/>
          <w:szCs w:val="24"/>
        </w:rPr>
        <w:t>。</w:t>
      </w:r>
    </w:p>
    <w:p w14:paraId="03837AB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1.1.3.11临时占地：</w:t>
      </w:r>
      <w:r>
        <w:rPr>
          <w:rFonts w:hint="eastAsia" w:ascii="宋体" w:hAnsi="宋体" w:eastAsia="宋体" w:cs="宋体"/>
          <w:color w:val="auto"/>
          <w:sz w:val="24"/>
          <w:szCs w:val="24"/>
          <w:u w:val="single"/>
        </w:rPr>
        <w:t>指为实施本合同工程而需要的一切临时占用的土地</w:t>
      </w:r>
      <w:r>
        <w:rPr>
          <w:rFonts w:hint="eastAsia" w:ascii="宋体" w:hAnsi="宋体" w:eastAsia="宋体" w:cs="宋体"/>
          <w:color w:val="auto"/>
          <w:sz w:val="24"/>
          <w:szCs w:val="24"/>
        </w:rPr>
        <w:t>。</w:t>
      </w:r>
    </w:p>
    <w:p w14:paraId="5A4BF61C">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1.1.4日期</w:t>
      </w:r>
    </w:p>
    <w:p w14:paraId="61FC02F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1.1.4.5缺陷责任期期限：</w:t>
      </w:r>
      <w:r>
        <w:rPr>
          <w:rFonts w:hint="eastAsia" w:ascii="宋体" w:hAnsi="宋体" w:eastAsia="宋体" w:cs="宋体"/>
          <w:color w:val="auto"/>
          <w:sz w:val="24"/>
          <w:szCs w:val="24"/>
          <w:u w:val="single"/>
        </w:rPr>
        <w:t>24个月</w:t>
      </w:r>
      <w:r>
        <w:rPr>
          <w:rFonts w:hint="eastAsia" w:ascii="宋体" w:hAnsi="宋体" w:eastAsia="宋体" w:cs="宋体"/>
          <w:color w:val="auto"/>
          <w:sz w:val="24"/>
          <w:szCs w:val="24"/>
        </w:rPr>
        <w:t>。</w:t>
      </w:r>
    </w:p>
    <w:p w14:paraId="458E301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6D3B69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1.1.4.8保修期：是根据现行有关法律规定，在合同条款第19.7款中约定的由承包人负责对合同约定的保修范围内发生的质量问题履行保修义务并对造成的损失承担赔偿责任的期限。</w:t>
      </w:r>
    </w:p>
    <w:p w14:paraId="32BF59AA">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1.1.6其他</w:t>
      </w:r>
    </w:p>
    <w:p w14:paraId="79D236B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1.1.6.2材料：指构成或将构成永久工程组成部分的各类物品(工程设备除外)，包括合同中可能约定的承包人仅负责供应的材料。</w:t>
      </w:r>
    </w:p>
    <w:p w14:paraId="5AA0878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1.1.6.3争议评审组：是由发包人和承包人共同聘请的人员组成的独立、公正的第三方临时性组织，一般由一名或者三名合同管理和(或)工程管理专家组成。争议评审组负责对发包人和(或)承包人提请进行评审的本合同项下的争议进行评审并在规定的期限内给出评审意见，合同双方在规定的期限内均未对评审意见提出异议时，评审意见对合同双方有最终约束力。发包人和承包人应当分别与接受聘请的争议评审专家签订聘用协议，就评审的争议范围、评审意见效力等必要事项做出约定。</w:t>
      </w:r>
    </w:p>
    <w:p w14:paraId="440A652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1.1.6.4除另有特别指明外，专用合同条款中使用的措辞“合同条款”指通用合同条款和(或)专用合同条款。</w:t>
      </w:r>
    </w:p>
    <w:p w14:paraId="6EE9079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1.1.6.5合同总金额：</w:t>
      </w:r>
      <w:r>
        <w:rPr>
          <w:rFonts w:hint="eastAsia" w:ascii="宋体" w:hAnsi="宋体" w:eastAsia="宋体" w:cs="宋体"/>
          <w:color w:val="auto"/>
          <w:sz w:val="24"/>
          <w:szCs w:val="24"/>
          <w:u w:val="single"/>
        </w:rPr>
        <w:t>即为签约合同价</w:t>
      </w:r>
      <w:r>
        <w:rPr>
          <w:rFonts w:hint="eastAsia" w:ascii="宋体" w:hAnsi="宋体" w:eastAsia="宋体" w:cs="宋体"/>
          <w:color w:val="auto"/>
          <w:sz w:val="24"/>
          <w:szCs w:val="24"/>
        </w:rPr>
        <w:t>。</w:t>
      </w:r>
    </w:p>
    <w:p w14:paraId="2D9F8764">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1.4合同文件的优先顺序</w:t>
      </w:r>
    </w:p>
    <w:p w14:paraId="6BEB72A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合同文件的优先解释顺序如下：</w:t>
      </w:r>
    </w:p>
    <w:p w14:paraId="1DA893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(l）合同协议书；</w:t>
      </w:r>
    </w:p>
    <w:p w14:paraId="080730C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(2）成交通知书；</w:t>
      </w:r>
    </w:p>
    <w:p w14:paraId="5F1EAAD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(3）专用合同条款；</w:t>
      </w:r>
    </w:p>
    <w:p w14:paraId="110D2C2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响应函；</w:t>
      </w:r>
    </w:p>
    <w:p w14:paraId="64C4B1F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(5）通用合同条款；</w:t>
      </w:r>
    </w:p>
    <w:p w14:paraId="3CA90E4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(6）技术标准和要求；</w:t>
      </w:r>
    </w:p>
    <w:p w14:paraId="3783AC6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(7）图纸；</w:t>
      </w:r>
    </w:p>
    <w:p w14:paraId="74A44C1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(8）已标价工程量清单</w:t>
      </w:r>
    </w:p>
    <w:p w14:paraId="4139D22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图纸与技术标准和要求之间有矛盾或者不一致的，以其中要求较严格的标准为准。</w:t>
      </w:r>
    </w:p>
    <w:p w14:paraId="24711F7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合同双方在合同履行过程中签订的补充协议亦构成合同文件的组成部分，其解释顺序视其内容与其他合同文件的相互关系而定。</w:t>
      </w:r>
    </w:p>
    <w:p w14:paraId="4346F62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1.5合同协议书</w:t>
      </w:r>
    </w:p>
    <w:p w14:paraId="5046B512">
      <w:pPr>
        <w:spacing w:before="156" w:beforeLines="50" w:after="156" w:after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合同生效的条件：</w:t>
      </w:r>
      <w:r>
        <w:rPr>
          <w:rFonts w:hint="eastAsia" w:ascii="宋体" w:hAnsi="宋体" w:eastAsia="宋体" w:cs="宋体"/>
          <w:color w:val="auto"/>
          <w:sz w:val="24"/>
          <w:szCs w:val="24"/>
          <w:u w:val="single"/>
        </w:rPr>
        <w:t>发包人和承包人的法定代表人或授权委托人（详见法定代表人出具的授权委托书）在合同协议书上签字并盖单位章后，合同生效</w:t>
      </w:r>
      <w:r>
        <w:rPr>
          <w:rFonts w:hint="eastAsia" w:ascii="宋体" w:hAnsi="宋体" w:eastAsia="宋体" w:cs="宋体"/>
          <w:color w:val="auto"/>
          <w:sz w:val="24"/>
          <w:szCs w:val="24"/>
        </w:rPr>
        <w:t>。</w:t>
      </w:r>
    </w:p>
    <w:p w14:paraId="44EF1D27">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1.6图纸和承包人文件</w:t>
      </w:r>
    </w:p>
    <w:p w14:paraId="306BFCE0">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1.6.1图纸的提供</w:t>
      </w:r>
    </w:p>
    <w:p w14:paraId="1003398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(1)发包人按照合同条款本项的约定向承包人提供图纸。承包人需要增加图纸套数的，发包人应代为复制，复制费用由承包人承担。</w:t>
      </w:r>
    </w:p>
    <w:p w14:paraId="52ADED1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在监理人批准合同条款第10.1款约定的合同进度计划或者合同条款10.2款约定的合同进度计划修改后7天内，承包人应当根据合同进度计划和本项约定的图纸提供期限和数量，编制或者修改图纸供应计划并报送监理人，其中应当载明承包人对各区段最新版本图纸(包括合同条款第1.6.3项约定的图纸修改图)的最迟需求时间，监理人应当在收到图纸供应计划后7天内批复或提出修改意见，否则该图纸供应计划视为得到批准。经监理人批准的最新的图纸供应计划对合同双方有合同约束力，作为发包人或者监理人向承包人提供图纸的主要依据。发包人或者监理人不按照图纸供应计划提供图纸而导致承包人费用增加和(或)工期延误的，由发包人承担赔偿责任。承包人未按照本目约定的时间向监理人提交图纸供应计划，致使发包人或者监理人未能在合理的时间内提供相应图纸或者承包人未按照图纸供应计划组织施工所造成的费用增加和(或)工期延误由承包人承担。</w:t>
      </w:r>
    </w:p>
    <w:p w14:paraId="610B109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(3)发包人提供图纸的期限：</w:t>
      </w:r>
      <w:r>
        <w:rPr>
          <w:rFonts w:hint="eastAsia" w:ascii="宋体" w:hAnsi="宋体" w:eastAsia="宋体" w:cs="宋体"/>
          <w:color w:val="auto"/>
          <w:sz w:val="24"/>
          <w:szCs w:val="24"/>
          <w:u w:val="single"/>
        </w:rPr>
        <w:t>开工前六天</w:t>
      </w:r>
      <w:r>
        <w:rPr>
          <w:rFonts w:hint="eastAsia" w:ascii="宋体" w:hAnsi="宋体" w:eastAsia="宋体" w:cs="宋体"/>
          <w:color w:val="auto"/>
          <w:sz w:val="24"/>
          <w:szCs w:val="24"/>
        </w:rPr>
        <w:t>。</w:t>
      </w:r>
    </w:p>
    <w:p w14:paraId="487117F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(4)发包人提供图纸的数量：</w:t>
      </w:r>
      <w:r>
        <w:rPr>
          <w:rFonts w:hint="eastAsia" w:ascii="宋体" w:hAnsi="宋体" w:eastAsia="宋体" w:cs="宋体"/>
          <w:color w:val="auto"/>
          <w:sz w:val="24"/>
          <w:szCs w:val="24"/>
          <w:u w:val="single"/>
        </w:rPr>
        <w:t xml:space="preserve">  陆套     </w:t>
      </w:r>
      <w:r>
        <w:rPr>
          <w:rFonts w:hint="eastAsia" w:ascii="宋体" w:hAnsi="宋体" w:eastAsia="宋体" w:cs="宋体"/>
          <w:color w:val="auto"/>
          <w:sz w:val="24"/>
          <w:szCs w:val="24"/>
        </w:rPr>
        <w:t>。</w:t>
      </w:r>
    </w:p>
    <w:p w14:paraId="1F9B0CD8">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1.6.2承包人提供的文件</w:t>
      </w:r>
    </w:p>
    <w:p w14:paraId="6CDE4563">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(1)除专用合同条款第4.1.10(1)目约定的由承包人提供的设计文件外，本项约定的其他应由承包人提供的文件，包括必要的加工图和大样图，均不是合同计量与支付的依据文件。由承包人提供的文件范围：</w:t>
      </w:r>
      <w:r>
        <w:rPr>
          <w:rFonts w:hint="eastAsia" w:ascii="宋体" w:hAnsi="宋体" w:eastAsia="宋体" w:cs="宋体"/>
          <w:color w:val="auto"/>
          <w:sz w:val="24"/>
          <w:szCs w:val="24"/>
          <w:u w:val="single"/>
        </w:rPr>
        <w:t>需要时按发包人及监理人要求</w:t>
      </w:r>
    </w:p>
    <w:p w14:paraId="7DE8D572">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(2)承包人提供文件的期限：</w:t>
      </w:r>
      <w:r>
        <w:rPr>
          <w:rFonts w:hint="eastAsia" w:ascii="宋体" w:hAnsi="宋体" w:eastAsia="宋体" w:cs="宋体"/>
          <w:color w:val="auto"/>
          <w:sz w:val="24"/>
          <w:szCs w:val="24"/>
          <w:u w:val="single"/>
        </w:rPr>
        <w:t>按发包人及监理人要求</w:t>
      </w:r>
    </w:p>
    <w:p w14:paraId="2BEB66E8">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(3)承包人提供文件的数量：</w:t>
      </w:r>
      <w:r>
        <w:rPr>
          <w:rFonts w:hint="eastAsia" w:ascii="宋体" w:hAnsi="宋体" w:eastAsia="宋体" w:cs="宋体"/>
          <w:color w:val="auto"/>
          <w:sz w:val="24"/>
          <w:szCs w:val="24"/>
          <w:u w:val="single"/>
        </w:rPr>
        <w:t>按发包人及监理人要求</w:t>
      </w:r>
    </w:p>
    <w:p w14:paraId="77333E8B">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(4)监理人批复承包人提供文件的期限：</w:t>
      </w:r>
      <w:r>
        <w:rPr>
          <w:rFonts w:hint="eastAsia" w:ascii="宋体" w:hAnsi="宋体" w:eastAsia="宋体" w:cs="宋体"/>
          <w:color w:val="auto"/>
          <w:sz w:val="24"/>
          <w:szCs w:val="24"/>
          <w:u w:val="single"/>
        </w:rPr>
        <w:t>收到承包人提供的文件后7天内</w:t>
      </w:r>
    </w:p>
    <w:p w14:paraId="40E62450">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 (5)其他约定：</w:t>
      </w:r>
      <w:r>
        <w:rPr>
          <w:rFonts w:hint="eastAsia" w:ascii="宋体" w:hAnsi="宋体" w:eastAsia="宋体" w:cs="宋体"/>
          <w:color w:val="auto"/>
          <w:sz w:val="24"/>
          <w:szCs w:val="24"/>
          <w:u w:val="single"/>
        </w:rPr>
        <w:t xml:space="preserve">                  /                               </w:t>
      </w:r>
    </w:p>
    <w:p w14:paraId="1AEB2DA0">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1.6.3图纸的修改</w:t>
      </w:r>
    </w:p>
    <w:p w14:paraId="0FC04B5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监理人应当按照合同条款第1.6.1(2)目约定的有合同约束力的图纸供应计划，签发图纸修改图给承包人。</w:t>
      </w:r>
    </w:p>
    <w:p w14:paraId="3061560E">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1.7联络</w:t>
      </w:r>
    </w:p>
    <w:p w14:paraId="3E740F2A">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1.7.2联络来往函件的送达和接收</w:t>
      </w:r>
    </w:p>
    <w:p w14:paraId="5646824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(1)联络来往信函的送达期限：合同约定了发出期限的，送达期限为合同约定的发出期限后的24小时内；合同约定了通知、提供或者报送期限的，通知、提供或者报送期限即为送达期限。</w:t>
      </w:r>
    </w:p>
    <w:p w14:paraId="2CED596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(2)发包人指定的接收地点：</w:t>
      </w:r>
      <w:r>
        <w:rPr>
          <w:rFonts w:hint="eastAsia" w:ascii="宋体" w:hAnsi="宋体" w:eastAsia="宋体" w:cs="宋体"/>
          <w:color w:val="auto"/>
          <w:sz w:val="24"/>
          <w:szCs w:val="24"/>
          <w:u w:val="single"/>
        </w:rPr>
        <w:t>本工程现场发包人代表办公室</w:t>
      </w:r>
      <w:r>
        <w:rPr>
          <w:rFonts w:hint="eastAsia" w:ascii="宋体" w:hAnsi="宋体" w:eastAsia="宋体" w:cs="宋体"/>
          <w:color w:val="auto"/>
          <w:sz w:val="24"/>
          <w:szCs w:val="24"/>
        </w:rPr>
        <w:t>。</w:t>
      </w:r>
    </w:p>
    <w:p w14:paraId="48FA955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(3)发包人指定的接收人为：</w:t>
      </w:r>
      <w:r>
        <w:rPr>
          <w:rFonts w:hint="eastAsia" w:ascii="宋体" w:hAnsi="宋体" w:eastAsia="宋体" w:cs="宋体"/>
          <w:color w:val="auto"/>
          <w:sz w:val="24"/>
          <w:szCs w:val="24"/>
          <w:u w:val="single"/>
        </w:rPr>
        <w:t>发包人代表</w:t>
      </w:r>
      <w:r>
        <w:rPr>
          <w:rFonts w:hint="eastAsia" w:ascii="宋体" w:hAnsi="宋体" w:eastAsia="宋体" w:cs="宋体"/>
          <w:color w:val="auto"/>
          <w:sz w:val="24"/>
          <w:szCs w:val="24"/>
        </w:rPr>
        <w:t>。</w:t>
      </w:r>
    </w:p>
    <w:p w14:paraId="5ACD0AF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(4)监理人指定的接收地点：</w:t>
      </w:r>
      <w:r>
        <w:rPr>
          <w:rFonts w:hint="eastAsia" w:ascii="宋体" w:hAnsi="宋体" w:eastAsia="宋体" w:cs="宋体"/>
          <w:color w:val="auto"/>
          <w:sz w:val="24"/>
          <w:szCs w:val="24"/>
          <w:u w:val="single"/>
        </w:rPr>
        <w:t>本工程现场总监代表办公室</w:t>
      </w:r>
      <w:r>
        <w:rPr>
          <w:rFonts w:hint="eastAsia" w:ascii="宋体" w:hAnsi="宋体" w:eastAsia="宋体" w:cs="宋体"/>
          <w:color w:val="auto"/>
          <w:sz w:val="24"/>
          <w:szCs w:val="24"/>
        </w:rPr>
        <w:t>。</w:t>
      </w:r>
    </w:p>
    <w:p w14:paraId="0891B5D3">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(5)监理人指定的接收人为：</w:t>
      </w:r>
      <w:r>
        <w:rPr>
          <w:rFonts w:hint="eastAsia" w:ascii="宋体" w:hAnsi="宋体" w:eastAsia="宋体" w:cs="宋体"/>
          <w:color w:val="auto"/>
          <w:sz w:val="24"/>
          <w:szCs w:val="24"/>
          <w:u w:val="single"/>
        </w:rPr>
        <w:t>总监或总监代表</w:t>
      </w:r>
      <w:r>
        <w:rPr>
          <w:rFonts w:hint="eastAsia" w:ascii="宋体" w:hAnsi="宋体" w:eastAsia="宋体" w:cs="宋体"/>
          <w:color w:val="auto"/>
          <w:sz w:val="24"/>
          <w:szCs w:val="24"/>
        </w:rPr>
        <w:t>。</w:t>
      </w:r>
    </w:p>
    <w:p w14:paraId="2FD7752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承包人指定的接收人为合同协议书中载明的承包人项目经理本人或者项目经理的授权代表。承包人应在收到开工通知后7天内，按照合同条款第4.5.4项的约定，将授权代表其接收来往信函的项目经理的授权代表姓名和授权范围通知监理人，并报发包人备案。除合同另有约定外，承包人施工场地管理机构的办公地点即为承包人指定的接收地点。</w:t>
      </w:r>
    </w:p>
    <w:p w14:paraId="1C809A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发包人(包括监理人)和承包人中任何一方指定的接收人或者接收地点发生变动，应当在实际变动前提前至少一个工作日以书面方式通知另一方。发包人(包括监理人)和承包人应当确保其各自指定的接收人在法定的和(或)符合合同约定的工作时间内始终工作在指定的接收地点，指定接收人离开工作岗位而无法及时签收来往信函构成拒不签收。</w:t>
      </w:r>
    </w:p>
    <w:p w14:paraId="3E58D5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发包人(包括监理人)和承包人中任何一方均应当及时签收另一方送达其指定接收地点的来往信函，拒不签收的，送达信函的一方可以采用挂号或者公证或者微信或者手机短信方式送达，由此所造成的直接的和间接的费用增加(包括被迫采用特殊送达方式所发生的费用)和(或)延误的工期由拒绝签收一方承担。</w:t>
      </w:r>
    </w:p>
    <w:p w14:paraId="3293E6E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2.发包人义务</w:t>
      </w:r>
    </w:p>
    <w:p w14:paraId="42F5098F">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2.3提供施工场地</w:t>
      </w:r>
    </w:p>
    <w:p w14:paraId="05B5C75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施工场地应当在监理人发出的开工通知中载明的开工日期前</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天具备施工条件并移交给承包人，具体施工条件在 “技术标准和要求”中约定。发包人最迟应当在移交施工场地的同时向承包人提供施工场地内地下管线和地下设施等有关资料，并保证资料的真实、准确和完整。</w:t>
      </w:r>
    </w:p>
    <w:p w14:paraId="43FAB67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2.5组织设计交底</w:t>
      </w:r>
    </w:p>
    <w:p w14:paraId="7E481C4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应当在合同条款11.1.1项约定的开工日期前组织设计人向承包人进行合同工程总体设计交底(包括图纸会审)。发包人还应按照合同进度计划中载明的阶段性设计交底时间组织和安排阶段工程设计交底(包括图纸会审)。承包人可以书面方式通过监理人向发包人申请增加紧急的设计交底，发包人在认为确有必要且条件许可时，应当尽快组织这类设计交底。</w:t>
      </w:r>
    </w:p>
    <w:p w14:paraId="560E012E">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2.8其他义务</w:t>
      </w:r>
    </w:p>
    <w:p w14:paraId="11D2C16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(1)按有关规定及时办理工程质量监督手续。</w:t>
      </w:r>
    </w:p>
    <w:p w14:paraId="74DCD3C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(2)根据建设行政主管部门和(或)城市建设档案管理机构的规定，收集、整理、立卷、归档工程资料，并按规定时间向建设行政主管部门或者城市建设档案管理机构移交规定的工程档案。</w:t>
      </w:r>
    </w:p>
    <w:p w14:paraId="2AAB3F7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批准和确认：按合同约定应当由监理人或者发包人回复、批复、批准、确认或提出修改意见的承包人的要求、请求、申请和报批等，自监理人或者发包人指定的接收人收到承包人发出的相应要求、请求、申请和报批之日起，如果监理人或者发包人在合同约定的期限内未予回复、批复、批准、确认或提出修改意见的，视为监理人和发包人已经同意、确认或者批准。</w:t>
      </w:r>
    </w:p>
    <w:p w14:paraId="1B7A701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(4)发包人应当履行合同约定的其他义务以及下述义务：</w:t>
      </w:r>
      <w:r>
        <w:rPr>
          <w:rFonts w:hint="eastAsia" w:ascii="宋体" w:hAnsi="宋体" w:eastAsia="宋体" w:cs="宋体"/>
          <w:color w:val="auto"/>
          <w:sz w:val="24"/>
          <w:szCs w:val="24"/>
          <w:u w:val="single"/>
        </w:rPr>
        <w:t xml:space="preserve">            /               </w:t>
      </w:r>
    </w:p>
    <w:p w14:paraId="10FB9F2D">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3.监理人</w:t>
      </w:r>
    </w:p>
    <w:p w14:paraId="01C10520">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3.1监理人的职责和权力</w:t>
      </w:r>
    </w:p>
    <w:p w14:paraId="162E3EE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3.1.1须经发包人批准行使的权力：</w:t>
      </w:r>
      <w:r>
        <w:rPr>
          <w:rFonts w:hint="eastAsia" w:ascii="宋体" w:hAnsi="宋体" w:eastAsia="宋体" w:cs="宋体"/>
          <w:color w:val="auto"/>
          <w:sz w:val="24"/>
          <w:szCs w:val="24"/>
          <w:u w:val="single"/>
        </w:rPr>
        <w:t>涉及本工程分包、变更、费用、质量、工期的事项及监理合同中须发包人批准才能行使的监理人的权力</w:t>
      </w:r>
      <w:r>
        <w:rPr>
          <w:rFonts w:hint="eastAsia" w:ascii="宋体" w:hAnsi="宋体" w:eastAsia="宋体" w:cs="宋体"/>
          <w:color w:val="auto"/>
          <w:sz w:val="24"/>
          <w:szCs w:val="24"/>
        </w:rPr>
        <w:t>。</w:t>
      </w:r>
    </w:p>
    <w:p w14:paraId="2827EC0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不管通用合同条款第3.1.1项如何约定，监理人履行须经发包人批准行使的权力时，应当向承包人出示其行使该权力已经取得发包人批准的书面文件或者其他合法有效的书面证明。</w:t>
      </w:r>
    </w:p>
    <w:p w14:paraId="069D09E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3.3监理人员</w:t>
      </w:r>
    </w:p>
    <w:p w14:paraId="2E3006C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3.3.4总监理工程师不应将第3.5款约定应由总监理工程师作出确定的权力授权或者委托给其他监理人员。</w:t>
      </w:r>
    </w:p>
    <w:p w14:paraId="4A64332D">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3.4监理人的指示</w:t>
      </w:r>
    </w:p>
    <w:p w14:paraId="19037F1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3.4.4除通用合同条款已有的专门约定外，承包人只能从总监理工程师或按第3.3.1项授权的监理人员处取得指示，发包人应当通过监理人向承包人发出指示。</w:t>
      </w:r>
    </w:p>
    <w:p w14:paraId="35DAAC2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3.6监理人的宽恕</w:t>
      </w:r>
    </w:p>
    <w:p w14:paraId="0AD625B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或者发包人就承包人对合同约定的任何责任和义务的某种违约行为的宽恕，不影响监理人和发包人在此后的任何时间严格按合同约定处理承包人的其它违约行为，也不意味发包人放弃合同约定的发包人与上述违约有关的任何权利和赔偿要求。</w:t>
      </w:r>
    </w:p>
    <w:p w14:paraId="0FFE0A7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4.承包人</w:t>
      </w:r>
    </w:p>
    <w:p w14:paraId="78BE499F">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4.1承包人的一般义务</w:t>
      </w:r>
    </w:p>
    <w:p w14:paraId="3B56C6D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4.1.3除专用合同条款第5.2款约定由发包人提供的材料和工程设备和第6.2款约定由发包人提供的施工设备和临时设施外，承包人应负责提供为完成合同工作所需的劳务、材料、施工设备、工程设备和其他物品，并按合同约定负责临时设施的设计、建造、运行、维护、管理和拆除。</w:t>
      </w:r>
    </w:p>
    <w:p w14:paraId="799D32C2">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4.1.8为他人提供方便</w:t>
      </w:r>
    </w:p>
    <w:p w14:paraId="369D7E67">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(1)承包人应当对在施工场地或者附近实施与合同工程有关的其他工作的独立承包人履行管理、协调、配合、照管和服务义务，由此发生的费用被认为已经包括在承包人的签约合同价(投标总报价)中，具体工作内容和要求包括：</w:t>
      </w:r>
      <w:r>
        <w:rPr>
          <w:rFonts w:hint="eastAsia" w:ascii="宋体" w:hAnsi="宋体" w:eastAsia="宋体" w:cs="宋体"/>
          <w:color w:val="auto"/>
          <w:sz w:val="24"/>
          <w:szCs w:val="24"/>
          <w:u w:val="single"/>
        </w:rPr>
        <w:t>根据施工过程中实际情况由发包人和监理人指派并审批</w:t>
      </w:r>
      <w:r>
        <w:rPr>
          <w:rFonts w:hint="eastAsia" w:ascii="宋体" w:hAnsi="宋体" w:eastAsia="宋体" w:cs="宋体"/>
          <w:color w:val="auto"/>
          <w:sz w:val="24"/>
          <w:szCs w:val="24"/>
        </w:rPr>
        <w:t>。</w:t>
      </w:r>
    </w:p>
    <w:p w14:paraId="0074F8E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(2)承包人还应按监理人指示为独立承包人以外的他人在施工场地或者附近实施与合同工程有关的其他工作提供可能的条件，可能发生费用由监理人按第3.5款商定或者确定。</w:t>
      </w:r>
    </w:p>
    <w:p w14:paraId="205AE119">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4.1.10其他义务</w:t>
      </w:r>
    </w:p>
    <w:p w14:paraId="198D020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根据发包人委托，在其设计资质等级和业务允许的范围内，完成施工图设计或与工程配套的设计，经监理人确认后使用，发包人承担由此发生的费用。由承包人负责完成的设计文件属于合同条款第1.6.2项约定的承包人提供的文件，承包人应按照专用合同条款第1.6.2项约定的期限和数量提交，由此发生的费用被认为已经包括在承包人的签约合同价(总报价)中。由承包人承担的施工图设计或与工程配套的设计工作内容：</w:t>
      </w:r>
      <w:r>
        <w:rPr>
          <w:rFonts w:hint="eastAsia" w:ascii="宋体" w:hAnsi="宋体" w:eastAsia="宋体" w:cs="宋体"/>
          <w:color w:val="auto"/>
          <w:sz w:val="24"/>
          <w:szCs w:val="24"/>
          <w:u w:val="single"/>
        </w:rPr>
        <w:t>需要时发包人与承包人另行约定</w:t>
      </w:r>
      <w:r>
        <w:rPr>
          <w:rFonts w:hint="eastAsia" w:ascii="宋体" w:hAnsi="宋体" w:eastAsia="宋体" w:cs="宋体"/>
          <w:color w:val="auto"/>
          <w:sz w:val="24"/>
          <w:szCs w:val="24"/>
        </w:rPr>
        <w:t>。</w:t>
      </w:r>
    </w:p>
    <w:p w14:paraId="4477F42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(2)承包人应履行合同约定的其他义务以及下述义务：</w:t>
      </w:r>
      <w:r>
        <w:rPr>
          <w:rFonts w:hint="eastAsia" w:ascii="宋体" w:hAnsi="宋体" w:eastAsia="宋体" w:cs="宋体"/>
          <w:color w:val="auto"/>
          <w:sz w:val="24"/>
          <w:szCs w:val="24"/>
          <w:u w:val="single"/>
        </w:rPr>
        <w:t>需要时发包人与承包人另行约定</w:t>
      </w:r>
      <w:r>
        <w:rPr>
          <w:rFonts w:hint="eastAsia" w:ascii="宋体" w:hAnsi="宋体" w:eastAsia="宋体" w:cs="宋体"/>
          <w:color w:val="auto"/>
          <w:sz w:val="24"/>
          <w:szCs w:val="24"/>
        </w:rPr>
        <w:t>。</w:t>
      </w:r>
    </w:p>
    <w:p w14:paraId="61860E47">
      <w:pPr>
        <w:keepNext/>
        <w:keepLines/>
        <w:spacing w:line="360" w:lineRule="auto"/>
        <w:outlineLvl w:val="2"/>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4.2履约担保</w:t>
      </w:r>
      <w:r>
        <w:rPr>
          <w:rFonts w:hint="eastAsia" w:ascii="宋体" w:hAnsi="宋体" w:eastAsia="宋体" w:cs="宋体"/>
          <w:b/>
          <w:bCs/>
          <w:color w:val="auto"/>
          <w:sz w:val="24"/>
          <w:szCs w:val="24"/>
          <w:lang w:eastAsia="zh-CN"/>
        </w:rPr>
        <w:t>：无</w:t>
      </w:r>
    </w:p>
    <w:p w14:paraId="5C18EE40">
      <w:pPr>
        <w:spacing w:line="360" w:lineRule="auto"/>
        <w:ind w:firstLine="482" w:firstLineChars="200"/>
        <w:jc w:val="left"/>
        <w:rPr>
          <w:rFonts w:hint="eastAsia" w:ascii="宋体" w:hAnsi="宋体" w:eastAsia="宋体" w:cs="宋体"/>
          <w:color w:val="auto"/>
          <w:sz w:val="24"/>
          <w:szCs w:val="24"/>
        </w:rPr>
      </w:pPr>
      <w:r>
        <w:rPr>
          <w:rFonts w:hint="eastAsia" w:ascii="宋体" w:hAnsi="宋体" w:eastAsia="宋体" w:cs="宋体"/>
          <w:b/>
          <w:bCs/>
          <w:color w:val="auto"/>
          <w:sz w:val="24"/>
          <w:szCs w:val="24"/>
        </w:rPr>
        <w:t>4.3分包（本工程不允许分包）</w:t>
      </w:r>
    </w:p>
    <w:p w14:paraId="4A7B901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4.3.2发包人同意承包人分包的非主体、非关键性工作除通用合同条款第4.3款的约定外，分包还应遵循以下约定：</w:t>
      </w:r>
    </w:p>
    <w:p w14:paraId="7D7D4FD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除约定的分包内容外，经过发包人和监理人书面同意，承包人可以将其他非主体、非关键性工作分包给第三人，但分包人应当经过发包人和监理人审批。发包人和监理人有权拒绝承包人的分包请求和承包人选择的分包人。</w:t>
      </w:r>
    </w:p>
    <w:p w14:paraId="0E6E6B6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发包人在工程量清单中给定暂估价的专业工程，包括从暂列金额开支的专业工程，达到依法应当招标的规模标准的，以及虽未达到规定的规模标准但合同中约定采用分包方式或者招标方式实施的，应当按专用合同条款第15.8.1项的约定，由发包人和承包人以招标方式确定专业分包人。除项目审批部门有特别核准外，暂估价的专业工程的招标应当采用与施工总承包同样的招标方式。</w:t>
      </w:r>
    </w:p>
    <w:p w14:paraId="21B7E65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w:t>
      </w:r>
      <w:bookmarkStart w:id="39" w:name="_Hlk40553084"/>
      <w:r>
        <w:rPr>
          <w:rFonts w:hint="eastAsia" w:ascii="宋体" w:hAnsi="宋体" w:eastAsia="宋体" w:cs="宋体"/>
          <w:color w:val="auto"/>
          <w:sz w:val="24"/>
          <w:szCs w:val="24"/>
        </w:rPr>
        <w:t xml:space="preserve"> 经发包人书面同意分包的工程项目的分包合同</w:t>
      </w:r>
      <w:bookmarkEnd w:id="39"/>
      <w:r>
        <w:rPr>
          <w:rFonts w:hint="eastAsia" w:ascii="宋体" w:hAnsi="宋体" w:eastAsia="宋体" w:cs="宋体"/>
          <w:color w:val="auto"/>
          <w:sz w:val="24"/>
          <w:szCs w:val="24"/>
        </w:rPr>
        <w:t>签订并报送有关建设行政主管部门备案后7天内，承包人应当将一份副本提交给监理人，承包人应保障分包工作不得再次分包，否则视为根本违约，发包人有权解除合同 ，将承包人清理出施工现场并要求承包人按照签约合同价的5%支付违约金及相关经济损失包括但不限于诉讼费、律师费、鉴定费、评估拍卖费等。</w:t>
      </w:r>
    </w:p>
    <w:p w14:paraId="5C5D394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承包人拟在中标后将中标项目的部分非主体、非关键性工作进行分包的，应符合规定的分包内容、分包金额和接受分包的第三人资质要求等限制性条件。</w:t>
      </w:r>
    </w:p>
    <w:p w14:paraId="659E104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(4)分包工程价款由承包人与分包人(包括专业分包人)结算。 发包人未经承包人同意不得向分包人(包括专业分包人)支付相关分包合同项下的工程款项（执行法院判决或仲裁裁决或政府要求除外）。因发包人未经承包人同意直接向分包人(包括专业分包人)支付相关分包合同项下的工程款项而影响承包人工作的，所造成的承包人费用增加或延误的工期由发包人承担。</w:t>
      </w:r>
    </w:p>
    <w:p w14:paraId="3271132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(5)未经发包人和监理人审批同意的分包工程和分包人，发包人有权拒绝验收分包工程和支付相应款项，由此引起的发包人费用增加和(或)延误的工期由承包人承担。</w:t>
      </w:r>
    </w:p>
    <w:p w14:paraId="0234F53F">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4.5承包人项目经理</w:t>
      </w:r>
    </w:p>
    <w:p w14:paraId="2706314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4.5.1承包人项目经理必须与承包人投标时所承诺的人员一致，并在根据通用合同条款第11.1.1项确定的开工日期前到任。在监理人向承包人颁发(出具)工程接收证书前，项目经理不得同时兼任其他任何项目的项目经理。未经发包人书面许可，承包人不得更换项目经理。承包人项目经理的姓名、职称、身份证号、执业资格证书号、注册证书号、执业印章号、安全生产考核合格证书号等细节资料应当在合同协议书中载明。</w:t>
      </w:r>
    </w:p>
    <w:p w14:paraId="7EA97FFD">
      <w:pPr>
        <w:spacing w:line="5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rPr>
        <w:t>4.5.2</w:t>
      </w:r>
      <w:r>
        <w:rPr>
          <w:rFonts w:hint="eastAsia" w:ascii="宋体" w:hAnsi="宋体" w:eastAsia="宋体" w:cs="宋体"/>
          <w:bCs/>
          <w:color w:val="auto"/>
          <w:sz w:val="24"/>
          <w:szCs w:val="24"/>
          <w:u w:val="single"/>
        </w:rPr>
        <w:t>项目经理及管理班子人员名单（包括项目副经理、技术负责人、预算员、施工员、安全员、材料员、质检员、资料员等）及其专业资格证书复印件作为合同附件，其组成人员在本工程实施过程中应坚守岗位，不得另外承担其它工程项目的管理工作，</w:t>
      </w:r>
      <w:r>
        <w:rPr>
          <w:rFonts w:hint="eastAsia" w:ascii="宋体" w:hAnsi="宋体" w:eastAsia="宋体" w:cs="宋体"/>
          <w:color w:val="auto"/>
          <w:sz w:val="24"/>
          <w:szCs w:val="24"/>
          <w:u w:val="single"/>
        </w:rPr>
        <w:t>发包人采用押证管理、人证合一，</w:t>
      </w:r>
      <w:r>
        <w:rPr>
          <w:rFonts w:hint="eastAsia" w:ascii="宋体" w:hAnsi="宋体" w:eastAsia="宋体" w:cs="宋体"/>
          <w:bCs/>
          <w:color w:val="auto"/>
          <w:sz w:val="24"/>
          <w:szCs w:val="24"/>
          <w:u w:val="single"/>
        </w:rPr>
        <w:t>未经发包人同意不得更换或撤回，否则视为承包人违约，发包人因此有权解除合同，并追究由此带来的发包人的一切损失包括但不限于诉讼费、律师费、鉴定费等，承包人需向发包人支付签约合同价1%的违约金。若发包人认为上述人员无法满足项目需求的，有权要求承包人更换合格的项目班子成员，承包人拒不更换的，发包人有权解除合同，承包人承担由此造成发包人的各项经济损失包括但不限于诉讼费、律师费、鉴定费等并承担签约合同价1%违约金。</w:t>
      </w:r>
    </w:p>
    <w:p w14:paraId="42A12E7C">
      <w:pPr>
        <w:spacing w:line="500" w:lineRule="exact"/>
        <w:ind w:firstLine="600" w:firstLineChars="250"/>
        <w:rPr>
          <w:rFonts w:hint="eastAsia" w:ascii="宋体" w:hAnsi="宋体" w:eastAsia="宋体" w:cs="宋体"/>
          <w:bCs/>
          <w:color w:val="auto"/>
          <w:sz w:val="24"/>
          <w:szCs w:val="24"/>
          <w:u w:val="single"/>
        </w:rPr>
      </w:pPr>
      <w:r>
        <w:rPr>
          <w:rFonts w:hint="eastAsia" w:ascii="宋体" w:hAnsi="宋体" w:eastAsia="宋体" w:cs="宋体"/>
          <w:bCs/>
          <w:color w:val="auto"/>
          <w:sz w:val="24"/>
          <w:szCs w:val="24"/>
          <w:u w:val="single"/>
        </w:rPr>
        <w:t>本项目以上所列的现场管理人员，在施工现场工作时间每周不低于 6天，每天工作不低于 8小时，否则按照项目经理5000 元/天，其余管理人员 1000元/天进行罚款，该罚款发包人直接从应付承包人工程款中扣除。</w:t>
      </w:r>
    </w:p>
    <w:p w14:paraId="4CF2A1FC">
      <w:pPr>
        <w:spacing w:line="500" w:lineRule="exact"/>
        <w:ind w:firstLine="602" w:firstLineChars="250"/>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承包人不得擅自变更</w:t>
      </w:r>
      <w:r>
        <w:rPr>
          <w:rFonts w:hint="eastAsia" w:ascii="宋体" w:hAnsi="宋体" w:eastAsia="宋体" w:cs="宋体"/>
          <w:b/>
          <w:bCs/>
          <w:color w:val="auto"/>
          <w:sz w:val="24"/>
          <w:szCs w:val="24"/>
          <w:u w:val="single"/>
          <w:lang w:eastAsia="zh-CN"/>
        </w:rPr>
        <w:t>磋商</w:t>
      </w:r>
      <w:r>
        <w:rPr>
          <w:rFonts w:hint="eastAsia" w:ascii="宋体" w:hAnsi="宋体" w:eastAsia="宋体" w:cs="宋体"/>
          <w:b/>
          <w:bCs/>
          <w:color w:val="auto"/>
          <w:sz w:val="24"/>
          <w:szCs w:val="24"/>
          <w:u w:val="single"/>
        </w:rPr>
        <w:t xml:space="preserve">响应文件中明确的项目经理或项目管理人员。如遇不可抗力（相关法律法规约定的事件）等原因承包人项目经理确需变更的，必须报请经发包人书面同意，方可更换。未经发包人书面同意私自更换项目经理的，承包人应按照合同总额 3% 向发包人支付违约金。未经发包人书面同意私自更换其他项目管理人员的，承包人应按照签约合同价的1% 向发包人支付违约金。 </w:t>
      </w:r>
    </w:p>
    <w:p w14:paraId="26652C86">
      <w:pPr>
        <w:spacing w:line="500" w:lineRule="exact"/>
        <w:ind w:firstLine="482" w:firstLineChars="200"/>
        <w:rPr>
          <w:rFonts w:hint="eastAsia" w:ascii="宋体" w:hAnsi="宋体" w:eastAsia="宋体" w:cs="宋体"/>
          <w:bCs/>
          <w:color w:val="auto"/>
          <w:sz w:val="24"/>
          <w:szCs w:val="24"/>
          <w:u w:val="single"/>
        </w:rPr>
      </w:pPr>
      <w:r>
        <w:rPr>
          <w:rFonts w:hint="eastAsia" w:ascii="宋体" w:hAnsi="宋体" w:eastAsia="宋体" w:cs="宋体"/>
          <w:b/>
          <w:color w:val="auto"/>
          <w:kern w:val="0"/>
          <w:sz w:val="24"/>
          <w:szCs w:val="24"/>
          <w:u w:val="single"/>
        </w:rPr>
        <w:t>项目班子</w:t>
      </w:r>
      <w:r>
        <w:rPr>
          <w:rFonts w:hint="eastAsia" w:ascii="宋体" w:hAnsi="宋体" w:eastAsia="宋体" w:cs="宋体"/>
          <w:b/>
          <w:bCs/>
          <w:color w:val="auto"/>
          <w:sz w:val="24"/>
          <w:szCs w:val="24"/>
          <w:u w:val="single"/>
        </w:rPr>
        <w:t>人员到建设单位录取脸谱信息，录入信息与响应文件明确的人员不相符的，自愿放弃成交资格。</w:t>
      </w:r>
      <w:r>
        <w:rPr>
          <w:rFonts w:hint="eastAsia" w:ascii="宋体" w:hAnsi="宋体" w:eastAsia="宋体" w:cs="宋体"/>
          <w:bCs/>
          <w:color w:val="auto"/>
          <w:sz w:val="24"/>
          <w:szCs w:val="24"/>
          <w:u w:val="single"/>
        </w:rPr>
        <w:t>工程开工后，由发包人采用脸谱考勤机或其他方式对现场管理人员进行考勤，发现承包方项目管理组成人员违反本合同规定的行为，按照项目经理5000 元/天、其余管理人员 1000元/天进行罚款，计入企业不良记录，性质恶劣的，发包人有权解除合同。承包人用于本工程的所有印章必须经发包方确认并将印模在发包人处备案，使用印章产生的一切法律后果由承包人承担；承包人项目经理及项目管理人员在与发包人和监理方信函往来中的签字行为对承包人具有法律拘束力。</w:t>
      </w:r>
      <w:r>
        <w:rPr>
          <w:rFonts w:hint="eastAsia" w:ascii="宋体" w:hAnsi="宋体" w:eastAsia="宋体" w:cs="宋体"/>
          <w:color w:val="auto"/>
          <w:sz w:val="24"/>
          <w:szCs w:val="24"/>
          <w:u w:val="single"/>
        </w:rPr>
        <w:t>（后附承包人项目经理、项目管理人名单及身份证复印件、授权委托书）。</w:t>
      </w:r>
    </w:p>
    <w:p w14:paraId="4782F5AC">
      <w:pPr>
        <w:spacing w:line="500" w:lineRule="exact"/>
        <w:ind w:firstLine="480" w:firstLineChars="200"/>
        <w:rPr>
          <w:rFonts w:hint="eastAsia" w:ascii="宋体" w:hAnsi="宋体" w:eastAsia="宋体" w:cs="宋体"/>
          <w:bCs/>
          <w:color w:val="auto"/>
          <w:sz w:val="24"/>
          <w:szCs w:val="24"/>
          <w:u w:val="single"/>
        </w:rPr>
      </w:pPr>
      <w:r>
        <w:rPr>
          <w:rFonts w:hint="eastAsia" w:ascii="宋体" w:hAnsi="宋体" w:eastAsia="宋体" w:cs="宋体"/>
          <w:bCs/>
          <w:color w:val="auto"/>
          <w:sz w:val="24"/>
          <w:szCs w:val="24"/>
          <w:u w:val="single"/>
        </w:rPr>
        <w:t>本条未提到的项目经理其它权利和义务执行合同通用条款 。</w:t>
      </w:r>
    </w:p>
    <w:p w14:paraId="51D01318">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4.6不利物质条件</w:t>
      </w:r>
    </w:p>
    <w:p w14:paraId="093133E7">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4.6.1不利物质条件的范围：</w:t>
      </w:r>
      <w:r>
        <w:rPr>
          <w:rFonts w:hint="eastAsia" w:ascii="宋体" w:hAnsi="宋体" w:eastAsia="宋体" w:cs="宋体"/>
          <w:color w:val="auto"/>
          <w:sz w:val="24"/>
          <w:szCs w:val="24"/>
          <w:u w:val="single"/>
        </w:rPr>
        <w:t>不利物质条件指承包人在施工场地遇到的不可预见的自然物质条件、非自然的物质障碍和污染物，包括地下和水文条件，但不包括气候条件。</w:t>
      </w:r>
    </w:p>
    <w:p w14:paraId="475D9DC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4.11.3</w:t>
      </w:r>
      <w:r>
        <w:rPr>
          <w:rFonts w:hint="eastAsia" w:ascii="宋体" w:hAnsi="宋体" w:eastAsia="宋体" w:cs="宋体"/>
          <w:color w:val="auto"/>
          <w:sz w:val="24"/>
          <w:szCs w:val="24"/>
          <w:u w:val="single"/>
        </w:rPr>
        <w:t>在不利物质条件发生之前，监理人已经指示承包人有可能发生，但承包人未能及时采取有效措施，而导致的损失和后果均由承包人承担。</w:t>
      </w:r>
    </w:p>
    <w:p w14:paraId="6585BAE6">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5.材料和工程设备</w:t>
      </w:r>
    </w:p>
    <w:p w14:paraId="3A1DB568">
      <w:pPr>
        <w:keepNext/>
        <w:keepLines/>
        <w:spacing w:line="500" w:lineRule="exact"/>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5.1承包人提供的材料和工程设备</w:t>
      </w:r>
    </w:p>
    <w:p w14:paraId="4E46E49E">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5.1.1除专用合同条款第5.2款约定由发包人提供的材料和工程设备外，由承包人提供的材料和工程设备均由承包人负责采购、运输和保管。但是，发包人在工程量清单中给定暂估价的材料和工程设备，包括从暂列金额开支的材料和工程设备，其中属于依法必须招标的范围并达到规定的规模标准的，以及虽不属于依法必须招标的范围但合同中约定采用招标方式采购的，应当按专用合同条款第15.8.1项的约定，由发包人和承包人以招标方式确定专项供应商。承包人负责提供的主要材料和工程设备清单见合同附件一“承包人提供的材料和工程设备一览表”。</w:t>
      </w:r>
    </w:p>
    <w:p w14:paraId="084BEA32">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工程所发生的材料均需为技术监督、质量检测检验等部门核准同意产品，并须提交第三方检验检测机构出具的产品合格检验检测报告，且一切相关检测、复检、各级（各类）验收、协调等费用（含第三方检验机构的费用）由承包方承担。</w:t>
      </w:r>
    </w:p>
    <w:p w14:paraId="5027319C">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承包人使用的主要材料不得使用贴牌产品，否则每发现一次，承包人需向发包人支付签约合同价1%的违约金，已经使用的由承包人按要求负责拆除，并重新采购，承担造成的一切损失，由此延误的工期不予顺延。</w:t>
      </w:r>
    </w:p>
    <w:p w14:paraId="24075B52">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发包人有权择优选择或调整工程中使用的主要材料，并据实调增（减）材料价格，承包人需积极配合。</w:t>
      </w:r>
    </w:p>
    <w:p w14:paraId="07BBDDA9">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承包人采购的材料到货后必须履行样品复核报审手续，经检验合格并得到监理工程师发出的书面认定后，承包人方可投入使用，否则不能使用并不予结算。</w:t>
      </w:r>
    </w:p>
    <w:p w14:paraId="7979530B">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发包人和监理工程师对材料供应商的决定或认可并不解除承包人对工程质量、工期的责任，也不解除承包人对材料应负的责任。</w:t>
      </w:r>
    </w:p>
    <w:p w14:paraId="2660461C">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承包人负责提供的材料和工程设备，技术标准和要求中有规定的必须优于或等同于技术标准和要求中的规定。</w:t>
      </w:r>
    </w:p>
    <w:p w14:paraId="38D89DAA">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承包人负责提供的主要材料和工程设备必须经发包人和承包人共同考察，经发包人确定材料品牌、规格后方可投入工程。承包人违反此约定，发包人有权单方解除合同，承包人向发包人支付签约合同价的1%的违约金，发包人有权在应付工程款中直接扣除该违约金。发包人指定的材料，必须以签证形式，经发包人书面确认无异议后据实计入结算。</w:t>
      </w:r>
    </w:p>
    <w:p w14:paraId="6F6938AD">
      <w:pPr>
        <w:spacing w:line="50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发包人对承包人确定的供应商及各种材料的厂家、品牌具有监督审核权，若发包人认为承包人确定的供应商无法满足设计及使用要求时，承包人应按设计及使用要求更换合格的设备、材料供应商。承包人拒不更换的，视为承包人违约，发包人有权单方面解除合同，承包人向发包人支付签约合同价的3%的违约金，发包人有权在应付工程款中直接扣除该违约金，且所有损失由承包人承担。</w:t>
      </w:r>
    </w:p>
    <w:p w14:paraId="051A4693">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5.1.2承包人将由其提供的材料和工程设备的供货人及品种、规格、数量和供货时间等报送监理人审批的期限：</w:t>
      </w:r>
      <w:r>
        <w:rPr>
          <w:rFonts w:hint="eastAsia" w:ascii="宋体" w:hAnsi="宋体" w:eastAsia="宋体" w:cs="宋体"/>
          <w:color w:val="auto"/>
          <w:sz w:val="24"/>
          <w:szCs w:val="24"/>
          <w:u w:val="single"/>
        </w:rPr>
        <w:t>相关分部分项工程开始施工前7天报送监理人审批</w:t>
      </w:r>
      <w:r>
        <w:rPr>
          <w:rFonts w:hint="eastAsia" w:ascii="宋体" w:hAnsi="宋体" w:eastAsia="宋体" w:cs="宋体"/>
          <w:color w:val="auto"/>
          <w:sz w:val="24"/>
          <w:szCs w:val="24"/>
        </w:rPr>
        <w:t>。</w:t>
      </w:r>
    </w:p>
    <w:p w14:paraId="0DA44A3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5.2发包人提供的材料和工程设备</w:t>
      </w:r>
    </w:p>
    <w:p w14:paraId="5768C18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5.2.1发包人负责提供的材料和工程设备的名称、规格、数量、价格、交货方式、交货地点和计划交货日期等见合同附件二“发包人提供的材料和工程设备一览表”。</w:t>
      </w:r>
    </w:p>
    <w:p w14:paraId="22D2C62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5.2.3由发包人提供的材料和工程设备验收后，由承包人负责接收、运输和保管。</w:t>
      </w:r>
    </w:p>
    <w:p w14:paraId="06FE1BEF">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6.施工设备和临时设施</w:t>
      </w:r>
    </w:p>
    <w:p w14:paraId="5821D048">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6.1承包人提供的施工设备和临时设施</w:t>
      </w:r>
    </w:p>
    <w:p w14:paraId="5175CB0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6.1.2发包人承担修建临时设施的费用的范围：</w:t>
      </w:r>
      <w:r>
        <w:rPr>
          <w:rFonts w:hint="eastAsia" w:ascii="宋体" w:hAnsi="宋体" w:eastAsia="宋体" w:cs="宋体"/>
          <w:color w:val="auto"/>
          <w:sz w:val="24"/>
          <w:szCs w:val="24"/>
          <w:u w:val="single"/>
        </w:rPr>
        <w:t>无</w:t>
      </w:r>
      <w:r>
        <w:rPr>
          <w:rFonts w:hint="eastAsia" w:ascii="宋体" w:hAnsi="宋体" w:eastAsia="宋体" w:cs="宋体"/>
          <w:color w:val="auto"/>
          <w:sz w:val="24"/>
          <w:szCs w:val="24"/>
        </w:rPr>
        <w:t>。</w:t>
      </w:r>
    </w:p>
    <w:p w14:paraId="5E09853F">
      <w:pPr>
        <w:spacing w:line="360" w:lineRule="auto"/>
        <w:ind w:firstLine="1200" w:firstLineChars="500"/>
        <w:rPr>
          <w:rFonts w:hint="eastAsia" w:ascii="宋体" w:hAnsi="宋体" w:eastAsia="宋体" w:cs="宋体"/>
          <w:color w:val="auto"/>
          <w:sz w:val="24"/>
          <w:szCs w:val="24"/>
        </w:rPr>
      </w:pPr>
      <w:r>
        <w:rPr>
          <w:rFonts w:hint="eastAsia" w:ascii="宋体" w:hAnsi="宋体" w:eastAsia="宋体" w:cs="宋体"/>
          <w:color w:val="auto"/>
          <w:sz w:val="24"/>
          <w:szCs w:val="24"/>
        </w:rPr>
        <w:t>需要发包人办理申请手续和承担相关费用的临时占地：</w:t>
      </w:r>
      <w:r>
        <w:rPr>
          <w:rFonts w:hint="eastAsia" w:ascii="宋体" w:hAnsi="宋体" w:eastAsia="宋体" w:cs="宋体"/>
          <w:color w:val="auto"/>
          <w:sz w:val="24"/>
          <w:szCs w:val="24"/>
          <w:u w:val="single"/>
        </w:rPr>
        <w:t>无</w:t>
      </w:r>
      <w:r>
        <w:rPr>
          <w:rFonts w:hint="eastAsia" w:ascii="宋体" w:hAnsi="宋体" w:eastAsia="宋体" w:cs="宋体"/>
          <w:color w:val="auto"/>
          <w:sz w:val="24"/>
          <w:szCs w:val="24"/>
        </w:rPr>
        <w:t>。</w:t>
      </w:r>
    </w:p>
    <w:p w14:paraId="43F61F69">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6.2发包人提供的施工设备和临时设施</w:t>
      </w:r>
    </w:p>
    <w:p w14:paraId="32CBBF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发包人提供的施工设备和临时设施：</w:t>
      </w:r>
      <w:r>
        <w:rPr>
          <w:rFonts w:hint="eastAsia" w:ascii="宋体" w:hAnsi="宋体" w:eastAsia="宋体" w:cs="宋体"/>
          <w:color w:val="auto"/>
          <w:sz w:val="24"/>
          <w:szCs w:val="24"/>
          <w:u w:val="single"/>
        </w:rPr>
        <w:t>无</w:t>
      </w:r>
      <w:r>
        <w:rPr>
          <w:rFonts w:hint="eastAsia" w:ascii="宋体" w:hAnsi="宋体" w:eastAsia="宋体" w:cs="宋体"/>
          <w:color w:val="auto"/>
          <w:sz w:val="24"/>
          <w:szCs w:val="24"/>
        </w:rPr>
        <w:t>。</w:t>
      </w:r>
    </w:p>
    <w:p w14:paraId="773432E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发包人提供的施工设备和临时设施的运行、维护、拆除、清运费用的承担人：</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27782D15">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6.4施工设备和临时设施专用于合同工程</w:t>
      </w:r>
    </w:p>
    <w:p w14:paraId="160CCA6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6.4.1除为专用合同条款第4.1.8项约定的其他独立承包人和监理人指示的他人提供条件外，承包人运入施工场地的所有施工设备以及在施工场地建设的临时设施仅限于用于合同工程。</w:t>
      </w:r>
    </w:p>
    <w:p w14:paraId="0F5ED689">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7.交通运输</w:t>
      </w:r>
    </w:p>
    <w:p w14:paraId="628A6EB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7.1道路通行权和场外设施</w:t>
      </w:r>
    </w:p>
    <w:p w14:paraId="5E46C84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取得道路通行权、场外设施修建权的办理人：</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，其相关费用由承包人承担。</w:t>
      </w:r>
    </w:p>
    <w:p w14:paraId="484F2456">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7.2场内施工道路</w:t>
      </w:r>
    </w:p>
    <w:p w14:paraId="59D8E0B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7.2.1施工所需的场内临时道路和交通设施的修建、维护、养护和管理人：</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，相关费用由</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承担。</w:t>
      </w:r>
    </w:p>
    <w:p w14:paraId="4ACC713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7.2.2发包人和监理人有权无偿使用承包人修建的临时道路和交通设施，不需要交纳任何费用。</w:t>
      </w:r>
    </w:p>
    <w:p w14:paraId="73879650">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7.4超大件和超重件的运输</w:t>
      </w:r>
    </w:p>
    <w:p w14:paraId="3CE09E9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运输超大件或超重件所需的道路和桥梁临时加固改造等费用的承担人：</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w:t>
      </w:r>
    </w:p>
    <w:p w14:paraId="226CCFEE">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8.测量放线</w:t>
      </w:r>
    </w:p>
    <w:p w14:paraId="50930C2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8.1施工控制网</w:t>
      </w:r>
    </w:p>
    <w:p w14:paraId="5509E18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8.1.1发包人通过监理人提供测量基准点、基准线和水准点及其书面资料的期限：</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53607A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承包人测设施工控制网的要求：</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A113A8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承包人将施工控制网资料报送监理人审批的期限：</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C51611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9.施工安全、治安保卫和环境保护</w:t>
      </w:r>
    </w:p>
    <w:p w14:paraId="5482EF93">
      <w:pPr>
        <w:keepNext/>
        <w:keepLines/>
        <w:spacing w:line="500" w:lineRule="exact"/>
        <w:ind w:firstLine="480" w:firstLineChars="200"/>
        <w:outlineLvl w:val="2"/>
        <w:rPr>
          <w:rFonts w:hint="eastAsia" w:ascii="宋体" w:hAnsi="宋体" w:eastAsia="宋体" w:cs="宋体"/>
          <w:color w:val="auto"/>
          <w:sz w:val="24"/>
          <w:szCs w:val="24"/>
        </w:rPr>
      </w:pPr>
      <w:r>
        <w:rPr>
          <w:rFonts w:hint="eastAsia" w:ascii="宋体" w:hAnsi="宋体" w:eastAsia="宋体" w:cs="宋体"/>
          <w:color w:val="auto"/>
          <w:sz w:val="24"/>
          <w:szCs w:val="24"/>
        </w:rPr>
        <w:t>因承包人原因施工过程中出现的一切质量、安全、人身伤亡等一切事故，均有承包人负责处理并承担所有费用。</w:t>
      </w:r>
    </w:p>
    <w:p w14:paraId="3781FC1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9.2承包人的施工安全责任</w:t>
      </w:r>
    </w:p>
    <w:p w14:paraId="62205A4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9.2.1承包人向监理人报送施工安全措施计划的期限：</w:t>
      </w:r>
      <w:r>
        <w:rPr>
          <w:rFonts w:hint="eastAsia" w:ascii="宋体" w:hAnsi="宋体" w:eastAsia="宋体" w:cs="宋体"/>
          <w:color w:val="auto"/>
          <w:sz w:val="24"/>
          <w:szCs w:val="24"/>
          <w:u w:val="single"/>
        </w:rPr>
        <w:t>签订施工合同后7天内</w:t>
      </w:r>
      <w:r>
        <w:rPr>
          <w:rFonts w:hint="eastAsia" w:ascii="宋体" w:hAnsi="宋体" w:eastAsia="宋体" w:cs="宋体"/>
          <w:color w:val="auto"/>
          <w:sz w:val="24"/>
          <w:szCs w:val="24"/>
        </w:rPr>
        <w:t>。</w:t>
      </w:r>
    </w:p>
    <w:p w14:paraId="5907C8B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监理人收到承包人报送的施工安全措施计划后应当在</w:t>
      </w:r>
      <w:r>
        <w:rPr>
          <w:rFonts w:hint="eastAsia" w:ascii="宋体" w:hAnsi="宋体" w:eastAsia="宋体" w:cs="宋体"/>
          <w:color w:val="auto"/>
          <w:sz w:val="24"/>
          <w:szCs w:val="24"/>
          <w:u w:val="single"/>
        </w:rPr>
        <w:t xml:space="preserve">  3</w:t>
      </w:r>
      <w:r>
        <w:rPr>
          <w:rFonts w:hint="eastAsia" w:ascii="宋体" w:hAnsi="宋体" w:eastAsia="宋体" w:cs="宋体"/>
          <w:color w:val="auto"/>
          <w:sz w:val="24"/>
          <w:szCs w:val="24"/>
        </w:rPr>
        <w:t>天内给予批复。</w:t>
      </w:r>
    </w:p>
    <w:p w14:paraId="30F56FD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9.3治安保卫</w:t>
      </w:r>
    </w:p>
    <w:p w14:paraId="416732B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9.3.1承包人应当负责统一管理施工场地的治安保卫事项，履行合同工程的治安保卫职责。</w:t>
      </w:r>
    </w:p>
    <w:p w14:paraId="587C0D7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9.3.3施工场地治安管理计划和突发治安事件紧急预案的编制责任人：</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w:t>
      </w:r>
    </w:p>
    <w:p w14:paraId="5DCC4297">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9.4环境保护</w:t>
      </w:r>
    </w:p>
    <w:p w14:paraId="1E61314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9.4.2施工环保措施计划报送监理人审批的时间：</w:t>
      </w:r>
      <w:r>
        <w:rPr>
          <w:rFonts w:hint="eastAsia" w:ascii="宋体" w:hAnsi="宋体" w:eastAsia="宋体" w:cs="宋体"/>
          <w:color w:val="auto"/>
          <w:sz w:val="24"/>
          <w:szCs w:val="24"/>
          <w:u w:val="single"/>
        </w:rPr>
        <w:t>签订施工合同后7天内</w:t>
      </w:r>
      <w:r>
        <w:rPr>
          <w:rFonts w:hint="eastAsia" w:ascii="宋体" w:hAnsi="宋体" w:eastAsia="宋体" w:cs="宋体"/>
          <w:color w:val="auto"/>
          <w:sz w:val="24"/>
          <w:szCs w:val="24"/>
        </w:rPr>
        <w:t>。</w:t>
      </w:r>
    </w:p>
    <w:p w14:paraId="728738D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监理人收到承包人报送的施工环保措施计划后应当在</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天内给予批复。</w:t>
      </w:r>
    </w:p>
    <w:p w14:paraId="39240454">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10.进度计划</w:t>
      </w:r>
    </w:p>
    <w:p w14:paraId="3366540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10.1合同进度计划</w:t>
      </w:r>
    </w:p>
    <w:p w14:paraId="4ADBC888">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(1)承包人应当在收到监理人按照通用合同条款第11.1.1项发出的开工通知后7天内，编制详细的施工进度计划和施工方案说明并报送监理人。承包人编制施工进度计划和施工方案说明的内容：</w:t>
      </w:r>
      <w:r>
        <w:rPr>
          <w:rFonts w:hint="eastAsia" w:ascii="宋体" w:hAnsi="宋体" w:eastAsia="宋体" w:cs="宋体"/>
          <w:color w:val="auto"/>
          <w:sz w:val="24"/>
          <w:szCs w:val="24"/>
          <w:u w:val="single"/>
        </w:rPr>
        <w:t>承包人应按投标阶段承诺的总进度计划关键线路目标，以及施工顺序和方法要点，向监理人提交更准确更详细的施工进度计划和施工方案</w:t>
      </w:r>
      <w:r>
        <w:rPr>
          <w:rFonts w:hint="eastAsia" w:ascii="宋体" w:hAnsi="宋体" w:eastAsia="宋体" w:cs="宋体"/>
          <w:color w:val="auto"/>
          <w:sz w:val="24"/>
          <w:szCs w:val="24"/>
        </w:rPr>
        <w:t>，施工进度计划中还应载明要求发包人组织设计人进行阶段性工程设计交底的时间。</w:t>
      </w:r>
    </w:p>
    <w:p w14:paraId="373A0E2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(2)监理人批复或对施工进度计划和施工方案说明提出修改意见的期限：自监理人收到承包人报送的相关进度计划和施工方案说明后14天内。</w:t>
      </w:r>
    </w:p>
    <w:p w14:paraId="4BE660CA">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(3)承包人编制分阶段或分项施工进度计划和施工方案说明的内容：</w:t>
      </w:r>
      <w:r>
        <w:rPr>
          <w:rFonts w:hint="eastAsia" w:ascii="宋体" w:hAnsi="宋体" w:eastAsia="宋体" w:cs="宋体"/>
          <w:color w:val="auto"/>
          <w:sz w:val="24"/>
          <w:szCs w:val="24"/>
          <w:u w:val="single"/>
        </w:rPr>
        <w:t xml:space="preserve">  按发包人和监理人要求 。</w:t>
      </w:r>
      <w:r>
        <w:rPr>
          <w:rFonts w:hint="eastAsia" w:ascii="宋体" w:hAnsi="宋体" w:eastAsia="宋体" w:cs="宋体"/>
          <w:color w:val="auto"/>
          <w:sz w:val="24"/>
          <w:szCs w:val="24"/>
          <w:u w:val="none"/>
        </w:rPr>
        <w:t xml:space="preserve">        </w:t>
      </w:r>
    </w:p>
    <w:p w14:paraId="2D11793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承包人报送分阶段或分项施工进度计划和施工方案说明的期限：</w:t>
      </w:r>
      <w:r>
        <w:rPr>
          <w:rFonts w:hint="eastAsia" w:ascii="宋体" w:hAnsi="宋体" w:eastAsia="宋体" w:cs="宋体"/>
          <w:color w:val="auto"/>
          <w:sz w:val="24"/>
          <w:szCs w:val="24"/>
          <w:u w:val="single"/>
        </w:rPr>
        <w:t xml:space="preserve">  按发包人和监理人要求  </w:t>
      </w:r>
      <w:r>
        <w:rPr>
          <w:rFonts w:hint="eastAsia" w:ascii="宋体" w:hAnsi="宋体" w:eastAsia="宋体" w:cs="宋体"/>
          <w:color w:val="auto"/>
          <w:sz w:val="24"/>
          <w:szCs w:val="24"/>
        </w:rPr>
        <w:t>。</w:t>
      </w:r>
    </w:p>
    <w:p w14:paraId="2C527C5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(4)群体工程中单位工程分期进行施工的，承包人应按照发包人提供图纸及有关资料的时间，按单位工程编制进度计划和施工方案说明。群体工程中有关进度计划和施工方案说明的要求：</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29E26F6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10.2合同进度计划的修订</w:t>
      </w:r>
    </w:p>
    <w:p w14:paraId="1FE384A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(1)承包人报送修订合同进度计划申请报告和相关资料的期限：</w:t>
      </w:r>
      <w:r>
        <w:rPr>
          <w:rFonts w:hint="eastAsia" w:ascii="宋体" w:hAnsi="宋体" w:eastAsia="宋体" w:cs="宋体"/>
          <w:color w:val="auto"/>
          <w:sz w:val="24"/>
          <w:szCs w:val="24"/>
          <w:u w:val="single"/>
        </w:rPr>
        <w:t>实际进度发生滞后的当月25日前。</w:t>
      </w:r>
    </w:p>
    <w:p w14:paraId="3B08FDF5">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(2)监理人批复修订合同进度计划申请报告的期限：</w:t>
      </w:r>
      <w:r>
        <w:rPr>
          <w:rFonts w:hint="eastAsia" w:ascii="宋体" w:hAnsi="宋体" w:eastAsia="宋体" w:cs="宋体"/>
          <w:color w:val="auto"/>
          <w:sz w:val="24"/>
          <w:szCs w:val="24"/>
          <w:u w:val="single"/>
        </w:rPr>
        <w:t>收到修订合同进度计划申请报告后2天内。</w:t>
      </w:r>
    </w:p>
    <w:p w14:paraId="0612DD9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(3)监理人批复修订合同进度计划的期限：</w:t>
      </w:r>
      <w:r>
        <w:rPr>
          <w:rFonts w:hint="eastAsia" w:ascii="宋体" w:hAnsi="宋体" w:eastAsia="宋体" w:cs="宋体"/>
          <w:color w:val="auto"/>
          <w:sz w:val="24"/>
          <w:szCs w:val="24"/>
          <w:u w:val="single"/>
        </w:rPr>
        <w:t>收到修订合同进度计划后3天内</w:t>
      </w:r>
      <w:r>
        <w:rPr>
          <w:rFonts w:hint="eastAsia" w:ascii="宋体" w:hAnsi="宋体" w:eastAsia="宋体" w:cs="宋体"/>
          <w:color w:val="auto"/>
          <w:sz w:val="24"/>
          <w:szCs w:val="24"/>
        </w:rPr>
        <w:t>。</w:t>
      </w:r>
    </w:p>
    <w:p w14:paraId="58629E2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11.开工和竣工</w:t>
      </w:r>
    </w:p>
    <w:p w14:paraId="7EC169C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11.3发包人的工期延误</w:t>
      </w:r>
    </w:p>
    <w:p w14:paraId="486CAC82">
      <w:pPr>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(7)因发包人原因不能按照监理人发出的开工通知中载明的开工日期开工。除发包人原因延期开工外，发包人造成工期延误的其他原因还包括：</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等延误承包人关键线路工作的情况。</w:t>
      </w:r>
    </w:p>
    <w:p w14:paraId="5E90B11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11.4异常恶劣的气候条件</w:t>
      </w:r>
    </w:p>
    <w:p w14:paraId="45DE1DBD">
      <w:pPr>
        <w:spacing w:line="360" w:lineRule="auto"/>
        <w:ind w:firstLine="120" w:firstLineChars="50"/>
        <w:rPr>
          <w:rFonts w:hint="eastAsia" w:ascii="宋体" w:hAnsi="宋体" w:eastAsia="宋体" w:cs="宋体"/>
          <w:color w:val="auto"/>
          <w:sz w:val="24"/>
          <w:szCs w:val="24"/>
        </w:rPr>
      </w:pPr>
      <w:r>
        <w:rPr>
          <w:rFonts w:hint="eastAsia" w:ascii="宋体" w:hAnsi="宋体" w:eastAsia="宋体" w:cs="宋体"/>
          <w:color w:val="auto"/>
          <w:sz w:val="24"/>
          <w:szCs w:val="24"/>
        </w:rPr>
        <w:t>异常恶劣的气候条件的范围和标准：</w:t>
      </w:r>
      <w:r>
        <w:rPr>
          <w:rFonts w:hint="eastAsia" w:ascii="宋体" w:hAnsi="宋体" w:eastAsia="宋体" w:cs="宋体"/>
          <w:color w:val="auto"/>
          <w:sz w:val="24"/>
          <w:szCs w:val="24"/>
          <w:u w:val="single"/>
        </w:rPr>
        <w:t>项目所在地30年以上一遇的罕见气候现象（包括温度、降水、降雪、风等）</w:t>
      </w:r>
      <w:r>
        <w:rPr>
          <w:rFonts w:hint="eastAsia" w:ascii="宋体" w:hAnsi="宋体" w:eastAsia="宋体" w:cs="宋体"/>
          <w:color w:val="auto"/>
          <w:sz w:val="24"/>
          <w:szCs w:val="24"/>
        </w:rPr>
        <w:t>。</w:t>
      </w:r>
    </w:p>
    <w:p w14:paraId="3A517D7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11.5承包人的工期延误</w:t>
      </w:r>
    </w:p>
    <w:p w14:paraId="7094F0D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由于承包人原因造成不能按期竣工的，在按合同约定确定的竣工日期(包括按合同延长的工期)后7天内，监理人应当按通用合同条款第23.4.1项的约定书面通知承包人，说明发包人有权得到按本款约定的下列标准和方法计算的逾期竣工违约金。</w:t>
      </w:r>
    </w:p>
    <w:p w14:paraId="74CF7FF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逾期竣工违约金的计算标准：</w:t>
      </w:r>
      <w:r>
        <w:rPr>
          <w:rFonts w:hint="eastAsia" w:ascii="宋体" w:hAnsi="宋体" w:eastAsia="宋体" w:cs="宋体"/>
          <w:bCs/>
          <w:color w:val="auto"/>
          <w:sz w:val="24"/>
          <w:szCs w:val="24"/>
          <w:u w:val="single"/>
        </w:rPr>
        <w:t>工期每逾期一天支付违约金2000元。</w:t>
      </w:r>
    </w:p>
    <w:p w14:paraId="4A62FA16">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逾期竣工违约金的计算方法：</w:t>
      </w:r>
      <w:r>
        <w:rPr>
          <w:rFonts w:hint="eastAsia" w:ascii="宋体" w:hAnsi="宋体" w:eastAsia="宋体" w:cs="宋体"/>
          <w:bCs/>
          <w:color w:val="auto"/>
          <w:sz w:val="24"/>
          <w:szCs w:val="24"/>
          <w:u w:val="single"/>
        </w:rPr>
        <w:t>工期每逾期一天支付违约金2000元。</w:t>
      </w:r>
    </w:p>
    <w:p w14:paraId="00A951E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逾期竣工违约金的限额</w:t>
      </w:r>
      <w:r>
        <w:rPr>
          <w:rFonts w:hint="eastAsia" w:ascii="宋体" w:hAnsi="宋体" w:eastAsia="宋体" w:cs="宋体"/>
          <w:color w:val="auto"/>
          <w:sz w:val="24"/>
          <w:szCs w:val="24"/>
          <w:u w:val="single"/>
        </w:rPr>
        <w:t xml:space="preserve">最高赔偿金额不超过签约合同价的5% </w:t>
      </w:r>
      <w:r>
        <w:rPr>
          <w:rFonts w:hint="eastAsia" w:ascii="宋体" w:hAnsi="宋体" w:eastAsia="宋体" w:cs="宋体"/>
          <w:color w:val="auto"/>
          <w:sz w:val="24"/>
          <w:szCs w:val="24"/>
        </w:rPr>
        <w:t>。</w:t>
      </w:r>
    </w:p>
    <w:p w14:paraId="178A9C4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因承包人原因造成工程连续停工15天或累计停工20天及以上的，发包人发出警告通知，承包人必须48小时内恢复正常施工；如承包人拒绝恢复施工，发包人有权终止施工合同且不予退还履约保证，对已完工程进行划线并确认无异议后拨付工程款。</w:t>
      </w:r>
    </w:p>
    <w:p w14:paraId="160B73FF">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11.6工期提前</w:t>
      </w:r>
    </w:p>
    <w:p w14:paraId="12B2C53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提前竣工的奖励办法：</w:t>
      </w:r>
      <w:r>
        <w:rPr>
          <w:rFonts w:hint="eastAsia" w:ascii="宋体" w:hAnsi="宋体" w:eastAsia="宋体" w:cs="宋体"/>
          <w:color w:val="auto"/>
          <w:sz w:val="24"/>
          <w:szCs w:val="24"/>
          <w:u w:val="single"/>
        </w:rPr>
        <w:t>无</w:t>
      </w:r>
      <w:r>
        <w:rPr>
          <w:rFonts w:hint="eastAsia" w:ascii="宋体" w:hAnsi="宋体" w:eastAsia="宋体" w:cs="宋体"/>
          <w:color w:val="auto"/>
          <w:sz w:val="24"/>
          <w:szCs w:val="24"/>
        </w:rPr>
        <w:t>。</w:t>
      </w:r>
    </w:p>
    <w:p w14:paraId="66573D5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12.暂停施工</w:t>
      </w:r>
    </w:p>
    <w:p w14:paraId="7C2C0DF4">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12.1承包人暂停施工的责任</w:t>
      </w:r>
    </w:p>
    <w:p w14:paraId="7096AA40">
      <w:pPr>
        <w:spacing w:after="93" w:afterLines="3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(5)承包人承担暂停施工责任的其他情形：</w:t>
      </w:r>
      <w:r>
        <w:rPr>
          <w:rFonts w:hint="eastAsia" w:ascii="宋体" w:hAnsi="宋体" w:eastAsia="宋体" w:cs="宋体"/>
          <w:color w:val="auto"/>
          <w:sz w:val="24"/>
          <w:szCs w:val="24"/>
          <w:u w:val="single"/>
        </w:rPr>
        <w:t>依照通用条款确定。</w:t>
      </w:r>
      <w:r>
        <w:rPr>
          <w:rFonts w:hint="eastAsia" w:ascii="宋体" w:hAnsi="宋体" w:eastAsia="宋体" w:cs="宋体"/>
          <w:color w:val="auto"/>
          <w:sz w:val="24"/>
          <w:szCs w:val="24"/>
        </w:rPr>
        <w:t>。</w:t>
      </w:r>
    </w:p>
    <w:p w14:paraId="6832146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12.4暂停施工后的复工</w:t>
      </w:r>
    </w:p>
    <w:p w14:paraId="042F584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12.4.3根据通用合同条款第12.4.1款的约定，监理人发出复工通知后，监理人应和承包人一起对受到暂停施工影响的工程、材料和工程设备进行检查。承包人负责修复在暂停施工期间发生在工程、材料和工程设备上的任何损蚀、缺陷或损失，修复费用由承担暂停施工责任的责任人承担。</w:t>
      </w:r>
    </w:p>
    <w:p w14:paraId="5912541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12.4.4暂停施工持续56天以上，按合同约定由承包人提供的材料和工程设备，由于暂停施工原因导致承包人在暂停施工前已经订购但被暂停运至施工现场的，发包人与承包人协商处理。</w:t>
      </w:r>
    </w:p>
    <w:p w14:paraId="77701999">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13.工程质量</w:t>
      </w:r>
    </w:p>
    <w:p w14:paraId="7C1FF90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13.1工程质量要求</w:t>
      </w:r>
    </w:p>
    <w:p w14:paraId="10AAA692">
      <w:pPr>
        <w:spacing w:after="93" w:afterLines="3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13.1.2</w:t>
      </w:r>
      <w:r>
        <w:rPr>
          <w:rFonts w:hint="eastAsia" w:ascii="宋体" w:hAnsi="宋体" w:eastAsia="宋体" w:cs="宋体"/>
          <w:bCs/>
          <w:color w:val="auto"/>
          <w:sz w:val="24"/>
          <w:szCs w:val="24"/>
          <w:u w:val="single"/>
        </w:rPr>
        <w:t>在工程施工过程中，承包人偷工减料、使用劣质材料、使用不合格设备，或因技术、管理等原因造成工程质量达不到合同约定验收标准的，发包人和监理人有权要求承包人返工直至符合合同要求为止，由此造成的费用增加和（或）工期延误由承包人承担，且发包人有权解除施工合同，同时要求承包人承担签约合同价5%违约金并赔偿由此造成的工程款增加、费用增加及工期延误损失等一切经济损失包括但不限于诉讼律师费、鉴定费、保全费、交通费等。</w:t>
      </w:r>
    </w:p>
    <w:p w14:paraId="78C02D3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13.2承包人的质量管理</w:t>
      </w:r>
    </w:p>
    <w:p w14:paraId="628B654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13.2.1承包人向监理人提交工程质量保证措施文件的期限：</w:t>
      </w:r>
      <w:r>
        <w:rPr>
          <w:rFonts w:hint="eastAsia" w:ascii="宋体" w:hAnsi="宋体" w:eastAsia="宋体" w:cs="宋体"/>
          <w:color w:val="auto"/>
          <w:sz w:val="24"/>
          <w:szCs w:val="24"/>
          <w:u w:val="single"/>
        </w:rPr>
        <w:t>签订施工合同后7天内</w:t>
      </w:r>
      <w:r>
        <w:rPr>
          <w:rFonts w:hint="eastAsia" w:ascii="宋体" w:hAnsi="宋体" w:eastAsia="宋体" w:cs="宋体"/>
          <w:color w:val="auto"/>
          <w:sz w:val="24"/>
          <w:szCs w:val="24"/>
        </w:rPr>
        <w:t>。</w:t>
      </w:r>
    </w:p>
    <w:p w14:paraId="53F5ABC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监理人审批工程质量保证措施文件的期限：</w:t>
      </w:r>
      <w:r>
        <w:rPr>
          <w:rFonts w:hint="eastAsia" w:ascii="宋体" w:hAnsi="宋体" w:eastAsia="宋体" w:cs="宋体"/>
          <w:color w:val="auto"/>
          <w:sz w:val="24"/>
          <w:szCs w:val="24"/>
          <w:u w:val="single"/>
        </w:rPr>
        <w:t>收到承包人报送的工程质量保证措施文件后3天内给予批复</w:t>
      </w:r>
      <w:r>
        <w:rPr>
          <w:rFonts w:hint="eastAsia" w:ascii="宋体" w:hAnsi="宋体" w:eastAsia="宋体" w:cs="宋体"/>
          <w:color w:val="auto"/>
          <w:sz w:val="24"/>
          <w:szCs w:val="24"/>
        </w:rPr>
        <w:t>。</w:t>
      </w:r>
    </w:p>
    <w:p w14:paraId="151AFFC7">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13.3承包人的质量检查</w:t>
      </w:r>
    </w:p>
    <w:p w14:paraId="48BE7688">
      <w:pPr>
        <w:spacing w:before="93" w:beforeLines="3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承包人向监理人报送工程质量报表的期限：</w:t>
      </w:r>
      <w:r>
        <w:rPr>
          <w:rFonts w:hint="eastAsia" w:ascii="宋体" w:hAnsi="宋体" w:eastAsia="宋体" w:cs="宋体"/>
          <w:color w:val="auto"/>
          <w:sz w:val="24"/>
          <w:szCs w:val="24"/>
          <w:u w:val="single"/>
        </w:rPr>
        <w:t>每月25日前</w:t>
      </w:r>
      <w:r>
        <w:rPr>
          <w:rFonts w:hint="eastAsia" w:ascii="宋体" w:hAnsi="宋体" w:eastAsia="宋体" w:cs="宋体"/>
          <w:color w:val="auto"/>
          <w:sz w:val="24"/>
          <w:szCs w:val="24"/>
        </w:rPr>
        <w:t>。</w:t>
      </w:r>
    </w:p>
    <w:p w14:paraId="6AFC0B10">
      <w:pPr>
        <w:spacing w:before="156" w:before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承包人向监理人报送工程质量报表的要求：</w:t>
      </w:r>
      <w:r>
        <w:rPr>
          <w:rFonts w:hint="eastAsia" w:ascii="宋体" w:hAnsi="宋体" w:eastAsia="宋体" w:cs="宋体"/>
          <w:color w:val="auto"/>
          <w:sz w:val="24"/>
          <w:szCs w:val="24"/>
          <w:u w:val="single"/>
        </w:rPr>
        <w:t>按规范及监理人要求</w:t>
      </w:r>
      <w:r>
        <w:rPr>
          <w:rFonts w:hint="eastAsia" w:ascii="宋体" w:hAnsi="宋体" w:eastAsia="宋体" w:cs="宋体"/>
          <w:color w:val="auto"/>
          <w:sz w:val="24"/>
          <w:szCs w:val="24"/>
        </w:rPr>
        <w:t>。</w:t>
      </w:r>
    </w:p>
    <w:p w14:paraId="64389BCC">
      <w:pPr>
        <w:spacing w:before="156" w:beforeLines="5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监理人审查工程质量报表的期限：</w:t>
      </w:r>
      <w:r>
        <w:rPr>
          <w:rFonts w:hint="eastAsia" w:ascii="宋体" w:hAnsi="宋体" w:eastAsia="宋体" w:cs="宋体"/>
          <w:color w:val="auto"/>
          <w:sz w:val="24"/>
          <w:szCs w:val="24"/>
          <w:u w:val="single"/>
        </w:rPr>
        <w:t>收到承包人报送的工程质量报表后3天内</w:t>
      </w:r>
      <w:r>
        <w:rPr>
          <w:rFonts w:hint="eastAsia" w:ascii="宋体" w:hAnsi="宋体" w:eastAsia="宋体" w:cs="宋体"/>
          <w:color w:val="auto"/>
          <w:sz w:val="24"/>
          <w:szCs w:val="24"/>
        </w:rPr>
        <w:t>。</w:t>
      </w:r>
    </w:p>
    <w:p w14:paraId="51E0004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13.4监理人的质量检查</w:t>
      </w:r>
    </w:p>
    <w:p w14:paraId="318D4C68">
      <w:pPr>
        <w:spacing w:before="93" w:beforeLines="30"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承包人应当为监理人的检查和检验提供方便，监理人可以进行察看和查阅施工原始记录的其他地方包括：</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2AAF958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13.5工程隐蔽部位覆盖前的检查</w:t>
      </w:r>
    </w:p>
    <w:p w14:paraId="27941F5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13.5.1监理人对工程隐蔽部位进行检查的期限：</w:t>
      </w:r>
      <w:r>
        <w:rPr>
          <w:rFonts w:hint="eastAsia" w:ascii="宋体" w:hAnsi="宋体" w:eastAsia="宋体" w:cs="宋体"/>
          <w:color w:val="auto"/>
          <w:sz w:val="24"/>
          <w:szCs w:val="24"/>
          <w:u w:val="single"/>
        </w:rPr>
        <w:t>收到承包人的通知后3天内</w:t>
      </w:r>
      <w:r>
        <w:rPr>
          <w:rFonts w:hint="eastAsia" w:ascii="宋体" w:hAnsi="宋体" w:eastAsia="宋体" w:cs="宋体"/>
          <w:color w:val="auto"/>
          <w:sz w:val="24"/>
          <w:szCs w:val="24"/>
        </w:rPr>
        <w:t>。</w:t>
      </w:r>
    </w:p>
    <w:p w14:paraId="217FEE1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13.7质量争议</w:t>
      </w:r>
    </w:p>
    <w:p w14:paraId="4B936733">
      <w:pPr>
        <w:spacing w:before="93" w:beforeLines="3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和承包人对工程质量有争议的，除可按合同条款第24条办理外，监理人可提请合同双方委托有相应资质的工程质量检测机构进行鉴定，所需费用及因此造成的损失，由责任人承担，双方均有责任，由双方根据其责任分别承担。经检测，质量确有缺陷的，已竣工验收或已竣工未验收但实际投入使用的工程，其处理按工程保修书的约定执行；已竣工未验收且未实际投入使用的工程以及停工、停建的工程，根据检测结果确定解决方案，或按工程质量监督机构的处理决定执行，由此造成的损失由责任方承担。</w:t>
      </w:r>
    </w:p>
    <w:p w14:paraId="65AB35F6">
      <w:pPr>
        <w:numPr>
          <w:ilvl w:val="0"/>
          <w:numId w:val="0"/>
        </w:numPr>
        <w:spacing w:before="93" w:beforeLines="3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15.</w:t>
      </w:r>
      <w:r>
        <w:rPr>
          <w:rFonts w:hint="eastAsia" w:ascii="宋体" w:hAnsi="宋体" w:eastAsia="宋体" w:cs="宋体"/>
          <w:b/>
          <w:bCs/>
          <w:color w:val="auto"/>
          <w:sz w:val="24"/>
          <w:szCs w:val="24"/>
        </w:rPr>
        <w:t>变更</w:t>
      </w:r>
    </w:p>
    <w:p w14:paraId="42B076B2">
      <w:pPr>
        <w:numPr>
          <w:ilvl w:val="0"/>
          <w:numId w:val="0"/>
        </w:numPr>
        <w:spacing w:before="93" w:beforeLines="3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15.1变更的范围和内容</w:t>
      </w:r>
    </w:p>
    <w:p w14:paraId="750A9B9E">
      <w:pPr>
        <w:keepNext w:val="0"/>
        <w:keepLines w:val="0"/>
        <w:pageBreakBefore w:val="0"/>
        <w:widowControl w:val="0"/>
        <w:numPr>
          <w:ilvl w:val="0"/>
          <w:numId w:val="0"/>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除专用合同条款另有约定外，在履行合同中发生以下情形之一，应按照本条规定进行变更。</w:t>
      </w:r>
    </w:p>
    <w:p w14:paraId="21AC7C94">
      <w:pPr>
        <w:keepNext w:val="0"/>
        <w:keepLines w:val="0"/>
        <w:pageBreakBefore w:val="0"/>
        <w:widowControl w:val="0"/>
        <w:numPr>
          <w:ilvl w:val="0"/>
          <w:numId w:val="3"/>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取消合同中任何一项工作；</w:t>
      </w:r>
    </w:p>
    <w:p w14:paraId="3A747D04">
      <w:pPr>
        <w:keepNext w:val="0"/>
        <w:keepLines w:val="0"/>
        <w:pageBreakBefore w:val="0"/>
        <w:widowControl w:val="0"/>
        <w:numPr>
          <w:ilvl w:val="0"/>
          <w:numId w:val="0"/>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(2）改变合同中任何一项工作的质量或其他特性；</w:t>
      </w:r>
    </w:p>
    <w:p w14:paraId="430DD0A2">
      <w:pPr>
        <w:keepNext w:val="0"/>
        <w:keepLines w:val="0"/>
        <w:pageBreakBefore w:val="0"/>
        <w:widowControl w:val="0"/>
        <w:numPr>
          <w:ilvl w:val="0"/>
          <w:numId w:val="0"/>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(3）改变合同中任何一项工作的施工时间；</w:t>
      </w:r>
    </w:p>
    <w:p w14:paraId="111E9390">
      <w:pPr>
        <w:keepNext w:val="0"/>
        <w:keepLines w:val="0"/>
        <w:pageBreakBefore w:val="0"/>
        <w:widowControl w:val="0"/>
        <w:numPr>
          <w:ilvl w:val="0"/>
          <w:numId w:val="0"/>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(4）为完成工程需要追加的额外工作。应当进行变更的工程内容，发包方与承包方根据实际情况书面确定变更工程项目内容和工程量清单。</w:t>
      </w:r>
    </w:p>
    <w:p w14:paraId="1C543C51">
      <w:pPr>
        <w:numPr>
          <w:ilvl w:val="0"/>
          <w:numId w:val="0"/>
        </w:numPr>
        <w:spacing w:before="93" w:beforeLines="3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15.2 变更权在履行合同过程中，经发包人同意，监理人可按第15.3 款约定的变更程序向承包人作出变更指示，承包人应遵照执行。没有监理人的变更指示，承包人不得擅自变更。</w:t>
      </w:r>
    </w:p>
    <w:p w14:paraId="208C3BB8">
      <w:pPr>
        <w:numPr>
          <w:ilvl w:val="0"/>
          <w:numId w:val="0"/>
        </w:numPr>
        <w:spacing w:before="93" w:beforeLines="3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15.3变更程序</w:t>
      </w:r>
    </w:p>
    <w:p w14:paraId="0766570C">
      <w:pPr>
        <w:numPr>
          <w:ilvl w:val="0"/>
          <w:numId w:val="0"/>
        </w:numPr>
        <w:spacing w:before="93" w:beforeLines="3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15.3.1变更的提出</w:t>
      </w:r>
    </w:p>
    <w:p w14:paraId="7FEA4E00">
      <w:pPr>
        <w:keepNext w:val="0"/>
        <w:keepLines w:val="0"/>
        <w:pageBreakBefore w:val="0"/>
        <w:widowControl w:val="0"/>
        <w:numPr>
          <w:ilvl w:val="0"/>
          <w:numId w:val="4"/>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在合同履行过程中，可能发生第15.1 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书面同意承包人根据变更意向书要求提交的变更实施方案的，由监理人按第15.3.3 项约定发出变更指示。</w:t>
      </w:r>
    </w:p>
    <w:p w14:paraId="76138349">
      <w:pPr>
        <w:keepNext w:val="0"/>
        <w:keepLines w:val="0"/>
        <w:pageBreakBefore w:val="0"/>
        <w:widowControl w:val="0"/>
        <w:numPr>
          <w:ilvl w:val="0"/>
          <w:numId w:val="4"/>
        </w:numPr>
        <w:kinsoku/>
        <w:wordWrap/>
        <w:overflowPunct/>
        <w:topLinePunct w:val="0"/>
        <w:autoSpaceDE/>
        <w:autoSpaceDN/>
        <w:bidi w:val="0"/>
        <w:adjustRightInd/>
        <w:snapToGrid/>
        <w:spacing w:before="93" w:beforeLines="30" w:line="360" w:lineRule="auto"/>
        <w:ind w:left="0" w:leftChars="0"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在合同履行过程中，发生第15.1 款约定情形的，监理人应按照第15.3.3 项约定向承包人发出变更指示。</w:t>
      </w:r>
    </w:p>
    <w:p w14:paraId="2F683BE0">
      <w:pPr>
        <w:keepNext w:val="0"/>
        <w:keepLines w:val="0"/>
        <w:pageBreakBefore w:val="0"/>
        <w:widowControl w:val="0"/>
        <w:numPr>
          <w:ilvl w:val="0"/>
          <w:numId w:val="4"/>
        </w:numPr>
        <w:kinsoku/>
        <w:wordWrap/>
        <w:overflowPunct/>
        <w:topLinePunct w:val="0"/>
        <w:autoSpaceDE/>
        <w:autoSpaceDN/>
        <w:bidi w:val="0"/>
        <w:adjustRightInd/>
        <w:snapToGrid/>
        <w:spacing w:before="93" w:beforeLines="30" w:line="360" w:lineRule="auto"/>
        <w:ind w:left="0" w:leftChars="0"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承包人收到监理人按合同约定发出的图纸和文件，经检查认为其中存在第15.1 款约定情形的，可向监理人提出书面变更建议。变更建议应阐明要求变更的依据，并附必要的图纸和说明。监理人收到承包人书面建议后，应与发包人共同研究，确认存在变更的，应在收到承包人书面建议后的14 天内作出变更指示。经研究后不同意作为变更的，应由监理人书面答复承包人。</w:t>
      </w:r>
    </w:p>
    <w:p w14:paraId="12C1556F">
      <w:pPr>
        <w:keepNext w:val="0"/>
        <w:keepLines w:val="0"/>
        <w:pageBreakBefore w:val="0"/>
        <w:widowControl w:val="0"/>
        <w:numPr>
          <w:ilvl w:val="0"/>
          <w:numId w:val="0"/>
        </w:numPr>
        <w:kinsoku/>
        <w:wordWrap/>
        <w:overflowPunct/>
        <w:topLinePunct w:val="0"/>
        <w:autoSpaceDE/>
        <w:autoSpaceDN/>
        <w:bidi w:val="0"/>
        <w:adjustRightInd/>
        <w:snapToGrid/>
        <w:spacing w:before="93" w:beforeLines="30"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(4）若承包人收到监理人的变更意向书后认为难以实施此项变更，应立即通知监理人，说明原因并附详细依据。监理人与承包人和发包人协商后确定撤销、改变或不改变原变更意向书。</w:t>
      </w:r>
    </w:p>
    <w:p w14:paraId="54B4C787">
      <w:pPr>
        <w:spacing w:line="50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15.3.2变更估价</w:t>
      </w:r>
    </w:p>
    <w:p w14:paraId="193AFDAB">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(l）除专用合同条款对期限另有约定外，承包人应在收到变更指示或变更意向书后的14 天内，依据合同约定向监理人提交变更报价书，报价内容应根据第15.4 款约定的估价原则，详细开列变更工作的价格组成及其依据，并附必要的施工方法说明和有关图纸。</w:t>
      </w:r>
    </w:p>
    <w:p w14:paraId="5AAF6446">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(2）变更工作影响工期的，承包人应提出调整工期的具体细节。监理人认为有必要时，可要求承包人提交要求提前或延长工期的施工进度计划及相应施工措施等详细资料。</w:t>
      </w:r>
    </w:p>
    <w:p w14:paraId="16644741">
      <w:pPr>
        <w:spacing w:line="500" w:lineRule="exact"/>
        <w:ind w:firstLine="482" w:firstLineChars="200"/>
        <w:rPr>
          <w:rFonts w:hint="eastAsia" w:ascii="宋体" w:hAnsi="宋体" w:eastAsia="宋体" w:cs="宋体"/>
          <w:color w:val="auto"/>
          <w:sz w:val="24"/>
          <w:szCs w:val="24"/>
        </w:rPr>
      </w:pPr>
      <w:r>
        <w:rPr>
          <w:rFonts w:hint="eastAsia" w:ascii="宋体" w:hAnsi="宋体" w:eastAsia="宋体" w:cs="宋体"/>
          <w:b/>
          <w:bCs/>
          <w:color w:val="auto"/>
          <w:sz w:val="24"/>
          <w:szCs w:val="24"/>
        </w:rPr>
        <w:t>(3）除专用合同条款对期限另有约定外，监理人收到承包人变更报价书后的14 天内，根据第15.4 款约定的估价原则确定变更价格。</w:t>
      </w:r>
    </w:p>
    <w:p w14:paraId="5F71C1AB">
      <w:pPr>
        <w:spacing w:before="93" w:beforeLines="30"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(1)承包人提交变更报价书的期限：</w:t>
      </w:r>
      <w:r>
        <w:rPr>
          <w:rFonts w:hint="eastAsia" w:ascii="宋体" w:hAnsi="宋体" w:eastAsia="宋体" w:cs="宋体"/>
          <w:color w:val="auto"/>
          <w:sz w:val="24"/>
          <w:szCs w:val="24"/>
          <w:u w:val="single"/>
        </w:rPr>
        <w:t>按政府工程变更报批程序办理</w:t>
      </w:r>
      <w:r>
        <w:rPr>
          <w:rFonts w:hint="eastAsia" w:ascii="宋体" w:hAnsi="宋体" w:eastAsia="宋体" w:cs="宋体"/>
          <w:color w:val="auto"/>
          <w:sz w:val="24"/>
          <w:szCs w:val="24"/>
        </w:rPr>
        <w:t>。</w:t>
      </w:r>
    </w:p>
    <w:p w14:paraId="25A992FA">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(3)监理人商定或确定变更价格的期限：</w:t>
      </w:r>
      <w:r>
        <w:rPr>
          <w:rFonts w:hint="eastAsia" w:ascii="宋体" w:hAnsi="宋体" w:eastAsia="宋体" w:cs="宋体"/>
          <w:color w:val="auto"/>
          <w:sz w:val="24"/>
          <w:szCs w:val="24"/>
          <w:u w:val="single"/>
        </w:rPr>
        <w:t>按政府工程变更报批程序办理</w:t>
      </w:r>
      <w:r>
        <w:rPr>
          <w:rFonts w:hint="eastAsia" w:ascii="宋体" w:hAnsi="宋体" w:eastAsia="宋体" w:cs="宋体"/>
          <w:color w:val="auto"/>
          <w:sz w:val="24"/>
          <w:szCs w:val="24"/>
        </w:rPr>
        <w:t>。</w:t>
      </w:r>
    </w:p>
    <w:p w14:paraId="455A5291">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(4)收到变更指示后，如承包人未在规定的期限内提交变更报价书的，监理人可自行决定是否调整合同价款以及如果监理人决定调整合同价款时，相应调整的具体金额，并报发包人审批后确定。</w:t>
      </w:r>
    </w:p>
    <w:p w14:paraId="4967A7D9">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15.3.3 变更指示</w:t>
      </w:r>
    </w:p>
    <w:p w14:paraId="3A80C35F">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(l）变更指示只能由监理人发出。</w:t>
      </w:r>
    </w:p>
    <w:p w14:paraId="1D0F842F">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(2）变更指示应说明变更的目的、范围、变更内容以及变更的工程量及其进度和技术要求，并附有关图纸和文件。承包人收到变更指示后，应按变更指示进行变更工作。</w:t>
      </w:r>
    </w:p>
    <w:p w14:paraId="6A0AF388">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(3）承包人变更或增加工程量的，应向发包人提供工程量及其他材料清单，报发包人和监理人确认无异议后进行变更增加。15.4变更的估价原则除专用合同条款另有约定外，因变更引起的价格调整按照本款约定处理。</w:t>
      </w:r>
    </w:p>
    <w:p w14:paraId="4DAF1978">
      <w:pPr>
        <w:spacing w:line="500" w:lineRule="exact"/>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15.4.1 已标价工程量清单中有适用于变更工作的子目的，采用该子目的单价。</w:t>
      </w:r>
    </w:p>
    <w:p w14:paraId="44341961">
      <w:pPr>
        <w:keepNext/>
        <w:keepLines/>
        <w:spacing w:line="500" w:lineRule="exact"/>
        <w:ind w:firstLine="482" w:firstLineChars="200"/>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15.4.2 已标价工程量清单中无适用于变更工作的子目，但有类似子目的，可在合理范围内参照类似子目的单价，由监理人和发包人确定变更工作的单价。</w:t>
      </w:r>
    </w:p>
    <w:p w14:paraId="0E9A6E75">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15.4.3 已标价工程量清单中无适用或类似子目的单价，可按照成本加利润的原则，由监理人和发包人确定变更工作的单价。</w:t>
      </w:r>
    </w:p>
    <w:p w14:paraId="7733040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15.4.4因工程量清单漏项(仅适用于合同协议书约定采用单价合同形式时)或变更引起措施项目发生变化，原措施项目费中已有的措施项目，采用原措施项目费的组价方法变更；原措施项目费中没有的措施项目，由承包人根据措施项目变更情况，提出适当的措施项目费变更，由监理人报发包人书面确认无异议后再按第3.5款商定或确定变更措施项目的费用。</w:t>
      </w:r>
    </w:p>
    <w:p w14:paraId="714CFF1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15.4.5合同协议书约定采用单价合同形式时，非承包人原因引起已标价工程量清单中列明的工程量发生增减，</w:t>
      </w:r>
      <w:r>
        <w:rPr>
          <w:rFonts w:hint="eastAsia" w:ascii="宋体" w:hAnsi="宋体" w:eastAsia="宋体" w:cs="宋体"/>
          <w:bCs/>
          <w:color w:val="auto"/>
          <w:sz w:val="24"/>
          <w:szCs w:val="24"/>
        </w:rPr>
        <w:t>按政府工程变更报批程序办理。</w:t>
      </w:r>
    </w:p>
    <w:p w14:paraId="7C227289">
      <w:pPr>
        <w:spacing w:line="360" w:lineRule="auto"/>
        <w:ind w:firstLine="480" w:firstLineChars="200"/>
        <w:rPr>
          <w:rFonts w:hint="eastAsia" w:ascii="宋体" w:hAnsi="宋体" w:eastAsia="宋体" w:cs="宋体"/>
          <w:b/>
          <w:bCs/>
          <w:color w:val="auto"/>
          <w:sz w:val="24"/>
          <w:szCs w:val="24"/>
          <w:u w:val="single"/>
        </w:rPr>
      </w:pPr>
      <w:r>
        <w:rPr>
          <w:rFonts w:hint="eastAsia" w:ascii="宋体" w:hAnsi="宋体" w:eastAsia="宋体" w:cs="宋体"/>
          <w:color w:val="auto"/>
          <w:sz w:val="24"/>
          <w:szCs w:val="24"/>
        </w:rPr>
        <w:t>15.4.6因变更引起价格调整的其他处理方式：</w:t>
      </w:r>
      <w:r>
        <w:rPr>
          <w:rFonts w:hint="eastAsia" w:ascii="宋体" w:hAnsi="宋体" w:eastAsia="宋体" w:cs="宋体"/>
          <w:b/>
          <w:bCs/>
          <w:color w:val="auto"/>
          <w:sz w:val="24"/>
          <w:szCs w:val="24"/>
          <w:u w:val="single"/>
        </w:rPr>
        <w:t>因设计变更或新增项目等出现的采购预算工程量清单中未设置的清单项目，承包人应当按照采购预算的编制依据、编制原则、编制方法编制该部分项目预算，并经财政审计部门审核确定后，按照本工程采购时总报价相对采购预算总价的下浮比例确定该部分项目的价格。</w:t>
      </w:r>
    </w:p>
    <w:p w14:paraId="6D506FC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15.5承包人的合理化建议</w:t>
      </w:r>
    </w:p>
    <w:p w14:paraId="5FE93FC7">
      <w:pPr>
        <w:keepNext/>
        <w:keepLines/>
        <w:spacing w:line="500" w:lineRule="exact"/>
        <w:ind w:firstLine="482" w:firstLineChars="200"/>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565E699">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15.5.2对承包人提出合理化建议的奖励方法：</w:t>
      </w:r>
      <w:r>
        <w:rPr>
          <w:rFonts w:hint="eastAsia" w:ascii="宋体" w:hAnsi="宋体" w:eastAsia="宋体" w:cs="宋体"/>
          <w:color w:val="auto"/>
          <w:sz w:val="24"/>
          <w:szCs w:val="24"/>
          <w:u w:val="single"/>
        </w:rPr>
        <w:t>无</w:t>
      </w:r>
    </w:p>
    <w:p w14:paraId="5045F9F8">
      <w:pPr>
        <w:pStyle w:val="4"/>
        <w:keepNext w:val="0"/>
        <w:keepLines w:val="0"/>
        <w:spacing w:line="540" w:lineRule="exact"/>
        <w:rPr>
          <w:rFonts w:hint="eastAsia" w:ascii="宋体" w:hAnsi="宋体" w:eastAsia="宋体" w:cs="宋体"/>
          <w:color w:val="auto"/>
          <w:sz w:val="24"/>
          <w:szCs w:val="24"/>
        </w:rPr>
      </w:pPr>
      <w:r>
        <w:rPr>
          <w:rFonts w:hint="eastAsia" w:ascii="宋体" w:hAnsi="宋体" w:eastAsia="宋体" w:cs="宋体"/>
          <w:color w:val="auto"/>
          <w:sz w:val="24"/>
          <w:szCs w:val="24"/>
        </w:rPr>
        <w:t>15.8暂估价</w:t>
      </w:r>
    </w:p>
    <w:p w14:paraId="12C24155">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15.8.1按合同约定应当由发包人和承包人采用采购方式选择专项供应商或专业分包人的，应当由承包人作为采购人，依法组织采购工作并接受有管辖权的建设工程招标投标行政监督部门的监督。与组织采购工作有关的费用应当被认为已经包括在承包人的签约合同价(总报价)中：</w:t>
      </w:r>
    </w:p>
    <w:p w14:paraId="725B37D1">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(1)在任何采购工作启动前，承包人应当提前至少</w:t>
      </w:r>
      <w:r>
        <w:rPr>
          <w:rFonts w:hint="eastAsia" w:ascii="宋体" w:hAnsi="宋体" w:eastAsia="宋体" w:cs="宋体"/>
          <w:color w:val="auto"/>
          <w:sz w:val="24"/>
          <w:szCs w:val="24"/>
          <w:u w:val="single"/>
          <w:lang w:bidi="ar"/>
        </w:rPr>
        <w:t xml:space="preserve">  7  </w:t>
      </w:r>
      <w:r>
        <w:rPr>
          <w:rFonts w:hint="eastAsia" w:ascii="宋体" w:hAnsi="宋体" w:eastAsia="宋体" w:cs="宋体"/>
          <w:color w:val="auto"/>
          <w:sz w:val="24"/>
          <w:szCs w:val="24"/>
          <w:lang w:bidi="ar"/>
        </w:rPr>
        <w:t>天编制采购工作计划并通过监理人报请发包人审批，采购工作计划应当包括采购工作的时间安排、拟采用的采购方式、拟采用的资格审查方法、主要采购过程文件的编制内容、对供应商的资格条件要求、评标标准和方法、评标委员会组成、是否编制采购控制价和(或)标底以及采购控制价和(或)标底编制原则，发包人应当在监理人收到承包人报送的采购工作计划后</w:t>
      </w:r>
      <w:r>
        <w:rPr>
          <w:rFonts w:hint="eastAsia" w:ascii="宋体" w:hAnsi="宋体" w:eastAsia="宋体" w:cs="宋体"/>
          <w:color w:val="auto"/>
          <w:sz w:val="24"/>
          <w:szCs w:val="24"/>
          <w:u w:val="single"/>
          <w:lang w:bidi="ar"/>
        </w:rPr>
        <w:t xml:space="preserve"> 3 </w:t>
      </w:r>
      <w:r>
        <w:rPr>
          <w:rFonts w:hint="eastAsia" w:ascii="宋体" w:hAnsi="宋体" w:eastAsia="宋体" w:cs="宋体"/>
          <w:color w:val="auto"/>
          <w:sz w:val="24"/>
          <w:szCs w:val="24"/>
          <w:lang w:bidi="ar"/>
        </w:rPr>
        <w:t>天内给予批准或者提出修改意见。承包人应当严格按照经过发包人批准的采购工作计划开展采购工作。</w:t>
      </w:r>
    </w:p>
    <w:p w14:paraId="0C1ADFCF">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(2)承包人应当在发出磋商公告(或者资格预审公告或者邀请书)、资格预审文件和磋商文件前至少</w:t>
      </w:r>
      <w:r>
        <w:rPr>
          <w:rFonts w:hint="eastAsia" w:ascii="宋体" w:hAnsi="宋体" w:eastAsia="宋体" w:cs="宋体"/>
          <w:color w:val="auto"/>
          <w:sz w:val="24"/>
          <w:szCs w:val="24"/>
          <w:u w:val="single"/>
          <w:lang w:bidi="ar"/>
        </w:rPr>
        <w:t xml:space="preserve"> 7  </w:t>
      </w:r>
      <w:r>
        <w:rPr>
          <w:rFonts w:hint="eastAsia" w:ascii="宋体" w:hAnsi="宋体" w:eastAsia="宋体" w:cs="宋体"/>
          <w:color w:val="auto"/>
          <w:sz w:val="24"/>
          <w:szCs w:val="24"/>
          <w:lang w:bidi="ar"/>
        </w:rPr>
        <w:t>天，分别将相关文件通过监理人报请发包人审批，发包人应当在监理人收到承包人报送的相关文件后</w:t>
      </w:r>
      <w:r>
        <w:rPr>
          <w:rFonts w:hint="eastAsia" w:ascii="宋体" w:hAnsi="宋体" w:eastAsia="宋体" w:cs="宋体"/>
          <w:color w:val="auto"/>
          <w:sz w:val="24"/>
          <w:szCs w:val="24"/>
          <w:u w:val="single"/>
          <w:lang w:bidi="ar"/>
        </w:rPr>
        <w:t xml:space="preserve"> 3 </w:t>
      </w:r>
      <w:r>
        <w:rPr>
          <w:rFonts w:hint="eastAsia" w:ascii="宋体" w:hAnsi="宋体" w:eastAsia="宋体" w:cs="宋体"/>
          <w:color w:val="auto"/>
          <w:sz w:val="24"/>
          <w:szCs w:val="24"/>
          <w:lang w:bidi="ar"/>
        </w:rPr>
        <w:t>天内给予批准或者提出修改意见，经发包人批准的相关文件，由承包人负责誊清整理并准备出开展实际采购工作所需要的份数，通过监理人报发包人核查并加盖发包人印章，发包人在相关文件上加盖印章只表明相关文件经过发包人审核批准。最终发出的文件应当分别报送一份给发包人和监理人备查。</w:t>
      </w:r>
    </w:p>
    <w:p w14:paraId="038F0EE7">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(3)如果发、承包任何一方委派评标代表，评标委员会应当由七人以上单数构成。除发包人或者承包人自愿放弃委派评标代表的权利外，采购人评标代表应当分别由发包人和承包人等额委派。</w:t>
      </w:r>
    </w:p>
    <w:p w14:paraId="5727FF0C">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(4)设有标底的，承包人应当在开标前提前48小时将标底报发包人审核认可，发包人应当在收到承包人报送的标底后24小时内给予批准或者提出修改意见。承包人和发包人应当共同制定标底保密措施，不得提前泄露标底。标底的最终审核和决定权属于发包人。</w:t>
      </w:r>
    </w:p>
    <w:p w14:paraId="5BDB3123">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(5)设有采购控制价的，承包人应当在磋商文件发出前提前7天将采购控制价报发包人审核认可，发包人应当在收到承包人报送的采购控制价后72小时内给予认可或者提出修改意见。采购控制价的最终审核和决定权属于发包人，未经发包人认可，承包人不得发出磋商文件。</w:t>
      </w:r>
    </w:p>
    <w:p w14:paraId="3767B760">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(6)承包人在收到相关采购项目评标委员会提交的评标报告后，应当在24小时内通过监理人转报发包人核查，发包人应当在监理人收到承包人报送的评标报告后48小时内核查完毕，评标报告经过发包人核查认可后，承包人才可以开始后续程序，依法确定中标人并发出中标通知书。</w:t>
      </w:r>
    </w:p>
    <w:p w14:paraId="00C9D6E6">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(7)承包人与专业分包人或者专项供应商订立合同前</w:t>
      </w:r>
      <w:r>
        <w:rPr>
          <w:rFonts w:hint="eastAsia" w:ascii="宋体" w:hAnsi="宋体" w:eastAsia="宋体" w:cs="宋体"/>
          <w:color w:val="auto"/>
          <w:sz w:val="24"/>
          <w:szCs w:val="24"/>
          <w:u w:val="single"/>
          <w:lang w:bidi="ar"/>
        </w:rPr>
        <w:t xml:space="preserve"> 7 </w:t>
      </w:r>
      <w:r>
        <w:rPr>
          <w:rFonts w:hint="eastAsia" w:ascii="宋体" w:hAnsi="宋体" w:eastAsia="宋体" w:cs="宋体"/>
          <w:color w:val="auto"/>
          <w:sz w:val="24"/>
          <w:szCs w:val="24"/>
          <w:lang w:bidi="ar"/>
        </w:rPr>
        <w:t>天，应当将准备用于正式签订的合同文件通过监理人报发包人审核，发包人应当在监理人收到相关文件后</w:t>
      </w:r>
      <w:r>
        <w:rPr>
          <w:rFonts w:hint="eastAsia" w:ascii="宋体" w:hAnsi="宋体" w:eastAsia="宋体" w:cs="宋体"/>
          <w:color w:val="auto"/>
          <w:sz w:val="24"/>
          <w:szCs w:val="24"/>
          <w:u w:val="single"/>
          <w:lang w:bidi="ar"/>
        </w:rPr>
        <w:t xml:space="preserve"> 3 </w:t>
      </w:r>
      <w:r>
        <w:rPr>
          <w:rFonts w:hint="eastAsia" w:ascii="宋体" w:hAnsi="宋体" w:eastAsia="宋体" w:cs="宋体"/>
          <w:color w:val="auto"/>
          <w:sz w:val="24"/>
          <w:szCs w:val="24"/>
          <w:lang w:bidi="ar"/>
        </w:rPr>
        <w:t>天内给予批准或者提出修改意见，承包人应当按照发包人批准的合同文件签订相关合同，合同订立后</w:t>
      </w:r>
      <w:r>
        <w:rPr>
          <w:rFonts w:hint="eastAsia" w:ascii="宋体" w:hAnsi="宋体" w:eastAsia="宋体" w:cs="宋体"/>
          <w:color w:val="auto"/>
          <w:sz w:val="24"/>
          <w:szCs w:val="24"/>
          <w:u w:val="single"/>
          <w:lang w:bidi="ar"/>
        </w:rPr>
        <w:t xml:space="preserve"> 3 </w:t>
      </w:r>
      <w:r>
        <w:rPr>
          <w:rFonts w:hint="eastAsia" w:ascii="宋体" w:hAnsi="宋体" w:eastAsia="宋体" w:cs="宋体"/>
          <w:color w:val="auto"/>
          <w:sz w:val="24"/>
          <w:szCs w:val="24"/>
          <w:lang w:bidi="ar"/>
        </w:rPr>
        <w:t>天内，承包人应当将其中的两份副本报送监理人，其中一份由监理人报发包人留存。</w:t>
      </w:r>
    </w:p>
    <w:p w14:paraId="7AA40C09">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(8)发包人对承包人报送文件进行审批或提出的修改意见应当合理，并符合现行有关法律法规的规定。</w:t>
      </w:r>
    </w:p>
    <w:p w14:paraId="0C7A574D">
      <w:pPr>
        <w:spacing w:line="5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bidi="ar"/>
        </w:rPr>
        <w:t>(9)承包人违背本项上述约定的程序或者未履行本项上述约定的报批手续的，发包人有权拒绝对相关专业工程或者涉及相关专项供应的材料和工程设备的工程进行验收和拨付相应工程款项，所造成的费用增加和(或)工期延误由承包人承担。发包人未按本项上述约定履行审批手续的，所造成的费用增加和(或)工期延误由发包人承担。</w:t>
      </w:r>
    </w:p>
    <w:p w14:paraId="13E2F94D">
      <w:pPr>
        <w:spacing w:line="540" w:lineRule="exact"/>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lang w:bidi="ar"/>
        </w:rPr>
        <w:t>15.8.2发包人在工程量清单中给定暂估价的材料和工程设备不属于依法必须采购的范围或未达到规定的规模标准的，按照下列约定：</w:t>
      </w:r>
      <w:r>
        <w:rPr>
          <w:rFonts w:hint="eastAsia" w:ascii="宋体" w:hAnsi="宋体" w:eastAsia="宋体" w:cs="宋体"/>
          <w:b/>
          <w:color w:val="auto"/>
          <w:sz w:val="24"/>
          <w:szCs w:val="24"/>
          <w:u w:val="single"/>
        </w:rPr>
        <w:t>磋商文件给定暂估价的材料、工程设备和暂估清单综合单价的清单项目实施时由发包方与承包方共同考察，确定材料设备品牌、规格及价格，由承包方负责采购和实施</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结算时按发包方签证价格进行调整</w:t>
      </w:r>
      <w:r>
        <w:rPr>
          <w:rFonts w:hint="eastAsia" w:ascii="宋体" w:hAnsi="宋体" w:eastAsia="宋体" w:cs="宋体"/>
          <w:color w:val="auto"/>
          <w:sz w:val="24"/>
          <w:szCs w:val="24"/>
          <w:u w:val="single"/>
        </w:rPr>
        <w:t>。</w:t>
      </w:r>
    </w:p>
    <w:p w14:paraId="326A26D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color w:val="auto"/>
          <w:sz w:val="24"/>
          <w:szCs w:val="24"/>
        </w:rPr>
        <w:t>15.8.3发包人在工程量清单中给定暂估价的专业工程不属于依法必须采购的范围或者未达到依法必须采购的规模标准的，按照下列约定：</w:t>
      </w:r>
      <w:r>
        <w:rPr>
          <w:rFonts w:hint="eastAsia" w:ascii="宋体" w:hAnsi="宋体" w:eastAsia="宋体" w:cs="宋体"/>
          <w:b/>
          <w:color w:val="auto"/>
          <w:sz w:val="24"/>
          <w:szCs w:val="24"/>
          <w:u w:val="single"/>
        </w:rPr>
        <w:t xml:space="preserve">           /            </w:t>
      </w:r>
    </w:p>
    <w:p w14:paraId="48D96C97">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16.价格调整</w:t>
      </w:r>
    </w:p>
    <w:p w14:paraId="6510F8E6">
      <w:pPr>
        <w:keepNext/>
        <w:keepLines/>
        <w:spacing w:line="360" w:lineRule="auto"/>
        <w:outlineLvl w:val="2"/>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rPr>
        <w:t>16.1物价波动引起的价格调整</w:t>
      </w:r>
      <w:r>
        <w:rPr>
          <w:rFonts w:hint="eastAsia" w:ascii="宋体" w:hAnsi="宋体" w:eastAsia="宋体" w:cs="宋体"/>
          <w:b/>
          <w:bCs/>
          <w:color w:val="auto"/>
          <w:sz w:val="24"/>
          <w:szCs w:val="24"/>
          <w:u w:val="single"/>
        </w:rPr>
        <w:t xml:space="preserve">   不调整  </w:t>
      </w:r>
    </w:p>
    <w:p w14:paraId="21D6C7D3">
      <w:pPr>
        <w:spacing w:line="360" w:lineRule="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rPr>
        <w:t>17.计量与支付</w:t>
      </w:r>
    </w:p>
    <w:p w14:paraId="7260BCC7">
      <w:pPr>
        <w:tabs>
          <w:tab w:val="left" w:pos="1505"/>
        </w:tabs>
        <w:spacing w:line="360" w:lineRule="auto"/>
        <w:ind w:firstLine="472" w:firstLineChars="196"/>
        <w:rPr>
          <w:rFonts w:hint="eastAsia" w:ascii="宋体" w:hAnsi="宋体" w:eastAsia="宋体" w:cs="宋体"/>
          <w:b/>
          <w:bCs/>
          <w:color w:val="auto"/>
          <w:sz w:val="24"/>
          <w:szCs w:val="24"/>
        </w:rPr>
      </w:pPr>
      <w:r>
        <w:rPr>
          <w:rFonts w:hint="eastAsia" w:ascii="宋体" w:hAnsi="宋体" w:eastAsia="宋体" w:cs="宋体"/>
          <w:b/>
          <w:bCs/>
          <w:color w:val="auto"/>
          <w:sz w:val="24"/>
          <w:szCs w:val="24"/>
        </w:rPr>
        <w:t>17.1计量</w:t>
      </w:r>
    </w:p>
    <w:p w14:paraId="113E89F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17.1.2计量方法</w:t>
      </w:r>
    </w:p>
    <w:p w14:paraId="429938F7">
      <w:pPr>
        <w:spacing w:before="62" w:beforeLines="20" w:after="62" w:afterLines="2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工程量计算规则执行《建设工程工程量清单计价规范》（GB50500-2013）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《山东省建设工程工程量清单计价规则》或其适用的修订版本。除合同另有约定外，承包人实际完成的工程量按约定的工程量计算规则和发包人与承包人共同确认的图纸进行计量。</w:t>
      </w:r>
    </w:p>
    <w:p w14:paraId="2E1054A7">
      <w:pPr>
        <w:spacing w:before="62" w:beforeLines="20" w:after="62" w:afterLines="2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17.1.3计量周期</w:t>
      </w:r>
    </w:p>
    <w:p w14:paraId="5F77E3E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(1)本合同的计量周期为月，每月</w:t>
      </w:r>
      <w:r>
        <w:rPr>
          <w:rFonts w:hint="eastAsia" w:ascii="宋体" w:hAnsi="宋体" w:eastAsia="宋体" w:cs="宋体"/>
          <w:color w:val="auto"/>
          <w:sz w:val="24"/>
          <w:szCs w:val="24"/>
          <w:u w:val="single"/>
        </w:rPr>
        <w:t xml:space="preserve"> 26 </w:t>
      </w:r>
      <w:r>
        <w:rPr>
          <w:rFonts w:hint="eastAsia" w:ascii="宋体" w:hAnsi="宋体" w:eastAsia="宋体" w:cs="宋体"/>
          <w:color w:val="auto"/>
          <w:sz w:val="24"/>
          <w:szCs w:val="24"/>
        </w:rPr>
        <w:t>日为当月计量截止日期(不含当日)和下月计量起始日期(含当日)。</w:t>
      </w:r>
    </w:p>
    <w:p w14:paraId="3B881DB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(2)本合同</w:t>
      </w:r>
      <w:r>
        <w:rPr>
          <w:rFonts w:hint="eastAsia" w:ascii="宋体" w:hAnsi="宋体" w:eastAsia="宋体" w:cs="宋体"/>
          <w:color w:val="auto"/>
          <w:sz w:val="24"/>
          <w:szCs w:val="24"/>
          <w:u w:val="single"/>
        </w:rPr>
        <w:t>执行</w:t>
      </w:r>
      <w:r>
        <w:rPr>
          <w:rFonts w:hint="eastAsia" w:ascii="宋体" w:hAnsi="宋体" w:eastAsia="宋体" w:cs="宋体"/>
          <w:color w:val="auto"/>
          <w:sz w:val="24"/>
          <w:szCs w:val="24"/>
        </w:rPr>
        <w:t>通用合同条款本项约定的单价子目计量。总价子目计量方法按专用合同条款第17.1.5项总价子目的计量——</w:t>
      </w:r>
      <w:r>
        <w:rPr>
          <w:rFonts w:hint="eastAsia" w:ascii="宋体" w:hAnsi="宋体" w:eastAsia="宋体" w:cs="宋体"/>
          <w:color w:val="auto"/>
          <w:sz w:val="24"/>
          <w:szCs w:val="24"/>
          <w:u w:val="single"/>
        </w:rPr>
        <w:t>按实际完成工程量计量</w:t>
      </w:r>
      <w:r>
        <w:rPr>
          <w:rFonts w:hint="eastAsia" w:ascii="宋体" w:hAnsi="宋体" w:eastAsia="宋体" w:cs="宋体"/>
          <w:color w:val="auto"/>
          <w:sz w:val="24"/>
          <w:szCs w:val="24"/>
        </w:rPr>
        <w:t>。</w:t>
      </w:r>
    </w:p>
    <w:p w14:paraId="7670B747">
      <w:pPr>
        <w:spacing w:before="62" w:beforeLines="20" w:after="62" w:afterLines="20"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17.1.5总价子目的计量一按实际完成工程量计量</w:t>
      </w:r>
    </w:p>
    <w:p w14:paraId="39F8788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(1)总价子目的价格调整方法：</w:t>
      </w:r>
      <w:r>
        <w:rPr>
          <w:rFonts w:hint="eastAsia" w:ascii="宋体" w:hAnsi="宋体" w:eastAsia="宋体" w:cs="宋体"/>
          <w:color w:val="auto"/>
          <w:sz w:val="24"/>
          <w:szCs w:val="24"/>
          <w:u w:val="single"/>
        </w:rPr>
        <w:t>执行通用条款</w:t>
      </w:r>
      <w:r>
        <w:rPr>
          <w:rFonts w:hint="eastAsia" w:ascii="宋体" w:hAnsi="宋体" w:eastAsia="宋体" w:cs="宋体"/>
          <w:color w:val="auto"/>
          <w:sz w:val="24"/>
          <w:szCs w:val="24"/>
        </w:rPr>
        <w:t>。总价子目的计量和支付应以总价为基础，对承包人实际完成的工程量进行计量，是进行工程目标管理和控制进度款支付的依据。</w:t>
      </w:r>
    </w:p>
    <w:p w14:paraId="3906582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承包人在专用合同条款第17.1.3(1)目约定的每月计量截止日期后，对已完成的分部分项工程的子目(包括在工程量清单中给出具体工程量的措施项目的相关子目)，按照专用合同条款第17.1.2项约定的计量方法进行计量，对已完成的工程量清单中没有给出具体工程量的措施项目的相关子目，按其总价构成、费用性质和实际发生比例进行计量，向监理人提交进度付款申请单、已完成工程量报表和有关计量资料。</w:t>
      </w:r>
    </w:p>
    <w:p w14:paraId="7C107C0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监理人对承包人提交的工程量报表进行复核，以确定实际完成的工程量。对数量有异议的，可要求承包人进行共同复核。承包人应协助监理人进行复核并按监理人要求提供补充计量资料。承包人未按监理人要求参加复核，监理人复核或修正的工程量视为承包人实际完成的工程量。</w:t>
      </w:r>
    </w:p>
    <w:p w14:paraId="61946F5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监理人应在收到承包人提交的工程量报表后的7天内进行复核，除不可抗力外，监理人未在约定时间内复核的，承包人提交的工程量报表中的工程量经发包人确认无异议后视为承包人实际完成的工程量，可据此计算工程价款。</w:t>
      </w:r>
    </w:p>
    <w:p w14:paraId="40AB314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(5)除按照第15条约定的变更外，在竣工结算时总价子目的工程量不应当重新计量，签约合同价所基于的工程量即是用于竣工结算的最终工程量。</w:t>
      </w:r>
    </w:p>
    <w:p w14:paraId="5940B85E">
      <w:pPr>
        <w:keepNext/>
        <w:keepLines/>
        <w:spacing w:line="360" w:lineRule="auto"/>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17.2预付款</w:t>
      </w:r>
    </w:p>
    <w:p w14:paraId="2B2A379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本项目无预付款。</w:t>
      </w:r>
    </w:p>
    <w:p w14:paraId="1D8042EE">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17.3工程进度付款</w:t>
      </w:r>
    </w:p>
    <w:p w14:paraId="6FC94BC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17.3.2进度付款申请单</w:t>
      </w:r>
    </w:p>
    <w:p w14:paraId="7710A7C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进度付款申请单的份数：</w:t>
      </w:r>
      <w:r>
        <w:rPr>
          <w:rFonts w:hint="eastAsia" w:ascii="宋体" w:hAnsi="宋体" w:eastAsia="宋体" w:cs="宋体"/>
          <w:color w:val="auto"/>
          <w:sz w:val="24"/>
          <w:szCs w:val="24"/>
          <w:u w:val="single"/>
        </w:rPr>
        <w:t>五份</w:t>
      </w:r>
      <w:r>
        <w:rPr>
          <w:rFonts w:hint="eastAsia" w:ascii="宋体" w:hAnsi="宋体" w:eastAsia="宋体" w:cs="宋体"/>
          <w:color w:val="auto"/>
          <w:sz w:val="24"/>
          <w:szCs w:val="24"/>
        </w:rPr>
        <w:t>。</w:t>
      </w:r>
    </w:p>
    <w:p w14:paraId="37462E3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进度付款申请单的内容：</w:t>
      </w:r>
      <w:r>
        <w:rPr>
          <w:rFonts w:hint="eastAsia" w:ascii="宋体" w:hAnsi="宋体" w:eastAsia="宋体" w:cs="宋体"/>
          <w:color w:val="auto"/>
          <w:sz w:val="24"/>
          <w:szCs w:val="24"/>
          <w:u w:val="single"/>
        </w:rPr>
        <w:t>按监理人统一要求办理</w:t>
      </w:r>
      <w:r>
        <w:rPr>
          <w:rFonts w:hint="eastAsia" w:ascii="宋体" w:hAnsi="宋体" w:eastAsia="宋体" w:cs="宋体"/>
          <w:color w:val="auto"/>
          <w:sz w:val="24"/>
          <w:szCs w:val="24"/>
        </w:rPr>
        <w:t>。</w:t>
      </w:r>
    </w:p>
    <w:p w14:paraId="51F2B42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17.3.3进度付款证书和支付时间</w:t>
      </w:r>
    </w:p>
    <w:p w14:paraId="20937FA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(2)承包人应当按通用合同条款第23.1(1)目的约定，在最终付款期限到期后28天内，向监理人递交索赔意向通知书，说明有权按本款约定的下列标准和方法计算的逾期付款违约金。</w:t>
      </w:r>
    </w:p>
    <w:p w14:paraId="27BE4D4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逾期付款违约金的计算标准为</w:t>
      </w:r>
      <w:r>
        <w:rPr>
          <w:rFonts w:hint="eastAsia" w:ascii="宋体" w:hAnsi="宋体" w:eastAsia="宋体" w:cs="宋体"/>
          <w:color w:val="auto"/>
          <w:sz w:val="24"/>
          <w:szCs w:val="24"/>
          <w:u w:val="single"/>
        </w:rPr>
        <w:t>无逾期付款违约金</w:t>
      </w:r>
      <w:r>
        <w:rPr>
          <w:rFonts w:hint="eastAsia" w:ascii="宋体" w:hAnsi="宋体" w:eastAsia="宋体" w:cs="宋体"/>
          <w:color w:val="auto"/>
          <w:sz w:val="24"/>
          <w:szCs w:val="24"/>
        </w:rPr>
        <w:t>。</w:t>
      </w:r>
    </w:p>
    <w:p w14:paraId="33384993">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逾期付款违约金的计算方法为</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0617DE04">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（4）进度付款涉及政府性资金的支付方法：</w:t>
      </w:r>
    </w:p>
    <w:p w14:paraId="57AED626">
      <w:pPr>
        <w:spacing w:line="540" w:lineRule="exact"/>
        <w:ind w:firstLine="482" w:firstLineChars="200"/>
        <w:rPr>
          <w:rFonts w:hint="eastAsia" w:ascii="宋体" w:hAnsi="宋体" w:eastAsia="宋体" w:cs="宋体"/>
          <w:b/>
          <w:bCs/>
          <w:color w:val="auto"/>
          <w:sz w:val="24"/>
          <w:szCs w:val="24"/>
          <w:u w:val="single"/>
          <w:lang w:val="en-US" w:eastAsia="zh-CN"/>
        </w:rPr>
      </w:pPr>
      <w:r>
        <w:rPr>
          <w:rFonts w:hint="eastAsia" w:ascii="宋体" w:hAnsi="宋体" w:cs="宋体"/>
          <w:b/>
          <w:bCs/>
          <w:color w:val="auto"/>
          <w:sz w:val="24"/>
          <w:szCs w:val="24"/>
          <w:u w:val="single"/>
          <w:lang w:eastAsia="zh-CN"/>
        </w:rPr>
        <w:t>本项目无预付款，工程竣工验收合格并经结算审计完成后付至审定结算价款的30%;剩余合同价款在结算审计完成后2年内付清。（工程最终结算造价以审核部门审定的造价为准）</w:t>
      </w:r>
      <w:r>
        <w:rPr>
          <w:rFonts w:hint="eastAsia" w:ascii="宋体" w:hAnsi="宋体" w:eastAsia="宋体" w:cs="宋体"/>
          <w:b/>
          <w:bCs/>
          <w:color w:val="auto"/>
          <w:sz w:val="24"/>
          <w:szCs w:val="24"/>
          <w:u w:val="single"/>
          <w:lang w:eastAsia="zh-CN"/>
        </w:rPr>
        <w:t>。</w:t>
      </w:r>
    </w:p>
    <w:p w14:paraId="34ECDA8D">
      <w:pPr>
        <w:spacing w:line="540" w:lineRule="exact"/>
        <w:ind w:firstLine="482" w:firstLineChars="200"/>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为确保工程保质保量按期完工，本项目工程款承包人必须专款专用，如发现承包人挪用工程款现象， 由此造成的一切损失均有承包人承担。</w:t>
      </w:r>
    </w:p>
    <w:p w14:paraId="3D280E7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17.3.5临时付款证书</w:t>
      </w:r>
    </w:p>
    <w:p w14:paraId="7F63422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在合同约定的期限内，承包人和监理人无法对当期已完工程量和按合同约定应当支付的其他款项达成一致的，监理人应当在收到承包人报送的进度付款申请单等文件后14天内，就承包人没有异议的金额准备一个临时付款证书，报送发包人审查。临时付款证书中应当说明承包人有异议部分的金额及其原因，经发包人确认无异议后，由监理人向承包人出具临时付款证书。发包人应当在监理人出具临时付款证书后28天内，将临时付款证书中确定的应付金额支付给承包人。</w:t>
      </w:r>
    </w:p>
    <w:p w14:paraId="2DAF91D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对临时付款证书中列明的承包人有异议部分的金额，承包人应当按照监理人要求，提交进一步的支持性文件和(或)与监理人做进一步共同复核工作，经监理人进一步审核并认可的应付金额，应当按通用合同条款第17.3.4项的约定纳入到下二期进度付款证书中。经过进一步努力，承包人仍有异议的，按合同条款第24条的约定办理。</w:t>
      </w:r>
    </w:p>
    <w:p w14:paraId="1511395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17.4质量保证金</w:t>
      </w:r>
    </w:p>
    <w:p w14:paraId="4C6DCBA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17.4.1质量保证金金额：</w:t>
      </w:r>
      <w:r>
        <w:rPr>
          <w:rFonts w:hint="eastAsia" w:ascii="宋体" w:hAnsi="宋体" w:eastAsia="宋体" w:cs="宋体"/>
          <w:color w:val="auto"/>
          <w:sz w:val="24"/>
          <w:szCs w:val="24"/>
          <w:u w:val="single"/>
        </w:rPr>
        <w:t>审定价款的3%</w:t>
      </w:r>
      <w:r>
        <w:rPr>
          <w:rFonts w:hint="eastAsia" w:ascii="宋体" w:hAnsi="宋体" w:eastAsia="宋体" w:cs="宋体"/>
          <w:b/>
          <w:bCs/>
          <w:color w:val="auto"/>
          <w:sz w:val="24"/>
          <w:szCs w:val="24"/>
          <w:u w:val="single"/>
        </w:rPr>
        <w:t>。</w:t>
      </w:r>
    </w:p>
    <w:p w14:paraId="7AE0E2C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17.4.2质量保证金的扣除方法：</w:t>
      </w:r>
      <w:r>
        <w:rPr>
          <w:rFonts w:hint="eastAsia" w:ascii="宋体" w:hAnsi="宋体" w:eastAsia="宋体" w:cs="宋体"/>
          <w:color w:val="auto"/>
          <w:sz w:val="24"/>
          <w:szCs w:val="24"/>
          <w:u w:val="single"/>
        </w:rPr>
        <w:t>结算审核完成后扣留审定价款的3%</w:t>
      </w:r>
      <w:r>
        <w:rPr>
          <w:rFonts w:hint="eastAsia" w:ascii="宋体" w:hAnsi="宋体" w:cs="宋体"/>
          <w:b/>
          <w:bCs/>
          <w:color w:val="auto"/>
          <w:sz w:val="24"/>
          <w:szCs w:val="24"/>
          <w:u w:val="single"/>
          <w:lang w:val="en-US" w:eastAsia="zh-CN"/>
        </w:rPr>
        <w:t xml:space="preserve"> </w:t>
      </w:r>
      <w:r>
        <w:rPr>
          <w:rFonts w:hint="eastAsia" w:ascii="宋体" w:hAnsi="宋体" w:eastAsia="宋体" w:cs="宋体"/>
          <w:b/>
          <w:bCs/>
          <w:color w:val="auto"/>
          <w:sz w:val="24"/>
          <w:szCs w:val="24"/>
          <w:u w:val="single"/>
        </w:rPr>
        <w:t>。</w:t>
      </w:r>
    </w:p>
    <w:p w14:paraId="7AE4B1E8">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17.5竣工结算</w:t>
      </w:r>
    </w:p>
    <w:p w14:paraId="10320FF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17.5.1竣工付款申请单</w:t>
      </w:r>
    </w:p>
    <w:p w14:paraId="5C4DD15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承包人提交竣工付款申请单的份数：</w:t>
      </w:r>
      <w:r>
        <w:rPr>
          <w:rFonts w:hint="eastAsia" w:ascii="宋体" w:hAnsi="宋体" w:eastAsia="宋体" w:cs="宋体"/>
          <w:color w:val="auto"/>
          <w:sz w:val="24"/>
          <w:szCs w:val="24"/>
          <w:u w:val="single"/>
        </w:rPr>
        <w:t>五份</w:t>
      </w:r>
      <w:r>
        <w:rPr>
          <w:rFonts w:hint="eastAsia" w:ascii="宋体" w:hAnsi="宋体" w:eastAsia="宋体" w:cs="宋体"/>
          <w:color w:val="auto"/>
          <w:sz w:val="24"/>
          <w:szCs w:val="24"/>
        </w:rPr>
        <w:t>。</w:t>
      </w:r>
    </w:p>
    <w:p w14:paraId="09F97EA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承包人提交竣工付款申请单的期限：</w:t>
      </w:r>
      <w:r>
        <w:rPr>
          <w:rFonts w:hint="eastAsia" w:ascii="宋体" w:hAnsi="宋体" w:eastAsia="宋体" w:cs="宋体"/>
          <w:color w:val="auto"/>
          <w:sz w:val="24"/>
          <w:szCs w:val="24"/>
          <w:u w:val="single"/>
        </w:rPr>
        <w:t>竣工验收合格后28天内</w:t>
      </w:r>
      <w:r>
        <w:rPr>
          <w:rFonts w:hint="eastAsia" w:ascii="宋体" w:hAnsi="宋体" w:eastAsia="宋体" w:cs="宋体"/>
          <w:color w:val="auto"/>
          <w:sz w:val="24"/>
          <w:szCs w:val="24"/>
        </w:rPr>
        <w:t>。</w:t>
      </w:r>
    </w:p>
    <w:p w14:paraId="52C7F9E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竣工付款申请单的内容：</w:t>
      </w:r>
      <w:r>
        <w:rPr>
          <w:rFonts w:hint="eastAsia" w:ascii="宋体" w:hAnsi="宋体" w:eastAsia="宋体" w:cs="宋体"/>
          <w:color w:val="auto"/>
          <w:sz w:val="24"/>
          <w:szCs w:val="24"/>
          <w:u w:val="single"/>
        </w:rPr>
        <w:t>竣工结算合同总价、已支付的工程价款、应扣留的质量保证金、应支付的竣工付款金额等</w:t>
      </w:r>
      <w:r>
        <w:rPr>
          <w:rFonts w:hint="eastAsia" w:ascii="宋体" w:hAnsi="宋体" w:eastAsia="宋体" w:cs="宋体"/>
          <w:color w:val="auto"/>
          <w:sz w:val="24"/>
          <w:szCs w:val="24"/>
        </w:rPr>
        <w:t>。</w:t>
      </w:r>
    </w:p>
    <w:p w14:paraId="1B6FFF8E">
      <w:pPr>
        <w:spacing w:line="360" w:lineRule="auto"/>
        <w:ind w:left="239" w:leftChars="114"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承包人未按本项约定的期限和内容提交竣工付款申请单或者未按通用合同条款第17.5.1(2)目约定提交修正后的竣工付款申请单，经监理人催促后14天内仍未提交或者没有明确答复的，监理人和发包人有权根据已有资料进行审查，审查确定的竣工结算合同总价和竣工付款金额视同是经承包人认可的工程竣工结算合同总价和竣工付款金额。</w:t>
      </w:r>
    </w:p>
    <w:p w14:paraId="401F7E1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不管通用合同条款17.5.2项如何约定，除承包人存在违约事实外，发包人和承包人应当在监理人颁发(出具)工程接收证书后56天内办理竣工结算和竣工付款手续。</w:t>
      </w:r>
    </w:p>
    <w:p w14:paraId="33F19F48">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17.6最终结清</w:t>
      </w:r>
    </w:p>
    <w:p w14:paraId="35D2EFA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17.6.1最终结清申请单</w:t>
      </w:r>
    </w:p>
    <w:p w14:paraId="64D09F1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承包人提交最终结清申请单的份数：</w:t>
      </w:r>
      <w:r>
        <w:rPr>
          <w:rFonts w:hint="eastAsia" w:ascii="宋体" w:hAnsi="宋体" w:eastAsia="宋体" w:cs="宋体"/>
          <w:color w:val="auto"/>
          <w:sz w:val="24"/>
          <w:szCs w:val="24"/>
          <w:u w:val="single"/>
        </w:rPr>
        <w:t>五份</w:t>
      </w:r>
      <w:r>
        <w:rPr>
          <w:rFonts w:hint="eastAsia" w:ascii="宋体" w:hAnsi="宋体" w:eastAsia="宋体" w:cs="宋体"/>
          <w:color w:val="auto"/>
          <w:sz w:val="24"/>
          <w:szCs w:val="24"/>
        </w:rPr>
        <w:t>。</w:t>
      </w:r>
    </w:p>
    <w:p w14:paraId="28BBEC7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承包人提交最终结清申请单的期限：</w:t>
      </w:r>
      <w:r>
        <w:rPr>
          <w:rFonts w:hint="eastAsia" w:ascii="宋体" w:hAnsi="宋体" w:eastAsia="宋体" w:cs="宋体"/>
          <w:color w:val="auto"/>
          <w:sz w:val="24"/>
          <w:szCs w:val="24"/>
          <w:u w:val="single"/>
        </w:rPr>
        <w:t>缺陷责任期终止证书签发后14天内</w:t>
      </w:r>
      <w:r>
        <w:rPr>
          <w:rFonts w:hint="eastAsia" w:ascii="宋体" w:hAnsi="宋体" w:eastAsia="宋体" w:cs="宋体"/>
          <w:color w:val="auto"/>
          <w:sz w:val="24"/>
          <w:szCs w:val="24"/>
        </w:rPr>
        <w:t>。</w:t>
      </w:r>
    </w:p>
    <w:p w14:paraId="1C19AE4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18.竣工验收</w:t>
      </w:r>
    </w:p>
    <w:p w14:paraId="4B542D3C">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18.2竣工验收申请报告</w:t>
      </w:r>
    </w:p>
    <w:p w14:paraId="0BB3F39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(2)承包人负责整理和提交的竣工验收资料应当符合工程所在地建设行政主管部门和(或)城市建设档案管理机构有关施工资料的要求，具体内容包括：</w:t>
      </w:r>
      <w:r>
        <w:rPr>
          <w:rFonts w:hint="eastAsia" w:ascii="宋体" w:hAnsi="宋体" w:eastAsia="宋体" w:cs="宋体"/>
          <w:color w:val="auto"/>
          <w:sz w:val="24"/>
          <w:szCs w:val="24"/>
          <w:u w:val="single"/>
        </w:rPr>
        <w:t>按工程所在地建设行政主管部门和(或)城市建设档案管理机构对竣工验收资料内容的规定</w:t>
      </w:r>
      <w:r>
        <w:rPr>
          <w:rFonts w:hint="eastAsia" w:ascii="宋体" w:hAnsi="宋体" w:eastAsia="宋体" w:cs="宋体"/>
          <w:color w:val="auto"/>
          <w:sz w:val="24"/>
          <w:szCs w:val="24"/>
        </w:rPr>
        <w:t>。</w:t>
      </w:r>
    </w:p>
    <w:p w14:paraId="298339F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竣工验收资料的份数：竣工验收资料的份数：除向政府主管部门备案的资料外，按现行《建设工程文件规范》《建筑资料管理规程》及《山东省建筑工程施工技术资料管理规程》归档的工程资料为3套，其竣工图的绘制及工程资料归档由承包人负责，并承担相应费用。</w:t>
      </w:r>
    </w:p>
    <w:p w14:paraId="42FEB1E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竣工验收资料的费用支付方式：</w:t>
      </w:r>
      <w:r>
        <w:rPr>
          <w:rFonts w:hint="eastAsia" w:ascii="宋体" w:hAnsi="宋体" w:eastAsia="宋体" w:cs="宋体"/>
          <w:color w:val="auto"/>
          <w:sz w:val="24"/>
          <w:szCs w:val="24"/>
          <w:u w:val="single"/>
        </w:rPr>
        <w:t>由承包人自行承担</w:t>
      </w:r>
      <w:r>
        <w:rPr>
          <w:rFonts w:hint="eastAsia" w:ascii="宋体" w:hAnsi="宋体" w:eastAsia="宋体" w:cs="宋体"/>
          <w:color w:val="auto"/>
          <w:sz w:val="24"/>
          <w:szCs w:val="24"/>
        </w:rPr>
        <w:t>。</w:t>
      </w:r>
    </w:p>
    <w:p w14:paraId="590A3895">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18.3验收</w:t>
      </w:r>
    </w:p>
    <w:p w14:paraId="31848AB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18.3.5经验收合格的工程，实际竣工日期为承包人按照第18.2款提交竣工验收申请报告或按照本款重新提交竣工验收申请报告的日期(以两者中时间在后者为准)。</w:t>
      </w:r>
    </w:p>
    <w:p w14:paraId="6270CA84">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18.5施工期运行</w:t>
      </w:r>
    </w:p>
    <w:p w14:paraId="0B386AE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18.5.1需要施工期运行的单位工程或设备安装工程：</w:t>
      </w:r>
      <w:r>
        <w:rPr>
          <w:rFonts w:hint="eastAsia" w:ascii="宋体" w:hAnsi="宋体" w:eastAsia="宋体" w:cs="宋体"/>
          <w:color w:val="auto"/>
          <w:sz w:val="24"/>
          <w:szCs w:val="24"/>
          <w:u w:val="single"/>
        </w:rPr>
        <w:t>根据实际情况按发包人要求</w:t>
      </w:r>
      <w:r>
        <w:rPr>
          <w:rFonts w:hint="eastAsia" w:ascii="宋体" w:hAnsi="宋体" w:eastAsia="宋体" w:cs="宋体"/>
          <w:color w:val="auto"/>
          <w:sz w:val="24"/>
          <w:szCs w:val="24"/>
        </w:rPr>
        <w:t>。</w:t>
      </w:r>
    </w:p>
    <w:p w14:paraId="63BEABF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18.6试运行</w:t>
      </w:r>
    </w:p>
    <w:p w14:paraId="21E07F2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18.6.1工程及工程设备试运行的组织与费用承担</w:t>
      </w:r>
    </w:p>
    <w:p w14:paraId="43575F3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（1）工程设备安装具备单机无负荷试运行条件，由承包人组织试运行，费用由承包人承担。</w:t>
      </w:r>
    </w:p>
    <w:p w14:paraId="552D3F2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（2）工程设备安装具备无负荷联动试运行条件，由发包人组织试运行，费用由发包人承担。</w:t>
      </w:r>
    </w:p>
    <w:p w14:paraId="3EC120F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（3）投料试运行应在工程竣工验收后由发包人负责，如发包人要求在工程竣工验收前进行或需要承包人配合时，承包人应予配合。</w:t>
      </w:r>
    </w:p>
    <w:p w14:paraId="1E7B2208">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18.7竣工清场</w:t>
      </w:r>
    </w:p>
    <w:p w14:paraId="0203817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18.7.1监理人颁发(出具)工程接收证书后，承包人负责按照通用合同条款本项约定的要求对施工场地进行清理并承担相关费用，直至监理人检验合格为止。</w:t>
      </w:r>
    </w:p>
    <w:p w14:paraId="1BBC42F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18.8施工队伍的撤离</w:t>
      </w:r>
    </w:p>
    <w:p w14:paraId="237173F9">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承包人按照通用合同条款第18.8款约定撤离施工场地(现场)时，监理人和承包人应当办理永久工程和施工场地移交手续，移交手续以书面方式出具，发包人、监理人和承包人共同签认。</w:t>
      </w:r>
    </w:p>
    <w:p w14:paraId="6C4F71B5">
      <w:pPr>
        <w:spacing w:line="5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缺陷责任期满时，承包人可以继续在施工场地保留的人员和施工设备以及最终撤离的期限：</w:t>
      </w:r>
      <w:r>
        <w:rPr>
          <w:rFonts w:hint="eastAsia" w:ascii="宋体" w:hAnsi="宋体" w:eastAsia="宋体" w:cs="宋体"/>
          <w:color w:val="auto"/>
          <w:sz w:val="24"/>
          <w:szCs w:val="24"/>
          <w:u w:val="single"/>
        </w:rPr>
        <w:t>工程竣工并经发包人组织验收合格后，大型施工设备应撤离施工场地；缺陷责任期满时，承包人的人员和施工设备应全部撤离施工场地</w:t>
      </w:r>
      <w:r>
        <w:rPr>
          <w:rFonts w:hint="eastAsia" w:ascii="宋体" w:hAnsi="宋体" w:eastAsia="宋体" w:cs="宋体"/>
          <w:color w:val="auto"/>
          <w:sz w:val="24"/>
          <w:szCs w:val="24"/>
        </w:rPr>
        <w:t>。</w:t>
      </w:r>
    </w:p>
    <w:p w14:paraId="664E10C6">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18.9中间验收</w:t>
      </w:r>
    </w:p>
    <w:p w14:paraId="06825A4D">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本工程需要进行中间验收的部位如下：</w:t>
      </w:r>
    </w:p>
    <w:p w14:paraId="1DABEBA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当工程进度达到本款约定的中间验收部位时，承包人应当进行自检，并在中间验收前48小时以书面形式通知监理人验收。书面通知应包括中间验收的内容、验收时间和地点。承包人应当准备验收记录。只有监理人验收合格并在验收记录上签字后，承包人方可继续施工。验收不合格的，承包人在</w:t>
      </w:r>
      <w:r>
        <w:rPr>
          <w:rFonts w:hint="eastAsia" w:ascii="宋体" w:hAnsi="宋体" w:eastAsia="宋体" w:cs="宋体"/>
          <w:color w:val="auto"/>
          <w:sz w:val="24"/>
          <w:szCs w:val="24"/>
          <w:u w:val="single"/>
        </w:rPr>
        <w:t>监理人要求的</w:t>
      </w:r>
      <w:r>
        <w:rPr>
          <w:rFonts w:hint="eastAsia" w:ascii="宋体" w:hAnsi="宋体" w:eastAsia="宋体" w:cs="宋体"/>
          <w:color w:val="auto"/>
          <w:sz w:val="24"/>
          <w:szCs w:val="24"/>
        </w:rPr>
        <w:t>期限内进行修改后重新验收。</w:t>
      </w:r>
    </w:p>
    <w:p w14:paraId="71635C9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监理人不能按时进行验收的，应在验收前24小时以书面形式向承包人提出延期要求，延期不能超过48小时。监理人未能按本款约定的时限提出延期要求，又未按期进行验收的，承包人可自行组织验收，监理人必须认同验收记录。</w:t>
      </w:r>
    </w:p>
    <w:p w14:paraId="1A51577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经监理人验收后工程质量符合约定的验收标准，但验收24小时后监理人仍不在验收记录上签字的，视为监理人已经认可验收记录，承包人可继续施工。</w:t>
      </w:r>
    </w:p>
    <w:p w14:paraId="573B11CA">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19.缺陷责任与保修责任</w:t>
      </w:r>
    </w:p>
    <w:p w14:paraId="40A310A3">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19.7保修责任</w:t>
      </w:r>
    </w:p>
    <w:p w14:paraId="4415F0B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(1)工程质量保修范围：</w:t>
      </w:r>
      <w:r>
        <w:rPr>
          <w:rFonts w:hint="eastAsia" w:ascii="宋体" w:hAnsi="宋体" w:eastAsia="宋体" w:cs="宋体"/>
          <w:color w:val="auto"/>
          <w:sz w:val="24"/>
          <w:szCs w:val="24"/>
          <w:u w:val="single"/>
        </w:rPr>
        <w:t>详见质量保修书</w:t>
      </w:r>
      <w:r>
        <w:rPr>
          <w:rFonts w:hint="eastAsia" w:ascii="宋体" w:hAnsi="宋体" w:eastAsia="宋体" w:cs="宋体"/>
          <w:color w:val="auto"/>
          <w:sz w:val="24"/>
          <w:szCs w:val="24"/>
        </w:rPr>
        <w:t>。</w:t>
      </w:r>
    </w:p>
    <w:p w14:paraId="595657F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(2)工程质量保修期限：</w:t>
      </w:r>
      <w:r>
        <w:rPr>
          <w:rFonts w:hint="eastAsia" w:ascii="宋体" w:hAnsi="宋体" w:eastAsia="宋体" w:cs="宋体"/>
          <w:color w:val="auto"/>
          <w:sz w:val="24"/>
          <w:szCs w:val="24"/>
          <w:u w:val="single"/>
        </w:rPr>
        <w:t>详见质量保修书</w:t>
      </w:r>
      <w:r>
        <w:rPr>
          <w:rFonts w:hint="eastAsia" w:ascii="宋体" w:hAnsi="宋体" w:eastAsia="宋体" w:cs="宋体"/>
          <w:color w:val="auto"/>
          <w:sz w:val="24"/>
          <w:szCs w:val="24"/>
        </w:rPr>
        <w:t>。</w:t>
      </w:r>
    </w:p>
    <w:p w14:paraId="15C9CE4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(3)工程质量保修责任：</w:t>
      </w:r>
      <w:r>
        <w:rPr>
          <w:rFonts w:hint="eastAsia" w:ascii="宋体" w:hAnsi="宋体" w:eastAsia="宋体" w:cs="宋体"/>
          <w:color w:val="auto"/>
          <w:sz w:val="24"/>
          <w:szCs w:val="24"/>
          <w:u w:val="single"/>
        </w:rPr>
        <w:t>详见质量保修书</w:t>
      </w:r>
      <w:r>
        <w:rPr>
          <w:rFonts w:hint="eastAsia" w:ascii="宋体" w:hAnsi="宋体" w:eastAsia="宋体" w:cs="宋体"/>
          <w:color w:val="auto"/>
          <w:sz w:val="24"/>
          <w:szCs w:val="24"/>
        </w:rPr>
        <w:t>。</w:t>
      </w:r>
    </w:p>
    <w:p w14:paraId="78BE453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质量保修书是竣工验收申请报告的组成内容。承包人应当按照有关法律法规规定和合同所附的格式出具质量保修书，质量保修书的主要内容应当与本款上述约定内容一致。承包人在递交合同条款第18.2款约定的竣工验收报告的同时，将质量保修书一并报送监理人。</w:t>
      </w:r>
    </w:p>
    <w:p w14:paraId="19EE26E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20.保险</w:t>
      </w:r>
    </w:p>
    <w:p w14:paraId="2B6F8E26">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20.1工程保险</w:t>
      </w:r>
    </w:p>
    <w:p w14:paraId="0DDCE57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本工程</w:t>
      </w:r>
      <w:r>
        <w:rPr>
          <w:rFonts w:hint="eastAsia" w:ascii="宋体" w:hAnsi="宋体" w:eastAsia="宋体" w:cs="宋体"/>
          <w:color w:val="auto"/>
          <w:sz w:val="24"/>
          <w:szCs w:val="24"/>
          <w:u w:val="single"/>
        </w:rPr>
        <w:t xml:space="preserve"> 必须办理</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工程保险。投保工程保险时，险种为：</w:t>
      </w:r>
      <w:r>
        <w:rPr>
          <w:rFonts w:hint="eastAsia" w:ascii="宋体" w:hAnsi="宋体" w:eastAsia="宋体" w:cs="宋体"/>
          <w:color w:val="auto"/>
          <w:sz w:val="24"/>
          <w:szCs w:val="24"/>
          <w:u w:val="single"/>
        </w:rPr>
        <w:t>建设工程保险</w:t>
      </w:r>
      <w:r>
        <w:rPr>
          <w:rFonts w:hint="eastAsia" w:ascii="宋体" w:hAnsi="宋体" w:eastAsia="宋体" w:cs="宋体"/>
          <w:color w:val="auto"/>
          <w:sz w:val="24"/>
          <w:szCs w:val="24"/>
        </w:rPr>
        <w:t>，并符合以下约定。</w:t>
      </w:r>
    </w:p>
    <w:p w14:paraId="52926C1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(1)投保人：</w:t>
      </w:r>
      <w:r>
        <w:rPr>
          <w:rFonts w:hint="eastAsia" w:ascii="宋体" w:hAnsi="宋体" w:eastAsia="宋体" w:cs="宋体"/>
          <w:color w:val="auto"/>
          <w:sz w:val="24"/>
          <w:szCs w:val="24"/>
          <w:u w:val="single"/>
        </w:rPr>
        <w:t xml:space="preserve">       承包人        </w:t>
      </w:r>
      <w:r>
        <w:rPr>
          <w:rFonts w:hint="eastAsia" w:ascii="宋体" w:hAnsi="宋体" w:eastAsia="宋体" w:cs="宋体"/>
          <w:color w:val="auto"/>
          <w:sz w:val="24"/>
          <w:szCs w:val="24"/>
        </w:rPr>
        <w:t>。</w:t>
      </w:r>
    </w:p>
    <w:p w14:paraId="03205BC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(2)投保内容：</w:t>
      </w:r>
      <w:r>
        <w:rPr>
          <w:rFonts w:hint="eastAsia" w:ascii="宋体" w:hAnsi="宋体" w:eastAsia="宋体" w:cs="宋体"/>
          <w:color w:val="auto"/>
          <w:sz w:val="24"/>
          <w:szCs w:val="24"/>
          <w:u w:val="single"/>
        </w:rPr>
        <w:t xml:space="preserve">     建设工程保险              </w:t>
      </w:r>
      <w:r>
        <w:rPr>
          <w:rFonts w:hint="eastAsia" w:ascii="宋体" w:hAnsi="宋体" w:eastAsia="宋体" w:cs="宋体"/>
          <w:color w:val="auto"/>
          <w:sz w:val="24"/>
          <w:szCs w:val="24"/>
        </w:rPr>
        <w:t>。</w:t>
      </w:r>
    </w:p>
    <w:p w14:paraId="76036DD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(3)保险费率：</w:t>
      </w:r>
      <w:r>
        <w:rPr>
          <w:rFonts w:hint="eastAsia" w:ascii="宋体" w:hAnsi="宋体" w:eastAsia="宋体" w:cs="宋体"/>
          <w:color w:val="auto"/>
          <w:sz w:val="24"/>
          <w:szCs w:val="24"/>
          <w:u w:val="single"/>
        </w:rPr>
        <w:t>由投保人与合同双方同意的保险人商定</w:t>
      </w:r>
      <w:r>
        <w:rPr>
          <w:rFonts w:hint="eastAsia" w:ascii="宋体" w:hAnsi="宋体" w:eastAsia="宋体" w:cs="宋体"/>
          <w:color w:val="auto"/>
          <w:sz w:val="24"/>
          <w:szCs w:val="24"/>
        </w:rPr>
        <w:t>。</w:t>
      </w:r>
    </w:p>
    <w:p w14:paraId="7D58947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(4)保险金额：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8E020B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(5)保险期限：</w:t>
      </w:r>
      <w:r>
        <w:rPr>
          <w:rFonts w:hint="eastAsia" w:ascii="宋体" w:hAnsi="宋体" w:eastAsia="宋体" w:cs="宋体"/>
          <w:color w:val="auto"/>
          <w:sz w:val="24"/>
          <w:szCs w:val="24"/>
          <w:u w:val="single"/>
        </w:rPr>
        <w:t xml:space="preserve">   全部施工周期内        </w:t>
      </w:r>
      <w:r>
        <w:rPr>
          <w:rFonts w:hint="eastAsia" w:ascii="宋体" w:hAnsi="宋体" w:eastAsia="宋体" w:cs="宋体"/>
          <w:color w:val="auto"/>
          <w:sz w:val="24"/>
          <w:szCs w:val="24"/>
        </w:rPr>
        <w:t>。</w:t>
      </w:r>
    </w:p>
    <w:p w14:paraId="6718DF0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20.4第三者责任险</w:t>
      </w:r>
    </w:p>
    <w:p w14:paraId="1CF19CF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20.4.2保险金额：</w:t>
      </w:r>
      <w:r>
        <w:rPr>
          <w:rFonts w:hint="eastAsia" w:ascii="宋体" w:hAnsi="宋体" w:eastAsia="宋体" w:cs="宋体"/>
          <w:color w:val="auto"/>
          <w:sz w:val="24"/>
          <w:szCs w:val="24"/>
          <w:u w:val="single"/>
        </w:rPr>
        <w:t xml:space="preserve"> </w:t>
      </w:r>
      <w:r>
        <w:rPr>
          <w:rFonts w:hint="eastAsia" w:ascii="宋体" w:hAnsi="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，保险费率由承包人与发包人同意的保险人商定，相关保险费由</w:t>
      </w:r>
      <w:r>
        <w:rPr>
          <w:rFonts w:hint="eastAsia" w:ascii="宋体" w:hAnsi="宋体" w:eastAsia="宋体" w:cs="宋体"/>
          <w:color w:val="auto"/>
          <w:sz w:val="24"/>
          <w:szCs w:val="24"/>
          <w:u w:val="single"/>
        </w:rPr>
        <w:t>承包人</w:t>
      </w:r>
      <w:r>
        <w:rPr>
          <w:rFonts w:hint="eastAsia" w:ascii="宋体" w:hAnsi="宋体" w:eastAsia="宋体" w:cs="宋体"/>
          <w:color w:val="auto"/>
          <w:sz w:val="24"/>
          <w:szCs w:val="24"/>
        </w:rPr>
        <w:t>承担。</w:t>
      </w:r>
    </w:p>
    <w:p w14:paraId="6C700FCB">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20.5其他保险</w:t>
      </w:r>
    </w:p>
    <w:p w14:paraId="7C95A600">
      <w:pPr>
        <w:spacing w:line="500" w:lineRule="exact"/>
        <w:jc w:val="left"/>
        <w:rPr>
          <w:rFonts w:hint="eastAsia" w:ascii="宋体" w:hAnsi="宋体" w:eastAsia="宋体" w:cs="宋体"/>
          <w:color w:val="auto"/>
          <w:sz w:val="24"/>
          <w:szCs w:val="24"/>
        </w:rPr>
      </w:pPr>
      <w:r>
        <w:rPr>
          <w:rFonts w:hint="eastAsia" w:ascii="宋体" w:hAnsi="宋体" w:eastAsia="宋体" w:cs="宋体"/>
          <w:color w:val="auto"/>
          <w:sz w:val="24"/>
          <w:szCs w:val="24"/>
        </w:rPr>
        <w:t>承包人应为其施工设备、进场材料和工程设备等办理的保险，险种：</w:t>
      </w:r>
      <w:r>
        <w:rPr>
          <w:rFonts w:hint="eastAsia" w:ascii="宋体" w:hAnsi="宋体" w:eastAsia="宋体" w:cs="宋体"/>
          <w:color w:val="auto"/>
          <w:sz w:val="24"/>
          <w:szCs w:val="24"/>
          <w:u w:val="single"/>
        </w:rPr>
        <w:t xml:space="preserve"> 执行通用条款   </w:t>
      </w:r>
      <w:r>
        <w:rPr>
          <w:rFonts w:hint="eastAsia" w:ascii="宋体" w:hAnsi="宋体" w:eastAsia="宋体" w:cs="宋体"/>
          <w:color w:val="auto"/>
          <w:sz w:val="24"/>
          <w:szCs w:val="24"/>
        </w:rPr>
        <w:t>，保险金额：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。承包人应为施工现场施工人员办理人身意外险，并将保险人员花名单报送发包人备案。</w:t>
      </w:r>
    </w:p>
    <w:p w14:paraId="79C3AE5E">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20.6对各项保险的一般要求</w:t>
      </w:r>
    </w:p>
    <w:p w14:paraId="4F5B09C9">
      <w:pPr>
        <w:spacing w:before="93" w:beforeLines="30" w:after="93" w:afterLines="3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20.6.1保险凭证</w:t>
      </w:r>
    </w:p>
    <w:p w14:paraId="3533CBD9">
      <w:pPr>
        <w:spacing w:line="360" w:lineRule="auto"/>
        <w:ind w:firstLine="240" w:firstLineChars="100"/>
        <w:rPr>
          <w:rFonts w:hint="eastAsia" w:ascii="宋体" w:hAnsi="宋体" w:eastAsia="宋体" w:cs="宋体"/>
          <w:color w:val="auto"/>
          <w:sz w:val="24"/>
          <w:szCs w:val="24"/>
          <w:u w:val="single"/>
        </w:rPr>
      </w:pPr>
      <w:r>
        <w:rPr>
          <w:rFonts w:hint="eastAsia" w:ascii="宋体" w:hAnsi="宋体" w:eastAsia="宋体" w:cs="宋体"/>
          <w:color w:val="auto"/>
          <w:sz w:val="24"/>
          <w:szCs w:val="24"/>
        </w:rPr>
        <w:t>承包人向发包人提交各项保险生效的证据和保险单副本的期限：</w:t>
      </w:r>
      <w:r>
        <w:rPr>
          <w:rFonts w:hint="eastAsia" w:ascii="宋体" w:hAnsi="宋体" w:eastAsia="宋体" w:cs="宋体"/>
          <w:color w:val="auto"/>
          <w:sz w:val="24"/>
          <w:szCs w:val="24"/>
          <w:u w:val="single"/>
        </w:rPr>
        <w:t>投保后3日内。并且将保险凭据复印件加盖公章报送发包人。</w:t>
      </w:r>
    </w:p>
    <w:p w14:paraId="7E544CFD">
      <w:pPr>
        <w:spacing w:before="93" w:beforeLines="30" w:after="93" w:afterLines="3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20.6.4保险金不足的补偿</w:t>
      </w:r>
    </w:p>
    <w:p w14:paraId="4197903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保险金不足以补偿损失时，承包人和发包人负责补偿的责任分摊：</w:t>
      </w:r>
      <w:r>
        <w:rPr>
          <w:rFonts w:hint="eastAsia" w:ascii="宋体" w:hAnsi="宋体" w:eastAsia="宋体" w:cs="宋体"/>
          <w:color w:val="auto"/>
          <w:sz w:val="24"/>
          <w:szCs w:val="24"/>
          <w:u w:val="single"/>
        </w:rPr>
        <w:t xml:space="preserve"> 全部由责任方承担   </w:t>
      </w:r>
      <w:r>
        <w:rPr>
          <w:rFonts w:hint="eastAsia" w:ascii="宋体" w:hAnsi="宋体" w:eastAsia="宋体" w:cs="宋体"/>
          <w:color w:val="auto"/>
          <w:sz w:val="24"/>
          <w:szCs w:val="24"/>
        </w:rPr>
        <w:t>。</w:t>
      </w:r>
    </w:p>
    <w:p w14:paraId="659E357A">
      <w:pPr>
        <w:keepNext/>
        <w:keepLines/>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21.不可抗力</w:t>
      </w:r>
    </w:p>
    <w:p w14:paraId="20F5DED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21.1不可抗力的确认</w:t>
      </w:r>
    </w:p>
    <w:p w14:paraId="183DBE84">
      <w:pPr>
        <w:spacing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rPr>
        <w:t>21.1.1通用合同条款第21.1.1项约定的不可抗力以外的其他情形：</w:t>
      </w:r>
      <w:r>
        <w:rPr>
          <w:rFonts w:hint="eastAsia" w:ascii="宋体" w:hAnsi="宋体" w:eastAsia="宋体" w:cs="宋体"/>
          <w:color w:val="auto"/>
          <w:sz w:val="24"/>
          <w:szCs w:val="24"/>
          <w:u w:val="single"/>
        </w:rPr>
        <w:t>按国家有关部门认定的标准及政策性停工（如重污染、环保部门下达的正式通知及文件等）</w:t>
      </w:r>
    </w:p>
    <w:p w14:paraId="523B1C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不可抗力的等级范围约定：</w:t>
      </w:r>
      <w:r>
        <w:rPr>
          <w:rFonts w:hint="eastAsia" w:ascii="宋体" w:hAnsi="宋体" w:eastAsia="宋体" w:cs="宋体"/>
          <w:color w:val="auto"/>
          <w:sz w:val="24"/>
          <w:szCs w:val="24"/>
          <w:u w:val="single"/>
        </w:rPr>
        <w:t>发包人与承包人另行协商约定。</w:t>
      </w:r>
    </w:p>
    <w:p w14:paraId="12A0486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21.3不可抗力后果及其处理</w:t>
      </w:r>
    </w:p>
    <w:p w14:paraId="3EE89EE8">
      <w:pPr>
        <w:spacing w:before="93" w:beforeLines="30" w:after="93" w:afterLines="3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21.3.1不可抗力造成损害的责任</w:t>
      </w:r>
    </w:p>
    <w:p w14:paraId="5FC5770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不可抗力导致的人员伤亡、财产损失、费用增加和(或)工期延误等后果，由合同双方按通用合同条款第21.3.1项约定的原则承担。</w:t>
      </w:r>
    </w:p>
    <w:p w14:paraId="65E2D44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因不可抗力及政策性停工影响承包人履行合同约定的义务，已经引起或将引起工期延误的，可顺延工期。不可抗力或政策性停工，发包方不承担任何费用。</w:t>
      </w:r>
    </w:p>
    <w:p w14:paraId="64D3C67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21.3.2违约责任</w:t>
      </w:r>
    </w:p>
    <w:p w14:paraId="541D9EE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违反本合同各项之约定，应按照合同约定或法律规定承担违约责任；承包人违反本合同各项之约定，应按本合同约定或法律规定向发包人承担违约责任支付违约金；且发包人或承包人因对方违约均有权解除施工合同，要求违约方赔偿经济损失包括但不限于诉讼费、律师费、调查取证费、鉴定费等。</w:t>
      </w:r>
    </w:p>
    <w:p w14:paraId="199336F9">
      <w:pPr>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24.争议的解决</w:t>
      </w:r>
    </w:p>
    <w:p w14:paraId="3585B342">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24.1争议的解决方式</w:t>
      </w:r>
    </w:p>
    <w:p w14:paraId="4EE1568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因本合同引起的或与本合同有关的任何争议，合同双方友好协商不成、不愿提请争议组评审或者不愿接受争议评审组意见的，选择下列第</w:t>
      </w:r>
      <w:r>
        <w:rPr>
          <w:rFonts w:hint="eastAsia" w:ascii="宋体" w:hAnsi="宋体" w:eastAsia="宋体" w:cs="宋体"/>
          <w:color w:val="auto"/>
          <w:sz w:val="24"/>
          <w:szCs w:val="24"/>
          <w:u w:val="single"/>
        </w:rPr>
        <w:t>贰</w:t>
      </w:r>
      <w:r>
        <w:rPr>
          <w:rFonts w:hint="eastAsia" w:ascii="宋体" w:hAnsi="宋体" w:eastAsia="宋体" w:cs="宋体"/>
          <w:color w:val="auto"/>
          <w:sz w:val="24"/>
          <w:szCs w:val="24"/>
        </w:rPr>
        <w:t>种方式解决：</w:t>
      </w:r>
    </w:p>
    <w:p w14:paraId="036950F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（壹）</w:t>
      </w:r>
      <w:r>
        <w:rPr>
          <w:rFonts w:hint="eastAsia" w:ascii="宋体" w:hAnsi="宋体" w:eastAsia="宋体" w:cs="宋体"/>
          <w:color w:val="auto"/>
          <w:sz w:val="24"/>
          <w:szCs w:val="24"/>
        </w:rPr>
        <w:t>提请仲裁委员会按照该会仲裁规则进行仲裁，仲裁裁决是终局的，对合同双方均有约束力。</w:t>
      </w:r>
    </w:p>
    <w:p w14:paraId="0642B88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（贰）</w:t>
      </w:r>
      <w:r>
        <w:rPr>
          <w:rFonts w:hint="eastAsia" w:ascii="宋体" w:hAnsi="宋体" w:eastAsia="宋体" w:cs="宋体"/>
          <w:color w:val="auto"/>
          <w:sz w:val="24"/>
          <w:szCs w:val="24"/>
        </w:rPr>
        <w:t>向工程所在地人民法院提起诉讼。由此产生的诉讼费、律师费、鉴定费、审计费或评估费、调查取证费等由违约方承担。</w:t>
      </w:r>
    </w:p>
    <w:p w14:paraId="562CEA8D">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24.3争议评审</w:t>
      </w:r>
    </w:p>
    <w:p w14:paraId="0020408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24.3.4争议评审组邀请合同双方代表人和有关人员举行调查会的期限：</w:t>
      </w:r>
      <w:r>
        <w:rPr>
          <w:rFonts w:hint="eastAsia" w:ascii="宋体" w:hAnsi="宋体" w:eastAsia="宋体" w:cs="宋体"/>
          <w:color w:val="auto"/>
          <w:sz w:val="24"/>
          <w:szCs w:val="24"/>
          <w:u w:val="single"/>
        </w:rPr>
        <w:t>争议评审组在收到合同双方报告后的14天内。</w:t>
      </w:r>
    </w:p>
    <w:p w14:paraId="388F6FAC">
      <w:pPr>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24.3.5争议评审组在调查会后作出争议评审意见的期限：</w:t>
      </w:r>
      <w:r>
        <w:rPr>
          <w:rFonts w:hint="eastAsia" w:ascii="宋体" w:hAnsi="宋体" w:eastAsia="宋体" w:cs="宋体"/>
          <w:color w:val="auto"/>
          <w:sz w:val="24"/>
          <w:szCs w:val="24"/>
          <w:highlight w:val="none"/>
          <w:u w:val="single"/>
        </w:rPr>
        <w:t>在调查会结束后的14天内</w:t>
      </w:r>
      <w:r>
        <w:rPr>
          <w:rFonts w:hint="eastAsia" w:ascii="宋体" w:hAnsi="宋体" w:eastAsia="宋体" w:cs="宋体"/>
          <w:color w:val="auto"/>
          <w:sz w:val="24"/>
          <w:szCs w:val="24"/>
          <w:highlight w:val="none"/>
        </w:rPr>
        <w:t>。</w:t>
      </w:r>
      <w:bookmarkStart w:id="40" w:name="_Toc1538"/>
      <w:bookmarkStart w:id="41" w:name="_Toc20772"/>
      <w:bookmarkStart w:id="42" w:name="_Toc456966899"/>
    </w:p>
    <w:p w14:paraId="76DCABAE">
      <w:pPr>
        <w:keepNext/>
        <w:keepLines/>
        <w:spacing w:line="360" w:lineRule="auto"/>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25. 补充条款</w:t>
      </w:r>
    </w:p>
    <w:p w14:paraId="1103A45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25.1承包人产生违约行为时除按照通用条款22.1条规定处理外，由承包人向发包人全额支付缴纳的履约保证金。</w:t>
      </w:r>
    </w:p>
    <w:p w14:paraId="72DF4BF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25.</w:t>
      </w:r>
      <w:r>
        <w:rPr>
          <w:rFonts w:hint="eastAsia"/>
          <w:color w:val="auto"/>
          <w:sz w:val="24"/>
          <w:szCs w:val="24"/>
          <w:lang w:val="en-US" w:eastAsia="zh-CN"/>
        </w:rPr>
        <w:t>2</w:t>
      </w:r>
      <w:r>
        <w:rPr>
          <w:rFonts w:hint="eastAsia"/>
          <w:color w:val="auto"/>
          <w:sz w:val="24"/>
          <w:szCs w:val="24"/>
        </w:rPr>
        <w:t>承包人应无条件接受发包人及监理单位的现场领导，并保持与工程其他专业队伍的严密配合对接，因拒绝现场领导，配合不足造成其他专业进度延误以及经济损失等情况，一切责任及损失概由承包人承担。</w:t>
      </w:r>
    </w:p>
    <w:p w14:paraId="0F2644B8">
      <w:pPr>
        <w:spacing w:line="360" w:lineRule="auto"/>
        <w:ind w:right="69" w:rightChars="33"/>
        <w:jc w:val="left"/>
        <w:rPr>
          <w:rFonts w:hint="eastAsia" w:ascii="宋体" w:hAnsi="宋体" w:eastAsia="宋体" w:cs="宋体"/>
          <w:b/>
          <w:bCs/>
          <w:color w:val="auto"/>
          <w:sz w:val="24"/>
          <w:szCs w:val="24"/>
        </w:rPr>
      </w:pPr>
    </w:p>
    <w:p w14:paraId="7DF1C820">
      <w:pPr>
        <w:spacing w:line="360" w:lineRule="auto"/>
        <w:ind w:right="69" w:rightChars="33"/>
        <w:jc w:val="left"/>
        <w:rPr>
          <w:rFonts w:hint="eastAsia" w:ascii="宋体" w:hAnsi="宋体" w:eastAsia="宋体" w:cs="宋体"/>
          <w:b/>
          <w:bCs/>
          <w:color w:val="auto"/>
          <w:sz w:val="24"/>
          <w:szCs w:val="24"/>
        </w:rPr>
      </w:pPr>
    </w:p>
    <w:p w14:paraId="6B120778">
      <w:pPr>
        <w:spacing w:line="360" w:lineRule="auto"/>
        <w:ind w:right="69" w:rightChars="33"/>
        <w:jc w:val="left"/>
        <w:rPr>
          <w:rFonts w:hint="eastAsia" w:ascii="宋体" w:hAnsi="宋体" w:eastAsia="宋体" w:cs="宋体"/>
          <w:b/>
          <w:bCs/>
          <w:color w:val="auto"/>
          <w:sz w:val="24"/>
          <w:szCs w:val="24"/>
        </w:rPr>
      </w:pPr>
    </w:p>
    <w:p w14:paraId="3E3761F7">
      <w:pPr>
        <w:spacing w:line="360" w:lineRule="auto"/>
        <w:ind w:right="69" w:rightChars="33"/>
        <w:jc w:val="left"/>
        <w:rPr>
          <w:rFonts w:hint="eastAsia" w:ascii="宋体" w:hAnsi="宋体" w:eastAsia="宋体" w:cs="宋体"/>
          <w:color w:val="auto"/>
          <w:sz w:val="24"/>
          <w:szCs w:val="24"/>
        </w:rPr>
      </w:pPr>
      <w:r>
        <w:rPr>
          <w:rFonts w:hint="eastAsia" w:ascii="宋体" w:hAnsi="宋体" w:eastAsia="宋体" w:cs="宋体"/>
          <w:b/>
          <w:bCs/>
          <w:color w:val="auto"/>
          <w:sz w:val="24"/>
          <w:szCs w:val="24"/>
        </w:rPr>
        <w:br w:type="page"/>
      </w:r>
      <w:r>
        <w:rPr>
          <w:rFonts w:hint="eastAsia" w:ascii="宋体" w:hAnsi="宋体" w:eastAsia="宋体" w:cs="宋体"/>
          <w:b/>
          <w:bCs/>
          <w:color w:val="auto"/>
          <w:sz w:val="24"/>
          <w:szCs w:val="24"/>
        </w:rPr>
        <w:t>附件一：承包人提供的材料和工程设备一览表</w:t>
      </w:r>
    </w:p>
    <w:bookmarkEnd w:id="40"/>
    <w:bookmarkEnd w:id="41"/>
    <w:bookmarkEnd w:id="42"/>
    <w:p w14:paraId="17C9149D">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承包人提供的材料和工程设备一览表</w:t>
      </w:r>
    </w:p>
    <w:p w14:paraId="27A68334">
      <w:pPr>
        <w:spacing w:line="360" w:lineRule="auto"/>
        <w:rPr>
          <w:rFonts w:hint="eastAsia" w:ascii="宋体" w:hAnsi="宋体" w:eastAsia="宋体" w:cs="宋体"/>
          <w:color w:val="auto"/>
          <w:sz w:val="24"/>
          <w:szCs w:val="24"/>
        </w:rPr>
      </w:pPr>
    </w:p>
    <w:tbl>
      <w:tblPr>
        <w:tblStyle w:val="39"/>
        <w:tblW w:w="942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97"/>
        <w:gridCol w:w="1371"/>
        <w:gridCol w:w="1205"/>
        <w:gridCol w:w="716"/>
        <w:gridCol w:w="716"/>
        <w:gridCol w:w="716"/>
        <w:gridCol w:w="1050"/>
        <w:gridCol w:w="809"/>
        <w:gridCol w:w="1412"/>
        <w:gridCol w:w="929"/>
      </w:tblGrid>
      <w:tr w14:paraId="6E769D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497" w:type="dxa"/>
            <w:tcBorders>
              <w:top w:val="single" w:color="auto" w:sz="8" w:space="0"/>
            </w:tcBorders>
            <w:noWrap w:val="0"/>
            <w:vAlign w:val="center"/>
          </w:tcPr>
          <w:p w14:paraId="7F9F96E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71" w:type="dxa"/>
            <w:tcBorders>
              <w:top w:val="single" w:color="auto" w:sz="8" w:space="0"/>
            </w:tcBorders>
            <w:noWrap w:val="0"/>
            <w:vAlign w:val="center"/>
          </w:tcPr>
          <w:p w14:paraId="7ABF88C8">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材料设备</w:t>
            </w:r>
          </w:p>
          <w:p w14:paraId="28EB53E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名称</w:t>
            </w:r>
          </w:p>
        </w:tc>
        <w:tc>
          <w:tcPr>
            <w:tcW w:w="1205" w:type="dxa"/>
            <w:tcBorders>
              <w:top w:val="single" w:color="auto" w:sz="8" w:space="0"/>
            </w:tcBorders>
            <w:noWrap w:val="0"/>
            <w:vAlign w:val="center"/>
          </w:tcPr>
          <w:p w14:paraId="3D45EAD9">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规格</w:t>
            </w:r>
          </w:p>
          <w:p w14:paraId="7E34129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型号</w:t>
            </w:r>
          </w:p>
        </w:tc>
        <w:tc>
          <w:tcPr>
            <w:tcW w:w="716" w:type="dxa"/>
            <w:tcBorders>
              <w:top w:val="single" w:color="auto" w:sz="8" w:space="0"/>
            </w:tcBorders>
            <w:noWrap w:val="0"/>
            <w:vAlign w:val="center"/>
          </w:tcPr>
          <w:p w14:paraId="2E632D83">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474788B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位</w:t>
            </w:r>
          </w:p>
        </w:tc>
        <w:tc>
          <w:tcPr>
            <w:tcW w:w="716" w:type="dxa"/>
            <w:tcBorders>
              <w:top w:val="single" w:color="auto" w:sz="8" w:space="0"/>
            </w:tcBorders>
            <w:noWrap w:val="0"/>
            <w:vAlign w:val="center"/>
          </w:tcPr>
          <w:p w14:paraId="65928DB3">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数</w:t>
            </w:r>
          </w:p>
          <w:p w14:paraId="7EBA22F1">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量</w:t>
            </w:r>
          </w:p>
        </w:tc>
        <w:tc>
          <w:tcPr>
            <w:tcW w:w="716" w:type="dxa"/>
            <w:tcBorders>
              <w:top w:val="single" w:color="auto" w:sz="8" w:space="0"/>
            </w:tcBorders>
            <w:noWrap w:val="0"/>
            <w:vAlign w:val="center"/>
          </w:tcPr>
          <w:p w14:paraId="2CED8C36">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4E90597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价</w:t>
            </w:r>
          </w:p>
        </w:tc>
        <w:tc>
          <w:tcPr>
            <w:tcW w:w="1050" w:type="dxa"/>
            <w:tcBorders>
              <w:top w:val="single" w:color="auto" w:sz="8" w:space="0"/>
            </w:tcBorders>
            <w:noWrap w:val="0"/>
            <w:vAlign w:val="center"/>
          </w:tcPr>
          <w:p w14:paraId="6E4B2923">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1F7F4CE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方式</w:t>
            </w:r>
          </w:p>
        </w:tc>
        <w:tc>
          <w:tcPr>
            <w:tcW w:w="809" w:type="dxa"/>
            <w:tcBorders>
              <w:top w:val="single" w:color="auto" w:sz="8" w:space="0"/>
            </w:tcBorders>
            <w:noWrap w:val="0"/>
            <w:vAlign w:val="center"/>
          </w:tcPr>
          <w:p w14:paraId="1136F6A6">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64E805D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地点</w:t>
            </w:r>
          </w:p>
        </w:tc>
        <w:tc>
          <w:tcPr>
            <w:tcW w:w="1412" w:type="dxa"/>
            <w:tcBorders>
              <w:top w:val="single" w:color="auto" w:sz="8" w:space="0"/>
            </w:tcBorders>
            <w:noWrap w:val="0"/>
            <w:vAlign w:val="center"/>
          </w:tcPr>
          <w:p w14:paraId="26E0196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计划</w:t>
            </w:r>
          </w:p>
          <w:p w14:paraId="5E0854A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0AE46E16">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时间</w:t>
            </w:r>
          </w:p>
        </w:tc>
        <w:tc>
          <w:tcPr>
            <w:tcW w:w="929" w:type="dxa"/>
            <w:tcBorders>
              <w:top w:val="single" w:color="auto" w:sz="8" w:space="0"/>
            </w:tcBorders>
            <w:noWrap w:val="0"/>
            <w:vAlign w:val="center"/>
          </w:tcPr>
          <w:p w14:paraId="30B8C6D9">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71A634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497" w:type="dxa"/>
            <w:noWrap w:val="0"/>
            <w:vAlign w:val="top"/>
          </w:tcPr>
          <w:p w14:paraId="68BF1DD7">
            <w:pPr>
              <w:spacing w:line="360" w:lineRule="auto"/>
              <w:rPr>
                <w:rFonts w:hint="eastAsia" w:ascii="宋体" w:hAnsi="宋体" w:eastAsia="宋体" w:cs="宋体"/>
                <w:color w:val="auto"/>
                <w:sz w:val="24"/>
                <w:szCs w:val="24"/>
              </w:rPr>
            </w:pPr>
          </w:p>
        </w:tc>
        <w:tc>
          <w:tcPr>
            <w:tcW w:w="1371" w:type="dxa"/>
            <w:noWrap w:val="0"/>
            <w:vAlign w:val="top"/>
          </w:tcPr>
          <w:p w14:paraId="66973B3E">
            <w:pPr>
              <w:spacing w:line="360" w:lineRule="auto"/>
              <w:rPr>
                <w:rFonts w:hint="eastAsia" w:ascii="宋体" w:hAnsi="宋体" w:eastAsia="宋体" w:cs="宋体"/>
                <w:color w:val="auto"/>
                <w:sz w:val="24"/>
                <w:szCs w:val="24"/>
              </w:rPr>
            </w:pPr>
          </w:p>
        </w:tc>
        <w:tc>
          <w:tcPr>
            <w:tcW w:w="1205" w:type="dxa"/>
            <w:noWrap w:val="0"/>
            <w:vAlign w:val="top"/>
          </w:tcPr>
          <w:p w14:paraId="0F705B59">
            <w:pPr>
              <w:spacing w:line="360" w:lineRule="auto"/>
              <w:rPr>
                <w:rFonts w:hint="eastAsia" w:ascii="宋体" w:hAnsi="宋体" w:eastAsia="宋体" w:cs="宋体"/>
                <w:color w:val="auto"/>
                <w:sz w:val="24"/>
                <w:szCs w:val="24"/>
              </w:rPr>
            </w:pPr>
          </w:p>
        </w:tc>
        <w:tc>
          <w:tcPr>
            <w:tcW w:w="716" w:type="dxa"/>
            <w:noWrap w:val="0"/>
            <w:vAlign w:val="top"/>
          </w:tcPr>
          <w:p w14:paraId="79D2610A">
            <w:pPr>
              <w:spacing w:line="360" w:lineRule="auto"/>
              <w:rPr>
                <w:rFonts w:hint="eastAsia" w:ascii="宋体" w:hAnsi="宋体" w:eastAsia="宋体" w:cs="宋体"/>
                <w:color w:val="auto"/>
                <w:sz w:val="24"/>
                <w:szCs w:val="24"/>
              </w:rPr>
            </w:pPr>
          </w:p>
        </w:tc>
        <w:tc>
          <w:tcPr>
            <w:tcW w:w="716" w:type="dxa"/>
            <w:noWrap w:val="0"/>
            <w:vAlign w:val="top"/>
          </w:tcPr>
          <w:p w14:paraId="40FCD636">
            <w:pPr>
              <w:spacing w:line="360" w:lineRule="auto"/>
              <w:rPr>
                <w:rFonts w:hint="eastAsia" w:ascii="宋体" w:hAnsi="宋体" w:eastAsia="宋体" w:cs="宋体"/>
                <w:color w:val="auto"/>
                <w:sz w:val="24"/>
                <w:szCs w:val="24"/>
              </w:rPr>
            </w:pPr>
          </w:p>
        </w:tc>
        <w:tc>
          <w:tcPr>
            <w:tcW w:w="716" w:type="dxa"/>
            <w:noWrap w:val="0"/>
            <w:vAlign w:val="top"/>
          </w:tcPr>
          <w:p w14:paraId="7283DE55">
            <w:pPr>
              <w:spacing w:line="360" w:lineRule="auto"/>
              <w:rPr>
                <w:rFonts w:hint="eastAsia" w:ascii="宋体" w:hAnsi="宋体" w:eastAsia="宋体" w:cs="宋体"/>
                <w:color w:val="auto"/>
                <w:sz w:val="24"/>
                <w:szCs w:val="24"/>
              </w:rPr>
            </w:pPr>
          </w:p>
        </w:tc>
        <w:tc>
          <w:tcPr>
            <w:tcW w:w="1050" w:type="dxa"/>
            <w:noWrap w:val="0"/>
            <w:vAlign w:val="top"/>
          </w:tcPr>
          <w:p w14:paraId="37751FD5">
            <w:pPr>
              <w:spacing w:line="360" w:lineRule="auto"/>
              <w:rPr>
                <w:rFonts w:hint="eastAsia" w:ascii="宋体" w:hAnsi="宋体" w:eastAsia="宋体" w:cs="宋体"/>
                <w:color w:val="auto"/>
                <w:sz w:val="24"/>
                <w:szCs w:val="24"/>
              </w:rPr>
            </w:pPr>
          </w:p>
        </w:tc>
        <w:tc>
          <w:tcPr>
            <w:tcW w:w="809" w:type="dxa"/>
            <w:noWrap w:val="0"/>
            <w:vAlign w:val="top"/>
          </w:tcPr>
          <w:p w14:paraId="32507F82">
            <w:pPr>
              <w:spacing w:line="360" w:lineRule="auto"/>
              <w:rPr>
                <w:rFonts w:hint="eastAsia" w:ascii="宋体" w:hAnsi="宋体" w:eastAsia="宋体" w:cs="宋体"/>
                <w:color w:val="auto"/>
                <w:sz w:val="24"/>
                <w:szCs w:val="24"/>
              </w:rPr>
            </w:pPr>
          </w:p>
        </w:tc>
        <w:tc>
          <w:tcPr>
            <w:tcW w:w="1412" w:type="dxa"/>
            <w:noWrap w:val="0"/>
            <w:vAlign w:val="top"/>
          </w:tcPr>
          <w:p w14:paraId="4F4BB9C8">
            <w:pPr>
              <w:spacing w:line="360" w:lineRule="auto"/>
              <w:rPr>
                <w:rFonts w:hint="eastAsia" w:ascii="宋体" w:hAnsi="宋体" w:eastAsia="宋体" w:cs="宋体"/>
                <w:color w:val="auto"/>
                <w:sz w:val="24"/>
                <w:szCs w:val="24"/>
              </w:rPr>
            </w:pPr>
          </w:p>
        </w:tc>
        <w:tc>
          <w:tcPr>
            <w:tcW w:w="929" w:type="dxa"/>
            <w:noWrap w:val="0"/>
            <w:vAlign w:val="top"/>
          </w:tcPr>
          <w:p w14:paraId="4AC13B44">
            <w:pPr>
              <w:spacing w:line="360" w:lineRule="auto"/>
              <w:rPr>
                <w:rFonts w:hint="eastAsia" w:ascii="宋体" w:hAnsi="宋体" w:eastAsia="宋体" w:cs="宋体"/>
                <w:color w:val="auto"/>
                <w:sz w:val="24"/>
                <w:szCs w:val="24"/>
              </w:rPr>
            </w:pPr>
          </w:p>
        </w:tc>
      </w:tr>
      <w:tr w14:paraId="2572E2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9" w:hRule="exact"/>
          <w:jc w:val="center"/>
        </w:trPr>
        <w:tc>
          <w:tcPr>
            <w:tcW w:w="497" w:type="dxa"/>
            <w:noWrap w:val="0"/>
            <w:vAlign w:val="top"/>
          </w:tcPr>
          <w:p w14:paraId="4A3AF2BE">
            <w:pPr>
              <w:spacing w:line="360" w:lineRule="auto"/>
              <w:rPr>
                <w:rFonts w:hint="eastAsia" w:ascii="宋体" w:hAnsi="宋体" w:eastAsia="宋体" w:cs="宋体"/>
                <w:color w:val="auto"/>
                <w:sz w:val="24"/>
                <w:szCs w:val="24"/>
              </w:rPr>
            </w:pPr>
          </w:p>
        </w:tc>
        <w:tc>
          <w:tcPr>
            <w:tcW w:w="1371" w:type="dxa"/>
            <w:noWrap w:val="0"/>
            <w:vAlign w:val="top"/>
          </w:tcPr>
          <w:p w14:paraId="75F58C0B">
            <w:pPr>
              <w:spacing w:line="360" w:lineRule="auto"/>
              <w:rPr>
                <w:rFonts w:hint="eastAsia" w:ascii="宋体" w:hAnsi="宋体" w:eastAsia="宋体" w:cs="宋体"/>
                <w:color w:val="auto"/>
                <w:sz w:val="24"/>
                <w:szCs w:val="24"/>
              </w:rPr>
            </w:pPr>
          </w:p>
        </w:tc>
        <w:tc>
          <w:tcPr>
            <w:tcW w:w="1205" w:type="dxa"/>
            <w:noWrap w:val="0"/>
            <w:vAlign w:val="top"/>
          </w:tcPr>
          <w:p w14:paraId="7B222048">
            <w:pPr>
              <w:spacing w:line="360" w:lineRule="auto"/>
              <w:rPr>
                <w:rFonts w:hint="eastAsia" w:ascii="宋体" w:hAnsi="宋体" w:eastAsia="宋体" w:cs="宋体"/>
                <w:color w:val="auto"/>
                <w:sz w:val="24"/>
                <w:szCs w:val="24"/>
              </w:rPr>
            </w:pPr>
          </w:p>
        </w:tc>
        <w:tc>
          <w:tcPr>
            <w:tcW w:w="716" w:type="dxa"/>
            <w:noWrap w:val="0"/>
            <w:vAlign w:val="top"/>
          </w:tcPr>
          <w:p w14:paraId="4F303E0E">
            <w:pPr>
              <w:spacing w:line="360" w:lineRule="auto"/>
              <w:rPr>
                <w:rFonts w:hint="eastAsia" w:ascii="宋体" w:hAnsi="宋体" w:eastAsia="宋体" w:cs="宋体"/>
                <w:color w:val="auto"/>
                <w:sz w:val="24"/>
                <w:szCs w:val="24"/>
              </w:rPr>
            </w:pPr>
          </w:p>
        </w:tc>
        <w:tc>
          <w:tcPr>
            <w:tcW w:w="716" w:type="dxa"/>
            <w:noWrap w:val="0"/>
            <w:vAlign w:val="top"/>
          </w:tcPr>
          <w:p w14:paraId="13F4F532">
            <w:pPr>
              <w:spacing w:line="360" w:lineRule="auto"/>
              <w:rPr>
                <w:rFonts w:hint="eastAsia" w:ascii="宋体" w:hAnsi="宋体" w:eastAsia="宋体" w:cs="宋体"/>
                <w:color w:val="auto"/>
                <w:sz w:val="24"/>
                <w:szCs w:val="24"/>
              </w:rPr>
            </w:pPr>
          </w:p>
        </w:tc>
        <w:tc>
          <w:tcPr>
            <w:tcW w:w="716" w:type="dxa"/>
            <w:noWrap w:val="0"/>
            <w:vAlign w:val="top"/>
          </w:tcPr>
          <w:p w14:paraId="462E82C0">
            <w:pPr>
              <w:spacing w:line="360" w:lineRule="auto"/>
              <w:rPr>
                <w:rFonts w:hint="eastAsia" w:ascii="宋体" w:hAnsi="宋体" w:eastAsia="宋体" w:cs="宋体"/>
                <w:color w:val="auto"/>
                <w:sz w:val="24"/>
                <w:szCs w:val="24"/>
              </w:rPr>
            </w:pPr>
          </w:p>
        </w:tc>
        <w:tc>
          <w:tcPr>
            <w:tcW w:w="1050" w:type="dxa"/>
            <w:noWrap w:val="0"/>
            <w:vAlign w:val="top"/>
          </w:tcPr>
          <w:p w14:paraId="67774246">
            <w:pPr>
              <w:spacing w:line="360" w:lineRule="auto"/>
              <w:rPr>
                <w:rFonts w:hint="eastAsia" w:ascii="宋体" w:hAnsi="宋体" w:eastAsia="宋体" w:cs="宋体"/>
                <w:color w:val="auto"/>
                <w:sz w:val="24"/>
                <w:szCs w:val="24"/>
              </w:rPr>
            </w:pPr>
          </w:p>
        </w:tc>
        <w:tc>
          <w:tcPr>
            <w:tcW w:w="809" w:type="dxa"/>
            <w:noWrap w:val="0"/>
            <w:vAlign w:val="top"/>
          </w:tcPr>
          <w:p w14:paraId="2EE39090">
            <w:pPr>
              <w:spacing w:line="360" w:lineRule="auto"/>
              <w:rPr>
                <w:rFonts w:hint="eastAsia" w:ascii="宋体" w:hAnsi="宋体" w:eastAsia="宋体" w:cs="宋体"/>
                <w:color w:val="auto"/>
                <w:sz w:val="24"/>
                <w:szCs w:val="24"/>
              </w:rPr>
            </w:pPr>
          </w:p>
        </w:tc>
        <w:tc>
          <w:tcPr>
            <w:tcW w:w="1412" w:type="dxa"/>
            <w:noWrap w:val="0"/>
            <w:vAlign w:val="top"/>
          </w:tcPr>
          <w:p w14:paraId="7BEBD6B1">
            <w:pPr>
              <w:spacing w:line="360" w:lineRule="auto"/>
              <w:rPr>
                <w:rFonts w:hint="eastAsia" w:ascii="宋体" w:hAnsi="宋体" w:eastAsia="宋体" w:cs="宋体"/>
                <w:color w:val="auto"/>
                <w:sz w:val="24"/>
                <w:szCs w:val="24"/>
              </w:rPr>
            </w:pPr>
          </w:p>
        </w:tc>
        <w:tc>
          <w:tcPr>
            <w:tcW w:w="929" w:type="dxa"/>
            <w:noWrap w:val="0"/>
            <w:vAlign w:val="top"/>
          </w:tcPr>
          <w:p w14:paraId="1446D98C">
            <w:pPr>
              <w:spacing w:line="360" w:lineRule="auto"/>
              <w:rPr>
                <w:rFonts w:hint="eastAsia" w:ascii="宋体" w:hAnsi="宋体" w:eastAsia="宋体" w:cs="宋体"/>
                <w:color w:val="auto"/>
                <w:sz w:val="24"/>
                <w:szCs w:val="24"/>
              </w:rPr>
            </w:pPr>
          </w:p>
        </w:tc>
      </w:tr>
      <w:tr w14:paraId="2C1E5A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2" w:hRule="exact"/>
          <w:jc w:val="center"/>
        </w:trPr>
        <w:tc>
          <w:tcPr>
            <w:tcW w:w="497" w:type="dxa"/>
            <w:noWrap w:val="0"/>
            <w:vAlign w:val="top"/>
          </w:tcPr>
          <w:p w14:paraId="1DF9B07B">
            <w:pPr>
              <w:spacing w:line="360" w:lineRule="auto"/>
              <w:rPr>
                <w:rFonts w:hint="eastAsia" w:ascii="宋体" w:hAnsi="宋体" w:eastAsia="宋体" w:cs="宋体"/>
                <w:color w:val="auto"/>
                <w:sz w:val="24"/>
                <w:szCs w:val="24"/>
              </w:rPr>
            </w:pPr>
          </w:p>
        </w:tc>
        <w:tc>
          <w:tcPr>
            <w:tcW w:w="1371" w:type="dxa"/>
            <w:noWrap w:val="0"/>
            <w:vAlign w:val="top"/>
          </w:tcPr>
          <w:p w14:paraId="6F111663">
            <w:pPr>
              <w:spacing w:line="360" w:lineRule="auto"/>
              <w:rPr>
                <w:rFonts w:hint="eastAsia" w:ascii="宋体" w:hAnsi="宋体" w:eastAsia="宋体" w:cs="宋体"/>
                <w:color w:val="auto"/>
                <w:sz w:val="24"/>
                <w:szCs w:val="24"/>
              </w:rPr>
            </w:pPr>
          </w:p>
        </w:tc>
        <w:tc>
          <w:tcPr>
            <w:tcW w:w="1205" w:type="dxa"/>
            <w:noWrap w:val="0"/>
            <w:vAlign w:val="top"/>
          </w:tcPr>
          <w:p w14:paraId="40670071">
            <w:pPr>
              <w:spacing w:line="360" w:lineRule="auto"/>
              <w:rPr>
                <w:rFonts w:hint="eastAsia" w:ascii="宋体" w:hAnsi="宋体" w:eastAsia="宋体" w:cs="宋体"/>
                <w:color w:val="auto"/>
                <w:sz w:val="24"/>
                <w:szCs w:val="24"/>
              </w:rPr>
            </w:pPr>
          </w:p>
        </w:tc>
        <w:tc>
          <w:tcPr>
            <w:tcW w:w="716" w:type="dxa"/>
            <w:noWrap w:val="0"/>
            <w:vAlign w:val="top"/>
          </w:tcPr>
          <w:p w14:paraId="0F6848DE">
            <w:pPr>
              <w:spacing w:line="360" w:lineRule="auto"/>
              <w:rPr>
                <w:rFonts w:hint="eastAsia" w:ascii="宋体" w:hAnsi="宋体" w:eastAsia="宋体" w:cs="宋体"/>
                <w:color w:val="auto"/>
                <w:sz w:val="24"/>
                <w:szCs w:val="24"/>
              </w:rPr>
            </w:pPr>
          </w:p>
        </w:tc>
        <w:tc>
          <w:tcPr>
            <w:tcW w:w="716" w:type="dxa"/>
            <w:noWrap w:val="0"/>
            <w:vAlign w:val="top"/>
          </w:tcPr>
          <w:p w14:paraId="2A67C3F9">
            <w:pPr>
              <w:spacing w:line="360" w:lineRule="auto"/>
              <w:rPr>
                <w:rFonts w:hint="eastAsia" w:ascii="宋体" w:hAnsi="宋体" w:eastAsia="宋体" w:cs="宋体"/>
                <w:color w:val="auto"/>
                <w:sz w:val="24"/>
                <w:szCs w:val="24"/>
              </w:rPr>
            </w:pPr>
          </w:p>
        </w:tc>
        <w:tc>
          <w:tcPr>
            <w:tcW w:w="716" w:type="dxa"/>
            <w:noWrap w:val="0"/>
            <w:vAlign w:val="top"/>
          </w:tcPr>
          <w:p w14:paraId="032450C4">
            <w:pPr>
              <w:spacing w:line="360" w:lineRule="auto"/>
              <w:rPr>
                <w:rFonts w:hint="eastAsia" w:ascii="宋体" w:hAnsi="宋体" w:eastAsia="宋体" w:cs="宋体"/>
                <w:color w:val="auto"/>
                <w:sz w:val="24"/>
                <w:szCs w:val="24"/>
              </w:rPr>
            </w:pPr>
          </w:p>
        </w:tc>
        <w:tc>
          <w:tcPr>
            <w:tcW w:w="1050" w:type="dxa"/>
            <w:noWrap w:val="0"/>
            <w:vAlign w:val="top"/>
          </w:tcPr>
          <w:p w14:paraId="15CF60D3">
            <w:pPr>
              <w:spacing w:line="360" w:lineRule="auto"/>
              <w:rPr>
                <w:rFonts w:hint="eastAsia" w:ascii="宋体" w:hAnsi="宋体" w:eastAsia="宋体" w:cs="宋体"/>
                <w:color w:val="auto"/>
                <w:sz w:val="24"/>
                <w:szCs w:val="24"/>
              </w:rPr>
            </w:pPr>
          </w:p>
        </w:tc>
        <w:tc>
          <w:tcPr>
            <w:tcW w:w="809" w:type="dxa"/>
            <w:noWrap w:val="0"/>
            <w:vAlign w:val="top"/>
          </w:tcPr>
          <w:p w14:paraId="4FAFAE7D">
            <w:pPr>
              <w:spacing w:line="360" w:lineRule="auto"/>
              <w:rPr>
                <w:rFonts w:hint="eastAsia" w:ascii="宋体" w:hAnsi="宋体" w:eastAsia="宋体" w:cs="宋体"/>
                <w:color w:val="auto"/>
                <w:sz w:val="24"/>
                <w:szCs w:val="24"/>
              </w:rPr>
            </w:pPr>
          </w:p>
        </w:tc>
        <w:tc>
          <w:tcPr>
            <w:tcW w:w="1412" w:type="dxa"/>
            <w:noWrap w:val="0"/>
            <w:vAlign w:val="top"/>
          </w:tcPr>
          <w:p w14:paraId="7B9A2B9B">
            <w:pPr>
              <w:spacing w:line="360" w:lineRule="auto"/>
              <w:rPr>
                <w:rFonts w:hint="eastAsia" w:ascii="宋体" w:hAnsi="宋体" w:eastAsia="宋体" w:cs="宋体"/>
                <w:color w:val="auto"/>
                <w:sz w:val="24"/>
                <w:szCs w:val="24"/>
              </w:rPr>
            </w:pPr>
          </w:p>
        </w:tc>
        <w:tc>
          <w:tcPr>
            <w:tcW w:w="929" w:type="dxa"/>
            <w:noWrap w:val="0"/>
            <w:vAlign w:val="top"/>
          </w:tcPr>
          <w:p w14:paraId="1097B103">
            <w:pPr>
              <w:spacing w:line="360" w:lineRule="auto"/>
              <w:rPr>
                <w:rFonts w:hint="eastAsia" w:ascii="宋体" w:hAnsi="宋体" w:eastAsia="宋体" w:cs="宋体"/>
                <w:color w:val="auto"/>
                <w:sz w:val="24"/>
                <w:szCs w:val="24"/>
              </w:rPr>
            </w:pPr>
          </w:p>
        </w:tc>
      </w:tr>
      <w:tr w14:paraId="4D55E8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13632C53">
            <w:pPr>
              <w:spacing w:line="360" w:lineRule="auto"/>
              <w:rPr>
                <w:rFonts w:hint="eastAsia" w:ascii="宋体" w:hAnsi="宋体" w:eastAsia="宋体" w:cs="宋体"/>
                <w:color w:val="auto"/>
                <w:sz w:val="24"/>
                <w:szCs w:val="24"/>
              </w:rPr>
            </w:pPr>
          </w:p>
        </w:tc>
        <w:tc>
          <w:tcPr>
            <w:tcW w:w="1371" w:type="dxa"/>
            <w:noWrap w:val="0"/>
            <w:vAlign w:val="top"/>
          </w:tcPr>
          <w:p w14:paraId="41AC18ED">
            <w:pPr>
              <w:spacing w:line="360" w:lineRule="auto"/>
              <w:rPr>
                <w:rFonts w:hint="eastAsia" w:ascii="宋体" w:hAnsi="宋体" w:eastAsia="宋体" w:cs="宋体"/>
                <w:color w:val="auto"/>
                <w:sz w:val="24"/>
                <w:szCs w:val="24"/>
              </w:rPr>
            </w:pPr>
          </w:p>
        </w:tc>
        <w:tc>
          <w:tcPr>
            <w:tcW w:w="1205" w:type="dxa"/>
            <w:noWrap w:val="0"/>
            <w:vAlign w:val="top"/>
          </w:tcPr>
          <w:p w14:paraId="5EF4BA12">
            <w:pPr>
              <w:spacing w:line="360" w:lineRule="auto"/>
              <w:rPr>
                <w:rFonts w:hint="eastAsia" w:ascii="宋体" w:hAnsi="宋体" w:eastAsia="宋体" w:cs="宋体"/>
                <w:color w:val="auto"/>
                <w:sz w:val="24"/>
                <w:szCs w:val="24"/>
              </w:rPr>
            </w:pPr>
          </w:p>
        </w:tc>
        <w:tc>
          <w:tcPr>
            <w:tcW w:w="716" w:type="dxa"/>
            <w:noWrap w:val="0"/>
            <w:vAlign w:val="top"/>
          </w:tcPr>
          <w:p w14:paraId="39D7BB7E">
            <w:pPr>
              <w:spacing w:line="360" w:lineRule="auto"/>
              <w:rPr>
                <w:rFonts w:hint="eastAsia" w:ascii="宋体" w:hAnsi="宋体" w:eastAsia="宋体" w:cs="宋体"/>
                <w:color w:val="auto"/>
                <w:sz w:val="24"/>
                <w:szCs w:val="24"/>
              </w:rPr>
            </w:pPr>
          </w:p>
        </w:tc>
        <w:tc>
          <w:tcPr>
            <w:tcW w:w="716" w:type="dxa"/>
            <w:noWrap w:val="0"/>
            <w:vAlign w:val="top"/>
          </w:tcPr>
          <w:p w14:paraId="1069E8D7">
            <w:pPr>
              <w:spacing w:line="360" w:lineRule="auto"/>
              <w:rPr>
                <w:rFonts w:hint="eastAsia" w:ascii="宋体" w:hAnsi="宋体" w:eastAsia="宋体" w:cs="宋体"/>
                <w:color w:val="auto"/>
                <w:sz w:val="24"/>
                <w:szCs w:val="24"/>
              </w:rPr>
            </w:pPr>
          </w:p>
        </w:tc>
        <w:tc>
          <w:tcPr>
            <w:tcW w:w="716" w:type="dxa"/>
            <w:noWrap w:val="0"/>
            <w:vAlign w:val="top"/>
          </w:tcPr>
          <w:p w14:paraId="760AE7ED">
            <w:pPr>
              <w:spacing w:line="360" w:lineRule="auto"/>
              <w:rPr>
                <w:rFonts w:hint="eastAsia" w:ascii="宋体" w:hAnsi="宋体" w:eastAsia="宋体" w:cs="宋体"/>
                <w:color w:val="auto"/>
                <w:sz w:val="24"/>
                <w:szCs w:val="24"/>
              </w:rPr>
            </w:pPr>
          </w:p>
        </w:tc>
        <w:tc>
          <w:tcPr>
            <w:tcW w:w="1050" w:type="dxa"/>
            <w:noWrap w:val="0"/>
            <w:vAlign w:val="top"/>
          </w:tcPr>
          <w:p w14:paraId="7152B97B">
            <w:pPr>
              <w:spacing w:line="360" w:lineRule="auto"/>
              <w:rPr>
                <w:rFonts w:hint="eastAsia" w:ascii="宋体" w:hAnsi="宋体" w:eastAsia="宋体" w:cs="宋体"/>
                <w:color w:val="auto"/>
                <w:sz w:val="24"/>
                <w:szCs w:val="24"/>
              </w:rPr>
            </w:pPr>
          </w:p>
        </w:tc>
        <w:tc>
          <w:tcPr>
            <w:tcW w:w="809" w:type="dxa"/>
            <w:noWrap w:val="0"/>
            <w:vAlign w:val="top"/>
          </w:tcPr>
          <w:p w14:paraId="14C48323">
            <w:pPr>
              <w:spacing w:line="360" w:lineRule="auto"/>
              <w:rPr>
                <w:rFonts w:hint="eastAsia" w:ascii="宋体" w:hAnsi="宋体" w:eastAsia="宋体" w:cs="宋体"/>
                <w:color w:val="auto"/>
                <w:sz w:val="24"/>
                <w:szCs w:val="24"/>
              </w:rPr>
            </w:pPr>
          </w:p>
        </w:tc>
        <w:tc>
          <w:tcPr>
            <w:tcW w:w="1412" w:type="dxa"/>
            <w:noWrap w:val="0"/>
            <w:vAlign w:val="top"/>
          </w:tcPr>
          <w:p w14:paraId="10190C94">
            <w:pPr>
              <w:spacing w:line="360" w:lineRule="auto"/>
              <w:rPr>
                <w:rFonts w:hint="eastAsia" w:ascii="宋体" w:hAnsi="宋体" w:eastAsia="宋体" w:cs="宋体"/>
                <w:color w:val="auto"/>
                <w:sz w:val="24"/>
                <w:szCs w:val="24"/>
              </w:rPr>
            </w:pPr>
          </w:p>
        </w:tc>
        <w:tc>
          <w:tcPr>
            <w:tcW w:w="929" w:type="dxa"/>
            <w:noWrap w:val="0"/>
            <w:vAlign w:val="top"/>
          </w:tcPr>
          <w:p w14:paraId="55073EFA">
            <w:pPr>
              <w:spacing w:line="360" w:lineRule="auto"/>
              <w:rPr>
                <w:rFonts w:hint="eastAsia" w:ascii="宋体" w:hAnsi="宋体" w:eastAsia="宋体" w:cs="宋体"/>
                <w:color w:val="auto"/>
                <w:sz w:val="24"/>
                <w:szCs w:val="24"/>
              </w:rPr>
            </w:pPr>
          </w:p>
        </w:tc>
      </w:tr>
      <w:tr w14:paraId="5AB949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0" w:hRule="exact"/>
          <w:jc w:val="center"/>
        </w:trPr>
        <w:tc>
          <w:tcPr>
            <w:tcW w:w="497" w:type="dxa"/>
            <w:noWrap w:val="0"/>
            <w:vAlign w:val="top"/>
          </w:tcPr>
          <w:p w14:paraId="4E33E296">
            <w:pPr>
              <w:spacing w:line="360" w:lineRule="auto"/>
              <w:rPr>
                <w:rFonts w:hint="eastAsia" w:ascii="宋体" w:hAnsi="宋体" w:eastAsia="宋体" w:cs="宋体"/>
                <w:color w:val="auto"/>
                <w:sz w:val="24"/>
                <w:szCs w:val="24"/>
              </w:rPr>
            </w:pPr>
          </w:p>
        </w:tc>
        <w:tc>
          <w:tcPr>
            <w:tcW w:w="1371" w:type="dxa"/>
            <w:noWrap w:val="0"/>
            <w:vAlign w:val="top"/>
          </w:tcPr>
          <w:p w14:paraId="298D57BB">
            <w:pPr>
              <w:spacing w:line="360" w:lineRule="auto"/>
              <w:rPr>
                <w:rFonts w:hint="eastAsia" w:ascii="宋体" w:hAnsi="宋体" w:eastAsia="宋体" w:cs="宋体"/>
                <w:color w:val="auto"/>
                <w:sz w:val="24"/>
                <w:szCs w:val="24"/>
              </w:rPr>
            </w:pPr>
          </w:p>
        </w:tc>
        <w:tc>
          <w:tcPr>
            <w:tcW w:w="1205" w:type="dxa"/>
            <w:noWrap w:val="0"/>
            <w:vAlign w:val="top"/>
          </w:tcPr>
          <w:p w14:paraId="18CA9998">
            <w:pPr>
              <w:spacing w:line="360" w:lineRule="auto"/>
              <w:rPr>
                <w:rFonts w:hint="eastAsia" w:ascii="宋体" w:hAnsi="宋体" w:eastAsia="宋体" w:cs="宋体"/>
                <w:color w:val="auto"/>
                <w:sz w:val="24"/>
                <w:szCs w:val="24"/>
              </w:rPr>
            </w:pPr>
          </w:p>
        </w:tc>
        <w:tc>
          <w:tcPr>
            <w:tcW w:w="716" w:type="dxa"/>
            <w:noWrap w:val="0"/>
            <w:vAlign w:val="top"/>
          </w:tcPr>
          <w:p w14:paraId="5567618E">
            <w:pPr>
              <w:spacing w:line="360" w:lineRule="auto"/>
              <w:rPr>
                <w:rFonts w:hint="eastAsia" w:ascii="宋体" w:hAnsi="宋体" w:eastAsia="宋体" w:cs="宋体"/>
                <w:color w:val="auto"/>
                <w:sz w:val="24"/>
                <w:szCs w:val="24"/>
              </w:rPr>
            </w:pPr>
          </w:p>
        </w:tc>
        <w:tc>
          <w:tcPr>
            <w:tcW w:w="716" w:type="dxa"/>
            <w:noWrap w:val="0"/>
            <w:vAlign w:val="top"/>
          </w:tcPr>
          <w:p w14:paraId="53DC8F4F">
            <w:pPr>
              <w:spacing w:line="360" w:lineRule="auto"/>
              <w:rPr>
                <w:rFonts w:hint="eastAsia" w:ascii="宋体" w:hAnsi="宋体" w:eastAsia="宋体" w:cs="宋体"/>
                <w:color w:val="auto"/>
                <w:sz w:val="24"/>
                <w:szCs w:val="24"/>
              </w:rPr>
            </w:pPr>
          </w:p>
        </w:tc>
        <w:tc>
          <w:tcPr>
            <w:tcW w:w="716" w:type="dxa"/>
            <w:noWrap w:val="0"/>
            <w:vAlign w:val="top"/>
          </w:tcPr>
          <w:p w14:paraId="659F6BFE">
            <w:pPr>
              <w:spacing w:line="360" w:lineRule="auto"/>
              <w:rPr>
                <w:rFonts w:hint="eastAsia" w:ascii="宋体" w:hAnsi="宋体" w:eastAsia="宋体" w:cs="宋体"/>
                <w:color w:val="auto"/>
                <w:sz w:val="24"/>
                <w:szCs w:val="24"/>
              </w:rPr>
            </w:pPr>
          </w:p>
        </w:tc>
        <w:tc>
          <w:tcPr>
            <w:tcW w:w="1050" w:type="dxa"/>
            <w:noWrap w:val="0"/>
            <w:vAlign w:val="top"/>
          </w:tcPr>
          <w:p w14:paraId="4D4E9504">
            <w:pPr>
              <w:spacing w:line="360" w:lineRule="auto"/>
              <w:rPr>
                <w:rFonts w:hint="eastAsia" w:ascii="宋体" w:hAnsi="宋体" w:eastAsia="宋体" w:cs="宋体"/>
                <w:color w:val="auto"/>
                <w:sz w:val="24"/>
                <w:szCs w:val="24"/>
              </w:rPr>
            </w:pPr>
          </w:p>
        </w:tc>
        <w:tc>
          <w:tcPr>
            <w:tcW w:w="809" w:type="dxa"/>
            <w:noWrap w:val="0"/>
            <w:vAlign w:val="top"/>
          </w:tcPr>
          <w:p w14:paraId="6E70D404">
            <w:pPr>
              <w:spacing w:line="360" w:lineRule="auto"/>
              <w:rPr>
                <w:rFonts w:hint="eastAsia" w:ascii="宋体" w:hAnsi="宋体" w:eastAsia="宋体" w:cs="宋体"/>
                <w:color w:val="auto"/>
                <w:sz w:val="24"/>
                <w:szCs w:val="24"/>
              </w:rPr>
            </w:pPr>
          </w:p>
        </w:tc>
        <w:tc>
          <w:tcPr>
            <w:tcW w:w="1412" w:type="dxa"/>
            <w:noWrap w:val="0"/>
            <w:vAlign w:val="top"/>
          </w:tcPr>
          <w:p w14:paraId="2AE2C47C">
            <w:pPr>
              <w:spacing w:line="360" w:lineRule="auto"/>
              <w:rPr>
                <w:rFonts w:hint="eastAsia" w:ascii="宋体" w:hAnsi="宋体" w:eastAsia="宋体" w:cs="宋体"/>
                <w:color w:val="auto"/>
                <w:sz w:val="24"/>
                <w:szCs w:val="24"/>
              </w:rPr>
            </w:pPr>
          </w:p>
        </w:tc>
        <w:tc>
          <w:tcPr>
            <w:tcW w:w="929" w:type="dxa"/>
            <w:noWrap w:val="0"/>
            <w:vAlign w:val="top"/>
          </w:tcPr>
          <w:p w14:paraId="3E0555AD">
            <w:pPr>
              <w:spacing w:line="360" w:lineRule="auto"/>
              <w:rPr>
                <w:rFonts w:hint="eastAsia" w:ascii="宋体" w:hAnsi="宋体" w:eastAsia="宋体" w:cs="宋体"/>
                <w:color w:val="auto"/>
                <w:sz w:val="24"/>
                <w:szCs w:val="24"/>
              </w:rPr>
            </w:pPr>
          </w:p>
        </w:tc>
      </w:tr>
      <w:tr w14:paraId="62C11E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07E57EAE">
            <w:pPr>
              <w:spacing w:line="360" w:lineRule="auto"/>
              <w:rPr>
                <w:rFonts w:hint="eastAsia" w:ascii="宋体" w:hAnsi="宋体" w:eastAsia="宋体" w:cs="宋体"/>
                <w:color w:val="auto"/>
                <w:sz w:val="24"/>
                <w:szCs w:val="24"/>
              </w:rPr>
            </w:pPr>
          </w:p>
        </w:tc>
        <w:tc>
          <w:tcPr>
            <w:tcW w:w="1371" w:type="dxa"/>
            <w:noWrap w:val="0"/>
            <w:vAlign w:val="top"/>
          </w:tcPr>
          <w:p w14:paraId="3AC4866C">
            <w:pPr>
              <w:spacing w:line="360" w:lineRule="auto"/>
              <w:rPr>
                <w:rFonts w:hint="eastAsia" w:ascii="宋体" w:hAnsi="宋体" w:eastAsia="宋体" w:cs="宋体"/>
                <w:color w:val="auto"/>
                <w:sz w:val="24"/>
                <w:szCs w:val="24"/>
              </w:rPr>
            </w:pPr>
          </w:p>
        </w:tc>
        <w:tc>
          <w:tcPr>
            <w:tcW w:w="1205" w:type="dxa"/>
            <w:noWrap w:val="0"/>
            <w:vAlign w:val="top"/>
          </w:tcPr>
          <w:p w14:paraId="654F97A8">
            <w:pPr>
              <w:spacing w:line="360" w:lineRule="auto"/>
              <w:rPr>
                <w:rFonts w:hint="eastAsia" w:ascii="宋体" w:hAnsi="宋体" w:eastAsia="宋体" w:cs="宋体"/>
                <w:color w:val="auto"/>
                <w:sz w:val="24"/>
                <w:szCs w:val="24"/>
              </w:rPr>
            </w:pPr>
          </w:p>
        </w:tc>
        <w:tc>
          <w:tcPr>
            <w:tcW w:w="716" w:type="dxa"/>
            <w:noWrap w:val="0"/>
            <w:vAlign w:val="top"/>
          </w:tcPr>
          <w:p w14:paraId="05121C30">
            <w:pPr>
              <w:spacing w:line="360" w:lineRule="auto"/>
              <w:rPr>
                <w:rFonts w:hint="eastAsia" w:ascii="宋体" w:hAnsi="宋体" w:eastAsia="宋体" w:cs="宋体"/>
                <w:color w:val="auto"/>
                <w:sz w:val="24"/>
                <w:szCs w:val="24"/>
              </w:rPr>
            </w:pPr>
          </w:p>
        </w:tc>
        <w:tc>
          <w:tcPr>
            <w:tcW w:w="716" w:type="dxa"/>
            <w:noWrap w:val="0"/>
            <w:vAlign w:val="top"/>
          </w:tcPr>
          <w:p w14:paraId="12B88669">
            <w:pPr>
              <w:spacing w:line="360" w:lineRule="auto"/>
              <w:rPr>
                <w:rFonts w:hint="eastAsia" w:ascii="宋体" w:hAnsi="宋体" w:eastAsia="宋体" w:cs="宋体"/>
                <w:color w:val="auto"/>
                <w:sz w:val="24"/>
                <w:szCs w:val="24"/>
              </w:rPr>
            </w:pPr>
          </w:p>
        </w:tc>
        <w:tc>
          <w:tcPr>
            <w:tcW w:w="716" w:type="dxa"/>
            <w:noWrap w:val="0"/>
            <w:vAlign w:val="top"/>
          </w:tcPr>
          <w:p w14:paraId="36F3E005">
            <w:pPr>
              <w:spacing w:line="360" w:lineRule="auto"/>
              <w:rPr>
                <w:rFonts w:hint="eastAsia" w:ascii="宋体" w:hAnsi="宋体" w:eastAsia="宋体" w:cs="宋体"/>
                <w:color w:val="auto"/>
                <w:sz w:val="24"/>
                <w:szCs w:val="24"/>
              </w:rPr>
            </w:pPr>
          </w:p>
        </w:tc>
        <w:tc>
          <w:tcPr>
            <w:tcW w:w="1050" w:type="dxa"/>
            <w:noWrap w:val="0"/>
            <w:vAlign w:val="top"/>
          </w:tcPr>
          <w:p w14:paraId="7161B39A">
            <w:pPr>
              <w:spacing w:line="360" w:lineRule="auto"/>
              <w:rPr>
                <w:rFonts w:hint="eastAsia" w:ascii="宋体" w:hAnsi="宋体" w:eastAsia="宋体" w:cs="宋体"/>
                <w:color w:val="auto"/>
                <w:sz w:val="24"/>
                <w:szCs w:val="24"/>
              </w:rPr>
            </w:pPr>
          </w:p>
        </w:tc>
        <w:tc>
          <w:tcPr>
            <w:tcW w:w="809" w:type="dxa"/>
            <w:noWrap w:val="0"/>
            <w:vAlign w:val="top"/>
          </w:tcPr>
          <w:p w14:paraId="0EC8E951">
            <w:pPr>
              <w:spacing w:line="360" w:lineRule="auto"/>
              <w:rPr>
                <w:rFonts w:hint="eastAsia" w:ascii="宋体" w:hAnsi="宋体" w:eastAsia="宋体" w:cs="宋体"/>
                <w:color w:val="auto"/>
                <w:sz w:val="24"/>
                <w:szCs w:val="24"/>
              </w:rPr>
            </w:pPr>
          </w:p>
        </w:tc>
        <w:tc>
          <w:tcPr>
            <w:tcW w:w="1412" w:type="dxa"/>
            <w:noWrap w:val="0"/>
            <w:vAlign w:val="top"/>
          </w:tcPr>
          <w:p w14:paraId="55E4344C">
            <w:pPr>
              <w:spacing w:line="360" w:lineRule="auto"/>
              <w:rPr>
                <w:rFonts w:hint="eastAsia" w:ascii="宋体" w:hAnsi="宋体" w:eastAsia="宋体" w:cs="宋体"/>
                <w:color w:val="auto"/>
                <w:sz w:val="24"/>
                <w:szCs w:val="24"/>
              </w:rPr>
            </w:pPr>
          </w:p>
        </w:tc>
        <w:tc>
          <w:tcPr>
            <w:tcW w:w="929" w:type="dxa"/>
            <w:noWrap w:val="0"/>
            <w:vAlign w:val="top"/>
          </w:tcPr>
          <w:p w14:paraId="559B2E5F">
            <w:pPr>
              <w:spacing w:line="360" w:lineRule="auto"/>
              <w:rPr>
                <w:rFonts w:hint="eastAsia" w:ascii="宋体" w:hAnsi="宋体" w:eastAsia="宋体" w:cs="宋体"/>
                <w:color w:val="auto"/>
                <w:sz w:val="24"/>
                <w:szCs w:val="24"/>
              </w:rPr>
            </w:pPr>
          </w:p>
        </w:tc>
      </w:tr>
      <w:tr w14:paraId="2C2D63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3515FE73">
            <w:pPr>
              <w:spacing w:line="360" w:lineRule="auto"/>
              <w:rPr>
                <w:rFonts w:hint="eastAsia" w:ascii="宋体" w:hAnsi="宋体" w:eastAsia="宋体" w:cs="宋体"/>
                <w:color w:val="auto"/>
                <w:sz w:val="24"/>
                <w:szCs w:val="24"/>
              </w:rPr>
            </w:pPr>
          </w:p>
        </w:tc>
        <w:tc>
          <w:tcPr>
            <w:tcW w:w="1371" w:type="dxa"/>
            <w:noWrap w:val="0"/>
            <w:vAlign w:val="top"/>
          </w:tcPr>
          <w:p w14:paraId="68953478">
            <w:pPr>
              <w:spacing w:line="360" w:lineRule="auto"/>
              <w:rPr>
                <w:rFonts w:hint="eastAsia" w:ascii="宋体" w:hAnsi="宋体" w:eastAsia="宋体" w:cs="宋体"/>
                <w:color w:val="auto"/>
                <w:sz w:val="24"/>
                <w:szCs w:val="24"/>
              </w:rPr>
            </w:pPr>
          </w:p>
        </w:tc>
        <w:tc>
          <w:tcPr>
            <w:tcW w:w="1205" w:type="dxa"/>
            <w:noWrap w:val="0"/>
            <w:vAlign w:val="top"/>
          </w:tcPr>
          <w:p w14:paraId="378366F9">
            <w:pPr>
              <w:spacing w:line="360" w:lineRule="auto"/>
              <w:rPr>
                <w:rFonts w:hint="eastAsia" w:ascii="宋体" w:hAnsi="宋体" w:eastAsia="宋体" w:cs="宋体"/>
                <w:color w:val="auto"/>
                <w:sz w:val="24"/>
                <w:szCs w:val="24"/>
              </w:rPr>
            </w:pPr>
          </w:p>
        </w:tc>
        <w:tc>
          <w:tcPr>
            <w:tcW w:w="716" w:type="dxa"/>
            <w:noWrap w:val="0"/>
            <w:vAlign w:val="top"/>
          </w:tcPr>
          <w:p w14:paraId="48083178">
            <w:pPr>
              <w:spacing w:line="360" w:lineRule="auto"/>
              <w:rPr>
                <w:rFonts w:hint="eastAsia" w:ascii="宋体" w:hAnsi="宋体" w:eastAsia="宋体" w:cs="宋体"/>
                <w:color w:val="auto"/>
                <w:sz w:val="24"/>
                <w:szCs w:val="24"/>
              </w:rPr>
            </w:pPr>
          </w:p>
        </w:tc>
        <w:tc>
          <w:tcPr>
            <w:tcW w:w="716" w:type="dxa"/>
            <w:noWrap w:val="0"/>
            <w:vAlign w:val="top"/>
          </w:tcPr>
          <w:p w14:paraId="725BBAC3">
            <w:pPr>
              <w:spacing w:line="360" w:lineRule="auto"/>
              <w:rPr>
                <w:rFonts w:hint="eastAsia" w:ascii="宋体" w:hAnsi="宋体" w:eastAsia="宋体" w:cs="宋体"/>
                <w:color w:val="auto"/>
                <w:sz w:val="24"/>
                <w:szCs w:val="24"/>
              </w:rPr>
            </w:pPr>
          </w:p>
        </w:tc>
        <w:tc>
          <w:tcPr>
            <w:tcW w:w="716" w:type="dxa"/>
            <w:noWrap w:val="0"/>
            <w:vAlign w:val="top"/>
          </w:tcPr>
          <w:p w14:paraId="3B8F6025">
            <w:pPr>
              <w:spacing w:line="360" w:lineRule="auto"/>
              <w:rPr>
                <w:rFonts w:hint="eastAsia" w:ascii="宋体" w:hAnsi="宋体" w:eastAsia="宋体" w:cs="宋体"/>
                <w:color w:val="auto"/>
                <w:sz w:val="24"/>
                <w:szCs w:val="24"/>
              </w:rPr>
            </w:pPr>
          </w:p>
        </w:tc>
        <w:tc>
          <w:tcPr>
            <w:tcW w:w="1050" w:type="dxa"/>
            <w:noWrap w:val="0"/>
            <w:vAlign w:val="top"/>
          </w:tcPr>
          <w:p w14:paraId="31E8A463">
            <w:pPr>
              <w:spacing w:line="360" w:lineRule="auto"/>
              <w:rPr>
                <w:rFonts w:hint="eastAsia" w:ascii="宋体" w:hAnsi="宋体" w:eastAsia="宋体" w:cs="宋体"/>
                <w:color w:val="auto"/>
                <w:sz w:val="24"/>
                <w:szCs w:val="24"/>
              </w:rPr>
            </w:pPr>
          </w:p>
        </w:tc>
        <w:tc>
          <w:tcPr>
            <w:tcW w:w="809" w:type="dxa"/>
            <w:noWrap w:val="0"/>
            <w:vAlign w:val="top"/>
          </w:tcPr>
          <w:p w14:paraId="6920E271">
            <w:pPr>
              <w:spacing w:line="360" w:lineRule="auto"/>
              <w:rPr>
                <w:rFonts w:hint="eastAsia" w:ascii="宋体" w:hAnsi="宋体" w:eastAsia="宋体" w:cs="宋体"/>
                <w:color w:val="auto"/>
                <w:sz w:val="24"/>
                <w:szCs w:val="24"/>
              </w:rPr>
            </w:pPr>
          </w:p>
        </w:tc>
        <w:tc>
          <w:tcPr>
            <w:tcW w:w="1412" w:type="dxa"/>
            <w:noWrap w:val="0"/>
            <w:vAlign w:val="top"/>
          </w:tcPr>
          <w:p w14:paraId="6965DEBB">
            <w:pPr>
              <w:spacing w:line="360" w:lineRule="auto"/>
              <w:rPr>
                <w:rFonts w:hint="eastAsia" w:ascii="宋体" w:hAnsi="宋体" w:eastAsia="宋体" w:cs="宋体"/>
                <w:color w:val="auto"/>
                <w:sz w:val="24"/>
                <w:szCs w:val="24"/>
              </w:rPr>
            </w:pPr>
          </w:p>
        </w:tc>
        <w:tc>
          <w:tcPr>
            <w:tcW w:w="929" w:type="dxa"/>
            <w:noWrap w:val="0"/>
            <w:vAlign w:val="top"/>
          </w:tcPr>
          <w:p w14:paraId="02644272">
            <w:pPr>
              <w:spacing w:line="360" w:lineRule="auto"/>
              <w:rPr>
                <w:rFonts w:hint="eastAsia" w:ascii="宋体" w:hAnsi="宋体" w:eastAsia="宋体" w:cs="宋体"/>
                <w:color w:val="auto"/>
                <w:sz w:val="24"/>
                <w:szCs w:val="24"/>
              </w:rPr>
            </w:pPr>
          </w:p>
        </w:tc>
      </w:tr>
      <w:tr w14:paraId="65D9F7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5192D27F">
            <w:pPr>
              <w:spacing w:line="360" w:lineRule="auto"/>
              <w:rPr>
                <w:rFonts w:hint="eastAsia" w:ascii="宋体" w:hAnsi="宋体" w:eastAsia="宋体" w:cs="宋体"/>
                <w:color w:val="auto"/>
                <w:sz w:val="24"/>
                <w:szCs w:val="24"/>
              </w:rPr>
            </w:pPr>
          </w:p>
        </w:tc>
        <w:tc>
          <w:tcPr>
            <w:tcW w:w="1371" w:type="dxa"/>
            <w:noWrap w:val="0"/>
            <w:vAlign w:val="top"/>
          </w:tcPr>
          <w:p w14:paraId="2CDAE1BE">
            <w:pPr>
              <w:spacing w:line="360" w:lineRule="auto"/>
              <w:rPr>
                <w:rFonts w:hint="eastAsia" w:ascii="宋体" w:hAnsi="宋体" w:eastAsia="宋体" w:cs="宋体"/>
                <w:color w:val="auto"/>
                <w:sz w:val="24"/>
                <w:szCs w:val="24"/>
              </w:rPr>
            </w:pPr>
          </w:p>
        </w:tc>
        <w:tc>
          <w:tcPr>
            <w:tcW w:w="1205" w:type="dxa"/>
            <w:noWrap w:val="0"/>
            <w:vAlign w:val="top"/>
          </w:tcPr>
          <w:p w14:paraId="6D3986AE">
            <w:pPr>
              <w:spacing w:line="360" w:lineRule="auto"/>
              <w:rPr>
                <w:rFonts w:hint="eastAsia" w:ascii="宋体" w:hAnsi="宋体" w:eastAsia="宋体" w:cs="宋体"/>
                <w:color w:val="auto"/>
                <w:sz w:val="24"/>
                <w:szCs w:val="24"/>
              </w:rPr>
            </w:pPr>
          </w:p>
        </w:tc>
        <w:tc>
          <w:tcPr>
            <w:tcW w:w="716" w:type="dxa"/>
            <w:noWrap w:val="0"/>
            <w:vAlign w:val="top"/>
          </w:tcPr>
          <w:p w14:paraId="27F4FA0E">
            <w:pPr>
              <w:spacing w:line="360" w:lineRule="auto"/>
              <w:rPr>
                <w:rFonts w:hint="eastAsia" w:ascii="宋体" w:hAnsi="宋体" w:eastAsia="宋体" w:cs="宋体"/>
                <w:color w:val="auto"/>
                <w:sz w:val="24"/>
                <w:szCs w:val="24"/>
              </w:rPr>
            </w:pPr>
          </w:p>
        </w:tc>
        <w:tc>
          <w:tcPr>
            <w:tcW w:w="716" w:type="dxa"/>
            <w:noWrap w:val="0"/>
            <w:vAlign w:val="top"/>
          </w:tcPr>
          <w:p w14:paraId="13A63D1B">
            <w:pPr>
              <w:spacing w:line="360" w:lineRule="auto"/>
              <w:rPr>
                <w:rFonts w:hint="eastAsia" w:ascii="宋体" w:hAnsi="宋体" w:eastAsia="宋体" w:cs="宋体"/>
                <w:color w:val="auto"/>
                <w:sz w:val="24"/>
                <w:szCs w:val="24"/>
              </w:rPr>
            </w:pPr>
          </w:p>
        </w:tc>
        <w:tc>
          <w:tcPr>
            <w:tcW w:w="716" w:type="dxa"/>
            <w:noWrap w:val="0"/>
            <w:vAlign w:val="top"/>
          </w:tcPr>
          <w:p w14:paraId="0CBF1F71">
            <w:pPr>
              <w:spacing w:line="360" w:lineRule="auto"/>
              <w:rPr>
                <w:rFonts w:hint="eastAsia" w:ascii="宋体" w:hAnsi="宋体" w:eastAsia="宋体" w:cs="宋体"/>
                <w:color w:val="auto"/>
                <w:sz w:val="24"/>
                <w:szCs w:val="24"/>
              </w:rPr>
            </w:pPr>
          </w:p>
        </w:tc>
        <w:tc>
          <w:tcPr>
            <w:tcW w:w="1050" w:type="dxa"/>
            <w:noWrap w:val="0"/>
            <w:vAlign w:val="top"/>
          </w:tcPr>
          <w:p w14:paraId="54D07E07">
            <w:pPr>
              <w:spacing w:line="360" w:lineRule="auto"/>
              <w:rPr>
                <w:rFonts w:hint="eastAsia" w:ascii="宋体" w:hAnsi="宋体" w:eastAsia="宋体" w:cs="宋体"/>
                <w:color w:val="auto"/>
                <w:sz w:val="24"/>
                <w:szCs w:val="24"/>
              </w:rPr>
            </w:pPr>
          </w:p>
        </w:tc>
        <w:tc>
          <w:tcPr>
            <w:tcW w:w="809" w:type="dxa"/>
            <w:noWrap w:val="0"/>
            <w:vAlign w:val="top"/>
          </w:tcPr>
          <w:p w14:paraId="0F208382">
            <w:pPr>
              <w:spacing w:line="360" w:lineRule="auto"/>
              <w:rPr>
                <w:rFonts w:hint="eastAsia" w:ascii="宋体" w:hAnsi="宋体" w:eastAsia="宋体" w:cs="宋体"/>
                <w:color w:val="auto"/>
                <w:sz w:val="24"/>
                <w:szCs w:val="24"/>
              </w:rPr>
            </w:pPr>
          </w:p>
        </w:tc>
        <w:tc>
          <w:tcPr>
            <w:tcW w:w="1412" w:type="dxa"/>
            <w:noWrap w:val="0"/>
            <w:vAlign w:val="top"/>
          </w:tcPr>
          <w:p w14:paraId="02D08E08">
            <w:pPr>
              <w:spacing w:line="360" w:lineRule="auto"/>
              <w:rPr>
                <w:rFonts w:hint="eastAsia" w:ascii="宋体" w:hAnsi="宋体" w:eastAsia="宋体" w:cs="宋体"/>
                <w:color w:val="auto"/>
                <w:sz w:val="24"/>
                <w:szCs w:val="24"/>
              </w:rPr>
            </w:pPr>
          </w:p>
        </w:tc>
        <w:tc>
          <w:tcPr>
            <w:tcW w:w="929" w:type="dxa"/>
            <w:noWrap w:val="0"/>
            <w:vAlign w:val="top"/>
          </w:tcPr>
          <w:p w14:paraId="1BE8F3AA">
            <w:pPr>
              <w:spacing w:line="360" w:lineRule="auto"/>
              <w:rPr>
                <w:rFonts w:hint="eastAsia" w:ascii="宋体" w:hAnsi="宋体" w:eastAsia="宋体" w:cs="宋体"/>
                <w:color w:val="auto"/>
                <w:sz w:val="24"/>
                <w:szCs w:val="24"/>
              </w:rPr>
            </w:pPr>
          </w:p>
        </w:tc>
      </w:tr>
      <w:tr w14:paraId="72D4EB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06983729">
            <w:pPr>
              <w:spacing w:line="360" w:lineRule="auto"/>
              <w:rPr>
                <w:rFonts w:hint="eastAsia" w:ascii="宋体" w:hAnsi="宋体" w:eastAsia="宋体" w:cs="宋体"/>
                <w:color w:val="auto"/>
                <w:sz w:val="24"/>
                <w:szCs w:val="24"/>
              </w:rPr>
            </w:pPr>
          </w:p>
        </w:tc>
        <w:tc>
          <w:tcPr>
            <w:tcW w:w="1371" w:type="dxa"/>
            <w:noWrap w:val="0"/>
            <w:vAlign w:val="top"/>
          </w:tcPr>
          <w:p w14:paraId="461CA1DB">
            <w:pPr>
              <w:spacing w:line="360" w:lineRule="auto"/>
              <w:rPr>
                <w:rFonts w:hint="eastAsia" w:ascii="宋体" w:hAnsi="宋体" w:eastAsia="宋体" w:cs="宋体"/>
                <w:color w:val="auto"/>
                <w:sz w:val="24"/>
                <w:szCs w:val="24"/>
              </w:rPr>
            </w:pPr>
          </w:p>
        </w:tc>
        <w:tc>
          <w:tcPr>
            <w:tcW w:w="1205" w:type="dxa"/>
            <w:noWrap w:val="0"/>
            <w:vAlign w:val="top"/>
          </w:tcPr>
          <w:p w14:paraId="69743308">
            <w:pPr>
              <w:spacing w:line="360" w:lineRule="auto"/>
              <w:rPr>
                <w:rFonts w:hint="eastAsia" w:ascii="宋体" w:hAnsi="宋体" w:eastAsia="宋体" w:cs="宋体"/>
                <w:color w:val="auto"/>
                <w:sz w:val="24"/>
                <w:szCs w:val="24"/>
              </w:rPr>
            </w:pPr>
          </w:p>
        </w:tc>
        <w:tc>
          <w:tcPr>
            <w:tcW w:w="716" w:type="dxa"/>
            <w:noWrap w:val="0"/>
            <w:vAlign w:val="top"/>
          </w:tcPr>
          <w:p w14:paraId="0B9641E6">
            <w:pPr>
              <w:spacing w:line="360" w:lineRule="auto"/>
              <w:rPr>
                <w:rFonts w:hint="eastAsia" w:ascii="宋体" w:hAnsi="宋体" w:eastAsia="宋体" w:cs="宋体"/>
                <w:color w:val="auto"/>
                <w:sz w:val="24"/>
                <w:szCs w:val="24"/>
              </w:rPr>
            </w:pPr>
          </w:p>
        </w:tc>
        <w:tc>
          <w:tcPr>
            <w:tcW w:w="716" w:type="dxa"/>
            <w:noWrap w:val="0"/>
            <w:vAlign w:val="top"/>
          </w:tcPr>
          <w:p w14:paraId="4BE7F5A2">
            <w:pPr>
              <w:spacing w:line="360" w:lineRule="auto"/>
              <w:rPr>
                <w:rFonts w:hint="eastAsia" w:ascii="宋体" w:hAnsi="宋体" w:eastAsia="宋体" w:cs="宋体"/>
                <w:color w:val="auto"/>
                <w:sz w:val="24"/>
                <w:szCs w:val="24"/>
              </w:rPr>
            </w:pPr>
          </w:p>
        </w:tc>
        <w:tc>
          <w:tcPr>
            <w:tcW w:w="716" w:type="dxa"/>
            <w:noWrap w:val="0"/>
            <w:vAlign w:val="top"/>
          </w:tcPr>
          <w:p w14:paraId="3ACE20B3">
            <w:pPr>
              <w:spacing w:line="360" w:lineRule="auto"/>
              <w:rPr>
                <w:rFonts w:hint="eastAsia" w:ascii="宋体" w:hAnsi="宋体" w:eastAsia="宋体" w:cs="宋体"/>
                <w:color w:val="auto"/>
                <w:sz w:val="24"/>
                <w:szCs w:val="24"/>
              </w:rPr>
            </w:pPr>
          </w:p>
        </w:tc>
        <w:tc>
          <w:tcPr>
            <w:tcW w:w="1050" w:type="dxa"/>
            <w:noWrap w:val="0"/>
            <w:vAlign w:val="top"/>
          </w:tcPr>
          <w:p w14:paraId="51F62F5A">
            <w:pPr>
              <w:spacing w:line="360" w:lineRule="auto"/>
              <w:rPr>
                <w:rFonts w:hint="eastAsia" w:ascii="宋体" w:hAnsi="宋体" w:eastAsia="宋体" w:cs="宋体"/>
                <w:color w:val="auto"/>
                <w:sz w:val="24"/>
                <w:szCs w:val="24"/>
              </w:rPr>
            </w:pPr>
          </w:p>
        </w:tc>
        <w:tc>
          <w:tcPr>
            <w:tcW w:w="809" w:type="dxa"/>
            <w:noWrap w:val="0"/>
            <w:vAlign w:val="top"/>
          </w:tcPr>
          <w:p w14:paraId="46E903B0">
            <w:pPr>
              <w:spacing w:line="360" w:lineRule="auto"/>
              <w:rPr>
                <w:rFonts w:hint="eastAsia" w:ascii="宋体" w:hAnsi="宋体" w:eastAsia="宋体" w:cs="宋体"/>
                <w:color w:val="auto"/>
                <w:sz w:val="24"/>
                <w:szCs w:val="24"/>
              </w:rPr>
            </w:pPr>
          </w:p>
        </w:tc>
        <w:tc>
          <w:tcPr>
            <w:tcW w:w="1412" w:type="dxa"/>
            <w:noWrap w:val="0"/>
            <w:vAlign w:val="top"/>
          </w:tcPr>
          <w:p w14:paraId="4C7B004B">
            <w:pPr>
              <w:spacing w:line="360" w:lineRule="auto"/>
              <w:rPr>
                <w:rFonts w:hint="eastAsia" w:ascii="宋体" w:hAnsi="宋体" w:eastAsia="宋体" w:cs="宋体"/>
                <w:color w:val="auto"/>
                <w:sz w:val="24"/>
                <w:szCs w:val="24"/>
              </w:rPr>
            </w:pPr>
          </w:p>
        </w:tc>
        <w:tc>
          <w:tcPr>
            <w:tcW w:w="929" w:type="dxa"/>
            <w:noWrap w:val="0"/>
            <w:vAlign w:val="top"/>
          </w:tcPr>
          <w:p w14:paraId="589C0D37">
            <w:pPr>
              <w:spacing w:line="360" w:lineRule="auto"/>
              <w:rPr>
                <w:rFonts w:hint="eastAsia" w:ascii="宋体" w:hAnsi="宋体" w:eastAsia="宋体" w:cs="宋体"/>
                <w:color w:val="auto"/>
                <w:sz w:val="24"/>
                <w:szCs w:val="24"/>
              </w:rPr>
            </w:pPr>
          </w:p>
        </w:tc>
      </w:tr>
      <w:tr w14:paraId="607D4F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78673435">
            <w:pPr>
              <w:spacing w:line="360" w:lineRule="auto"/>
              <w:rPr>
                <w:rFonts w:hint="eastAsia" w:ascii="宋体" w:hAnsi="宋体" w:eastAsia="宋体" w:cs="宋体"/>
                <w:color w:val="auto"/>
                <w:sz w:val="24"/>
                <w:szCs w:val="24"/>
              </w:rPr>
            </w:pPr>
          </w:p>
        </w:tc>
        <w:tc>
          <w:tcPr>
            <w:tcW w:w="1371" w:type="dxa"/>
            <w:noWrap w:val="0"/>
            <w:vAlign w:val="top"/>
          </w:tcPr>
          <w:p w14:paraId="41DE1063">
            <w:pPr>
              <w:spacing w:line="360" w:lineRule="auto"/>
              <w:rPr>
                <w:rFonts w:hint="eastAsia" w:ascii="宋体" w:hAnsi="宋体" w:eastAsia="宋体" w:cs="宋体"/>
                <w:color w:val="auto"/>
                <w:sz w:val="24"/>
                <w:szCs w:val="24"/>
              </w:rPr>
            </w:pPr>
          </w:p>
        </w:tc>
        <w:tc>
          <w:tcPr>
            <w:tcW w:w="1205" w:type="dxa"/>
            <w:noWrap w:val="0"/>
            <w:vAlign w:val="top"/>
          </w:tcPr>
          <w:p w14:paraId="0D9F4E53">
            <w:pPr>
              <w:spacing w:line="360" w:lineRule="auto"/>
              <w:rPr>
                <w:rFonts w:hint="eastAsia" w:ascii="宋体" w:hAnsi="宋体" w:eastAsia="宋体" w:cs="宋体"/>
                <w:color w:val="auto"/>
                <w:sz w:val="24"/>
                <w:szCs w:val="24"/>
              </w:rPr>
            </w:pPr>
          </w:p>
        </w:tc>
        <w:tc>
          <w:tcPr>
            <w:tcW w:w="716" w:type="dxa"/>
            <w:noWrap w:val="0"/>
            <w:vAlign w:val="top"/>
          </w:tcPr>
          <w:p w14:paraId="0D5F04FA">
            <w:pPr>
              <w:spacing w:line="360" w:lineRule="auto"/>
              <w:rPr>
                <w:rFonts w:hint="eastAsia" w:ascii="宋体" w:hAnsi="宋体" w:eastAsia="宋体" w:cs="宋体"/>
                <w:color w:val="auto"/>
                <w:sz w:val="24"/>
                <w:szCs w:val="24"/>
              </w:rPr>
            </w:pPr>
          </w:p>
        </w:tc>
        <w:tc>
          <w:tcPr>
            <w:tcW w:w="716" w:type="dxa"/>
            <w:noWrap w:val="0"/>
            <w:vAlign w:val="top"/>
          </w:tcPr>
          <w:p w14:paraId="3255B6DC">
            <w:pPr>
              <w:spacing w:line="360" w:lineRule="auto"/>
              <w:rPr>
                <w:rFonts w:hint="eastAsia" w:ascii="宋体" w:hAnsi="宋体" w:eastAsia="宋体" w:cs="宋体"/>
                <w:color w:val="auto"/>
                <w:sz w:val="24"/>
                <w:szCs w:val="24"/>
              </w:rPr>
            </w:pPr>
          </w:p>
        </w:tc>
        <w:tc>
          <w:tcPr>
            <w:tcW w:w="716" w:type="dxa"/>
            <w:noWrap w:val="0"/>
            <w:vAlign w:val="top"/>
          </w:tcPr>
          <w:p w14:paraId="4D13CE1D">
            <w:pPr>
              <w:spacing w:line="360" w:lineRule="auto"/>
              <w:rPr>
                <w:rFonts w:hint="eastAsia" w:ascii="宋体" w:hAnsi="宋体" w:eastAsia="宋体" w:cs="宋体"/>
                <w:color w:val="auto"/>
                <w:sz w:val="24"/>
                <w:szCs w:val="24"/>
              </w:rPr>
            </w:pPr>
          </w:p>
        </w:tc>
        <w:tc>
          <w:tcPr>
            <w:tcW w:w="1050" w:type="dxa"/>
            <w:noWrap w:val="0"/>
            <w:vAlign w:val="top"/>
          </w:tcPr>
          <w:p w14:paraId="003DB0D1">
            <w:pPr>
              <w:spacing w:line="360" w:lineRule="auto"/>
              <w:rPr>
                <w:rFonts w:hint="eastAsia" w:ascii="宋体" w:hAnsi="宋体" w:eastAsia="宋体" w:cs="宋体"/>
                <w:color w:val="auto"/>
                <w:sz w:val="24"/>
                <w:szCs w:val="24"/>
              </w:rPr>
            </w:pPr>
          </w:p>
        </w:tc>
        <w:tc>
          <w:tcPr>
            <w:tcW w:w="809" w:type="dxa"/>
            <w:noWrap w:val="0"/>
            <w:vAlign w:val="top"/>
          </w:tcPr>
          <w:p w14:paraId="1626910D">
            <w:pPr>
              <w:spacing w:line="360" w:lineRule="auto"/>
              <w:rPr>
                <w:rFonts w:hint="eastAsia" w:ascii="宋体" w:hAnsi="宋体" w:eastAsia="宋体" w:cs="宋体"/>
                <w:color w:val="auto"/>
                <w:sz w:val="24"/>
                <w:szCs w:val="24"/>
              </w:rPr>
            </w:pPr>
          </w:p>
        </w:tc>
        <w:tc>
          <w:tcPr>
            <w:tcW w:w="1412" w:type="dxa"/>
            <w:noWrap w:val="0"/>
            <w:vAlign w:val="top"/>
          </w:tcPr>
          <w:p w14:paraId="33F6D133">
            <w:pPr>
              <w:spacing w:line="360" w:lineRule="auto"/>
              <w:rPr>
                <w:rFonts w:hint="eastAsia" w:ascii="宋体" w:hAnsi="宋体" w:eastAsia="宋体" w:cs="宋体"/>
                <w:color w:val="auto"/>
                <w:sz w:val="24"/>
                <w:szCs w:val="24"/>
              </w:rPr>
            </w:pPr>
          </w:p>
        </w:tc>
        <w:tc>
          <w:tcPr>
            <w:tcW w:w="929" w:type="dxa"/>
            <w:noWrap w:val="0"/>
            <w:vAlign w:val="top"/>
          </w:tcPr>
          <w:p w14:paraId="0A52F65E">
            <w:pPr>
              <w:spacing w:line="360" w:lineRule="auto"/>
              <w:rPr>
                <w:rFonts w:hint="eastAsia" w:ascii="宋体" w:hAnsi="宋体" w:eastAsia="宋体" w:cs="宋体"/>
                <w:color w:val="auto"/>
                <w:sz w:val="24"/>
                <w:szCs w:val="24"/>
              </w:rPr>
            </w:pPr>
          </w:p>
        </w:tc>
      </w:tr>
      <w:tr w14:paraId="7904FB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0A9B0A20">
            <w:pPr>
              <w:spacing w:line="360" w:lineRule="auto"/>
              <w:rPr>
                <w:rFonts w:hint="eastAsia" w:ascii="宋体" w:hAnsi="宋体" w:eastAsia="宋体" w:cs="宋体"/>
                <w:color w:val="auto"/>
                <w:sz w:val="24"/>
                <w:szCs w:val="24"/>
              </w:rPr>
            </w:pPr>
          </w:p>
        </w:tc>
        <w:tc>
          <w:tcPr>
            <w:tcW w:w="1371" w:type="dxa"/>
            <w:noWrap w:val="0"/>
            <w:vAlign w:val="top"/>
          </w:tcPr>
          <w:p w14:paraId="0E6FC523">
            <w:pPr>
              <w:spacing w:line="360" w:lineRule="auto"/>
              <w:rPr>
                <w:rFonts w:hint="eastAsia" w:ascii="宋体" w:hAnsi="宋体" w:eastAsia="宋体" w:cs="宋体"/>
                <w:color w:val="auto"/>
                <w:sz w:val="24"/>
                <w:szCs w:val="24"/>
              </w:rPr>
            </w:pPr>
          </w:p>
        </w:tc>
        <w:tc>
          <w:tcPr>
            <w:tcW w:w="1205" w:type="dxa"/>
            <w:noWrap w:val="0"/>
            <w:vAlign w:val="top"/>
          </w:tcPr>
          <w:p w14:paraId="313285CD">
            <w:pPr>
              <w:spacing w:line="360" w:lineRule="auto"/>
              <w:rPr>
                <w:rFonts w:hint="eastAsia" w:ascii="宋体" w:hAnsi="宋体" w:eastAsia="宋体" w:cs="宋体"/>
                <w:color w:val="auto"/>
                <w:sz w:val="24"/>
                <w:szCs w:val="24"/>
              </w:rPr>
            </w:pPr>
          </w:p>
        </w:tc>
        <w:tc>
          <w:tcPr>
            <w:tcW w:w="716" w:type="dxa"/>
            <w:noWrap w:val="0"/>
            <w:vAlign w:val="top"/>
          </w:tcPr>
          <w:p w14:paraId="254885B0">
            <w:pPr>
              <w:spacing w:line="360" w:lineRule="auto"/>
              <w:rPr>
                <w:rFonts w:hint="eastAsia" w:ascii="宋体" w:hAnsi="宋体" w:eastAsia="宋体" w:cs="宋体"/>
                <w:color w:val="auto"/>
                <w:sz w:val="24"/>
                <w:szCs w:val="24"/>
              </w:rPr>
            </w:pPr>
          </w:p>
        </w:tc>
        <w:tc>
          <w:tcPr>
            <w:tcW w:w="716" w:type="dxa"/>
            <w:noWrap w:val="0"/>
            <w:vAlign w:val="top"/>
          </w:tcPr>
          <w:p w14:paraId="4952A561">
            <w:pPr>
              <w:spacing w:line="360" w:lineRule="auto"/>
              <w:rPr>
                <w:rFonts w:hint="eastAsia" w:ascii="宋体" w:hAnsi="宋体" w:eastAsia="宋体" w:cs="宋体"/>
                <w:color w:val="auto"/>
                <w:sz w:val="24"/>
                <w:szCs w:val="24"/>
              </w:rPr>
            </w:pPr>
          </w:p>
        </w:tc>
        <w:tc>
          <w:tcPr>
            <w:tcW w:w="716" w:type="dxa"/>
            <w:noWrap w:val="0"/>
            <w:vAlign w:val="top"/>
          </w:tcPr>
          <w:p w14:paraId="4CA6762F">
            <w:pPr>
              <w:spacing w:line="360" w:lineRule="auto"/>
              <w:rPr>
                <w:rFonts w:hint="eastAsia" w:ascii="宋体" w:hAnsi="宋体" w:eastAsia="宋体" w:cs="宋体"/>
                <w:color w:val="auto"/>
                <w:sz w:val="24"/>
                <w:szCs w:val="24"/>
              </w:rPr>
            </w:pPr>
          </w:p>
        </w:tc>
        <w:tc>
          <w:tcPr>
            <w:tcW w:w="1050" w:type="dxa"/>
            <w:noWrap w:val="0"/>
            <w:vAlign w:val="top"/>
          </w:tcPr>
          <w:p w14:paraId="37012554">
            <w:pPr>
              <w:spacing w:line="360" w:lineRule="auto"/>
              <w:rPr>
                <w:rFonts w:hint="eastAsia" w:ascii="宋体" w:hAnsi="宋体" w:eastAsia="宋体" w:cs="宋体"/>
                <w:color w:val="auto"/>
                <w:sz w:val="24"/>
                <w:szCs w:val="24"/>
              </w:rPr>
            </w:pPr>
          </w:p>
        </w:tc>
        <w:tc>
          <w:tcPr>
            <w:tcW w:w="809" w:type="dxa"/>
            <w:noWrap w:val="0"/>
            <w:vAlign w:val="top"/>
          </w:tcPr>
          <w:p w14:paraId="0EBFB9FB">
            <w:pPr>
              <w:spacing w:line="360" w:lineRule="auto"/>
              <w:rPr>
                <w:rFonts w:hint="eastAsia" w:ascii="宋体" w:hAnsi="宋体" w:eastAsia="宋体" w:cs="宋体"/>
                <w:color w:val="auto"/>
                <w:sz w:val="24"/>
                <w:szCs w:val="24"/>
              </w:rPr>
            </w:pPr>
          </w:p>
        </w:tc>
        <w:tc>
          <w:tcPr>
            <w:tcW w:w="1412" w:type="dxa"/>
            <w:noWrap w:val="0"/>
            <w:vAlign w:val="top"/>
          </w:tcPr>
          <w:p w14:paraId="568E1EA7">
            <w:pPr>
              <w:spacing w:line="360" w:lineRule="auto"/>
              <w:rPr>
                <w:rFonts w:hint="eastAsia" w:ascii="宋体" w:hAnsi="宋体" w:eastAsia="宋体" w:cs="宋体"/>
                <w:color w:val="auto"/>
                <w:sz w:val="24"/>
                <w:szCs w:val="24"/>
              </w:rPr>
            </w:pPr>
          </w:p>
        </w:tc>
        <w:tc>
          <w:tcPr>
            <w:tcW w:w="929" w:type="dxa"/>
            <w:noWrap w:val="0"/>
            <w:vAlign w:val="top"/>
          </w:tcPr>
          <w:p w14:paraId="24A57B14">
            <w:pPr>
              <w:spacing w:line="360" w:lineRule="auto"/>
              <w:rPr>
                <w:rFonts w:hint="eastAsia" w:ascii="宋体" w:hAnsi="宋体" w:eastAsia="宋体" w:cs="宋体"/>
                <w:color w:val="auto"/>
                <w:sz w:val="24"/>
                <w:szCs w:val="24"/>
              </w:rPr>
            </w:pPr>
          </w:p>
        </w:tc>
      </w:tr>
      <w:tr w14:paraId="2DA420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7960E7CB">
            <w:pPr>
              <w:spacing w:line="360" w:lineRule="auto"/>
              <w:rPr>
                <w:rFonts w:hint="eastAsia" w:ascii="宋体" w:hAnsi="宋体" w:eastAsia="宋体" w:cs="宋体"/>
                <w:color w:val="auto"/>
                <w:sz w:val="24"/>
                <w:szCs w:val="24"/>
              </w:rPr>
            </w:pPr>
          </w:p>
        </w:tc>
        <w:tc>
          <w:tcPr>
            <w:tcW w:w="1371" w:type="dxa"/>
            <w:noWrap w:val="0"/>
            <w:vAlign w:val="top"/>
          </w:tcPr>
          <w:p w14:paraId="3EF03450">
            <w:pPr>
              <w:spacing w:line="360" w:lineRule="auto"/>
              <w:rPr>
                <w:rFonts w:hint="eastAsia" w:ascii="宋体" w:hAnsi="宋体" w:eastAsia="宋体" w:cs="宋体"/>
                <w:color w:val="auto"/>
                <w:sz w:val="24"/>
                <w:szCs w:val="24"/>
              </w:rPr>
            </w:pPr>
          </w:p>
        </w:tc>
        <w:tc>
          <w:tcPr>
            <w:tcW w:w="1205" w:type="dxa"/>
            <w:noWrap w:val="0"/>
            <w:vAlign w:val="top"/>
          </w:tcPr>
          <w:p w14:paraId="5DF4ADC6">
            <w:pPr>
              <w:spacing w:line="360" w:lineRule="auto"/>
              <w:rPr>
                <w:rFonts w:hint="eastAsia" w:ascii="宋体" w:hAnsi="宋体" w:eastAsia="宋体" w:cs="宋体"/>
                <w:color w:val="auto"/>
                <w:sz w:val="24"/>
                <w:szCs w:val="24"/>
              </w:rPr>
            </w:pPr>
          </w:p>
        </w:tc>
        <w:tc>
          <w:tcPr>
            <w:tcW w:w="716" w:type="dxa"/>
            <w:noWrap w:val="0"/>
            <w:vAlign w:val="top"/>
          </w:tcPr>
          <w:p w14:paraId="4A652E25">
            <w:pPr>
              <w:spacing w:line="360" w:lineRule="auto"/>
              <w:rPr>
                <w:rFonts w:hint="eastAsia" w:ascii="宋体" w:hAnsi="宋体" w:eastAsia="宋体" w:cs="宋体"/>
                <w:color w:val="auto"/>
                <w:sz w:val="24"/>
                <w:szCs w:val="24"/>
              </w:rPr>
            </w:pPr>
          </w:p>
        </w:tc>
        <w:tc>
          <w:tcPr>
            <w:tcW w:w="716" w:type="dxa"/>
            <w:noWrap w:val="0"/>
            <w:vAlign w:val="top"/>
          </w:tcPr>
          <w:p w14:paraId="103ED53E">
            <w:pPr>
              <w:spacing w:line="360" w:lineRule="auto"/>
              <w:rPr>
                <w:rFonts w:hint="eastAsia" w:ascii="宋体" w:hAnsi="宋体" w:eastAsia="宋体" w:cs="宋体"/>
                <w:color w:val="auto"/>
                <w:sz w:val="24"/>
                <w:szCs w:val="24"/>
              </w:rPr>
            </w:pPr>
          </w:p>
        </w:tc>
        <w:tc>
          <w:tcPr>
            <w:tcW w:w="716" w:type="dxa"/>
            <w:noWrap w:val="0"/>
            <w:vAlign w:val="top"/>
          </w:tcPr>
          <w:p w14:paraId="1996003C">
            <w:pPr>
              <w:spacing w:line="360" w:lineRule="auto"/>
              <w:rPr>
                <w:rFonts w:hint="eastAsia" w:ascii="宋体" w:hAnsi="宋体" w:eastAsia="宋体" w:cs="宋体"/>
                <w:color w:val="auto"/>
                <w:sz w:val="24"/>
                <w:szCs w:val="24"/>
              </w:rPr>
            </w:pPr>
          </w:p>
        </w:tc>
        <w:tc>
          <w:tcPr>
            <w:tcW w:w="1050" w:type="dxa"/>
            <w:noWrap w:val="0"/>
            <w:vAlign w:val="top"/>
          </w:tcPr>
          <w:p w14:paraId="3573AE10">
            <w:pPr>
              <w:spacing w:line="360" w:lineRule="auto"/>
              <w:rPr>
                <w:rFonts w:hint="eastAsia" w:ascii="宋体" w:hAnsi="宋体" w:eastAsia="宋体" w:cs="宋体"/>
                <w:color w:val="auto"/>
                <w:sz w:val="24"/>
                <w:szCs w:val="24"/>
              </w:rPr>
            </w:pPr>
          </w:p>
        </w:tc>
        <w:tc>
          <w:tcPr>
            <w:tcW w:w="809" w:type="dxa"/>
            <w:noWrap w:val="0"/>
            <w:vAlign w:val="top"/>
          </w:tcPr>
          <w:p w14:paraId="0F5D635C">
            <w:pPr>
              <w:spacing w:line="360" w:lineRule="auto"/>
              <w:rPr>
                <w:rFonts w:hint="eastAsia" w:ascii="宋体" w:hAnsi="宋体" w:eastAsia="宋体" w:cs="宋体"/>
                <w:color w:val="auto"/>
                <w:sz w:val="24"/>
                <w:szCs w:val="24"/>
              </w:rPr>
            </w:pPr>
          </w:p>
        </w:tc>
        <w:tc>
          <w:tcPr>
            <w:tcW w:w="1412" w:type="dxa"/>
            <w:noWrap w:val="0"/>
            <w:vAlign w:val="top"/>
          </w:tcPr>
          <w:p w14:paraId="4C1C5C0E">
            <w:pPr>
              <w:spacing w:line="360" w:lineRule="auto"/>
              <w:rPr>
                <w:rFonts w:hint="eastAsia" w:ascii="宋体" w:hAnsi="宋体" w:eastAsia="宋体" w:cs="宋体"/>
                <w:color w:val="auto"/>
                <w:sz w:val="24"/>
                <w:szCs w:val="24"/>
              </w:rPr>
            </w:pPr>
          </w:p>
        </w:tc>
        <w:tc>
          <w:tcPr>
            <w:tcW w:w="929" w:type="dxa"/>
            <w:noWrap w:val="0"/>
            <w:vAlign w:val="top"/>
          </w:tcPr>
          <w:p w14:paraId="79656021">
            <w:pPr>
              <w:spacing w:line="360" w:lineRule="auto"/>
              <w:rPr>
                <w:rFonts w:hint="eastAsia" w:ascii="宋体" w:hAnsi="宋体" w:eastAsia="宋体" w:cs="宋体"/>
                <w:color w:val="auto"/>
                <w:sz w:val="24"/>
                <w:szCs w:val="24"/>
              </w:rPr>
            </w:pPr>
          </w:p>
        </w:tc>
      </w:tr>
      <w:tr w14:paraId="03AE01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161FD3D2">
            <w:pPr>
              <w:spacing w:line="360" w:lineRule="auto"/>
              <w:rPr>
                <w:rFonts w:hint="eastAsia" w:ascii="宋体" w:hAnsi="宋体" w:eastAsia="宋体" w:cs="宋体"/>
                <w:color w:val="auto"/>
                <w:sz w:val="24"/>
                <w:szCs w:val="24"/>
              </w:rPr>
            </w:pPr>
          </w:p>
        </w:tc>
        <w:tc>
          <w:tcPr>
            <w:tcW w:w="1371" w:type="dxa"/>
            <w:noWrap w:val="0"/>
            <w:vAlign w:val="top"/>
          </w:tcPr>
          <w:p w14:paraId="63883545">
            <w:pPr>
              <w:spacing w:line="360" w:lineRule="auto"/>
              <w:rPr>
                <w:rFonts w:hint="eastAsia" w:ascii="宋体" w:hAnsi="宋体" w:eastAsia="宋体" w:cs="宋体"/>
                <w:color w:val="auto"/>
                <w:sz w:val="24"/>
                <w:szCs w:val="24"/>
              </w:rPr>
            </w:pPr>
          </w:p>
        </w:tc>
        <w:tc>
          <w:tcPr>
            <w:tcW w:w="1205" w:type="dxa"/>
            <w:noWrap w:val="0"/>
            <w:vAlign w:val="top"/>
          </w:tcPr>
          <w:p w14:paraId="4772A29F">
            <w:pPr>
              <w:spacing w:line="360" w:lineRule="auto"/>
              <w:rPr>
                <w:rFonts w:hint="eastAsia" w:ascii="宋体" w:hAnsi="宋体" w:eastAsia="宋体" w:cs="宋体"/>
                <w:color w:val="auto"/>
                <w:sz w:val="24"/>
                <w:szCs w:val="24"/>
              </w:rPr>
            </w:pPr>
          </w:p>
        </w:tc>
        <w:tc>
          <w:tcPr>
            <w:tcW w:w="716" w:type="dxa"/>
            <w:noWrap w:val="0"/>
            <w:vAlign w:val="top"/>
          </w:tcPr>
          <w:p w14:paraId="03C13B41">
            <w:pPr>
              <w:spacing w:line="360" w:lineRule="auto"/>
              <w:rPr>
                <w:rFonts w:hint="eastAsia" w:ascii="宋体" w:hAnsi="宋体" w:eastAsia="宋体" w:cs="宋体"/>
                <w:color w:val="auto"/>
                <w:sz w:val="24"/>
                <w:szCs w:val="24"/>
              </w:rPr>
            </w:pPr>
          </w:p>
        </w:tc>
        <w:tc>
          <w:tcPr>
            <w:tcW w:w="716" w:type="dxa"/>
            <w:noWrap w:val="0"/>
            <w:vAlign w:val="top"/>
          </w:tcPr>
          <w:p w14:paraId="3E782D43">
            <w:pPr>
              <w:spacing w:line="360" w:lineRule="auto"/>
              <w:rPr>
                <w:rFonts w:hint="eastAsia" w:ascii="宋体" w:hAnsi="宋体" w:eastAsia="宋体" w:cs="宋体"/>
                <w:color w:val="auto"/>
                <w:sz w:val="24"/>
                <w:szCs w:val="24"/>
              </w:rPr>
            </w:pPr>
          </w:p>
        </w:tc>
        <w:tc>
          <w:tcPr>
            <w:tcW w:w="716" w:type="dxa"/>
            <w:noWrap w:val="0"/>
            <w:vAlign w:val="top"/>
          </w:tcPr>
          <w:p w14:paraId="3D131AD7">
            <w:pPr>
              <w:spacing w:line="360" w:lineRule="auto"/>
              <w:rPr>
                <w:rFonts w:hint="eastAsia" w:ascii="宋体" w:hAnsi="宋体" w:eastAsia="宋体" w:cs="宋体"/>
                <w:color w:val="auto"/>
                <w:sz w:val="24"/>
                <w:szCs w:val="24"/>
              </w:rPr>
            </w:pPr>
          </w:p>
        </w:tc>
        <w:tc>
          <w:tcPr>
            <w:tcW w:w="1050" w:type="dxa"/>
            <w:noWrap w:val="0"/>
            <w:vAlign w:val="top"/>
          </w:tcPr>
          <w:p w14:paraId="6D26918C">
            <w:pPr>
              <w:spacing w:line="360" w:lineRule="auto"/>
              <w:rPr>
                <w:rFonts w:hint="eastAsia" w:ascii="宋体" w:hAnsi="宋体" w:eastAsia="宋体" w:cs="宋体"/>
                <w:color w:val="auto"/>
                <w:sz w:val="24"/>
                <w:szCs w:val="24"/>
              </w:rPr>
            </w:pPr>
          </w:p>
        </w:tc>
        <w:tc>
          <w:tcPr>
            <w:tcW w:w="809" w:type="dxa"/>
            <w:noWrap w:val="0"/>
            <w:vAlign w:val="top"/>
          </w:tcPr>
          <w:p w14:paraId="7A416D1F">
            <w:pPr>
              <w:spacing w:line="360" w:lineRule="auto"/>
              <w:rPr>
                <w:rFonts w:hint="eastAsia" w:ascii="宋体" w:hAnsi="宋体" w:eastAsia="宋体" w:cs="宋体"/>
                <w:color w:val="auto"/>
                <w:sz w:val="24"/>
                <w:szCs w:val="24"/>
              </w:rPr>
            </w:pPr>
          </w:p>
        </w:tc>
        <w:tc>
          <w:tcPr>
            <w:tcW w:w="1412" w:type="dxa"/>
            <w:noWrap w:val="0"/>
            <w:vAlign w:val="top"/>
          </w:tcPr>
          <w:p w14:paraId="5EFDDF52">
            <w:pPr>
              <w:spacing w:line="360" w:lineRule="auto"/>
              <w:rPr>
                <w:rFonts w:hint="eastAsia" w:ascii="宋体" w:hAnsi="宋体" w:eastAsia="宋体" w:cs="宋体"/>
                <w:color w:val="auto"/>
                <w:sz w:val="24"/>
                <w:szCs w:val="24"/>
              </w:rPr>
            </w:pPr>
          </w:p>
        </w:tc>
        <w:tc>
          <w:tcPr>
            <w:tcW w:w="929" w:type="dxa"/>
            <w:noWrap w:val="0"/>
            <w:vAlign w:val="top"/>
          </w:tcPr>
          <w:p w14:paraId="6F699288">
            <w:pPr>
              <w:spacing w:line="360" w:lineRule="auto"/>
              <w:rPr>
                <w:rFonts w:hint="eastAsia" w:ascii="宋体" w:hAnsi="宋体" w:eastAsia="宋体" w:cs="宋体"/>
                <w:color w:val="auto"/>
                <w:sz w:val="24"/>
                <w:szCs w:val="24"/>
              </w:rPr>
            </w:pPr>
          </w:p>
        </w:tc>
      </w:tr>
      <w:tr w14:paraId="2C5C90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7F3C3E4F">
            <w:pPr>
              <w:spacing w:line="360" w:lineRule="auto"/>
              <w:rPr>
                <w:rFonts w:hint="eastAsia" w:ascii="宋体" w:hAnsi="宋体" w:eastAsia="宋体" w:cs="宋体"/>
                <w:color w:val="auto"/>
                <w:sz w:val="24"/>
                <w:szCs w:val="24"/>
              </w:rPr>
            </w:pPr>
          </w:p>
        </w:tc>
        <w:tc>
          <w:tcPr>
            <w:tcW w:w="1371" w:type="dxa"/>
            <w:noWrap w:val="0"/>
            <w:vAlign w:val="top"/>
          </w:tcPr>
          <w:p w14:paraId="2930F07F">
            <w:pPr>
              <w:spacing w:line="360" w:lineRule="auto"/>
              <w:rPr>
                <w:rFonts w:hint="eastAsia" w:ascii="宋体" w:hAnsi="宋体" w:eastAsia="宋体" w:cs="宋体"/>
                <w:color w:val="auto"/>
                <w:sz w:val="24"/>
                <w:szCs w:val="24"/>
              </w:rPr>
            </w:pPr>
          </w:p>
        </w:tc>
        <w:tc>
          <w:tcPr>
            <w:tcW w:w="1205" w:type="dxa"/>
            <w:noWrap w:val="0"/>
            <w:vAlign w:val="top"/>
          </w:tcPr>
          <w:p w14:paraId="2D415AF8">
            <w:pPr>
              <w:spacing w:line="360" w:lineRule="auto"/>
              <w:rPr>
                <w:rFonts w:hint="eastAsia" w:ascii="宋体" w:hAnsi="宋体" w:eastAsia="宋体" w:cs="宋体"/>
                <w:color w:val="auto"/>
                <w:sz w:val="24"/>
                <w:szCs w:val="24"/>
              </w:rPr>
            </w:pPr>
          </w:p>
        </w:tc>
        <w:tc>
          <w:tcPr>
            <w:tcW w:w="716" w:type="dxa"/>
            <w:noWrap w:val="0"/>
            <w:vAlign w:val="top"/>
          </w:tcPr>
          <w:p w14:paraId="1E4CFFD4">
            <w:pPr>
              <w:spacing w:line="360" w:lineRule="auto"/>
              <w:rPr>
                <w:rFonts w:hint="eastAsia" w:ascii="宋体" w:hAnsi="宋体" w:eastAsia="宋体" w:cs="宋体"/>
                <w:color w:val="auto"/>
                <w:sz w:val="24"/>
                <w:szCs w:val="24"/>
              </w:rPr>
            </w:pPr>
          </w:p>
        </w:tc>
        <w:tc>
          <w:tcPr>
            <w:tcW w:w="716" w:type="dxa"/>
            <w:noWrap w:val="0"/>
            <w:vAlign w:val="top"/>
          </w:tcPr>
          <w:p w14:paraId="01B4EA8B">
            <w:pPr>
              <w:spacing w:line="360" w:lineRule="auto"/>
              <w:rPr>
                <w:rFonts w:hint="eastAsia" w:ascii="宋体" w:hAnsi="宋体" w:eastAsia="宋体" w:cs="宋体"/>
                <w:color w:val="auto"/>
                <w:sz w:val="24"/>
                <w:szCs w:val="24"/>
              </w:rPr>
            </w:pPr>
          </w:p>
        </w:tc>
        <w:tc>
          <w:tcPr>
            <w:tcW w:w="716" w:type="dxa"/>
            <w:noWrap w:val="0"/>
            <w:vAlign w:val="top"/>
          </w:tcPr>
          <w:p w14:paraId="3D7BC33B">
            <w:pPr>
              <w:spacing w:line="360" w:lineRule="auto"/>
              <w:rPr>
                <w:rFonts w:hint="eastAsia" w:ascii="宋体" w:hAnsi="宋体" w:eastAsia="宋体" w:cs="宋体"/>
                <w:color w:val="auto"/>
                <w:sz w:val="24"/>
                <w:szCs w:val="24"/>
              </w:rPr>
            </w:pPr>
          </w:p>
        </w:tc>
        <w:tc>
          <w:tcPr>
            <w:tcW w:w="1050" w:type="dxa"/>
            <w:noWrap w:val="0"/>
            <w:vAlign w:val="top"/>
          </w:tcPr>
          <w:p w14:paraId="03085E34">
            <w:pPr>
              <w:spacing w:line="360" w:lineRule="auto"/>
              <w:rPr>
                <w:rFonts w:hint="eastAsia" w:ascii="宋体" w:hAnsi="宋体" w:eastAsia="宋体" w:cs="宋体"/>
                <w:color w:val="auto"/>
                <w:sz w:val="24"/>
                <w:szCs w:val="24"/>
              </w:rPr>
            </w:pPr>
          </w:p>
        </w:tc>
        <w:tc>
          <w:tcPr>
            <w:tcW w:w="809" w:type="dxa"/>
            <w:noWrap w:val="0"/>
            <w:vAlign w:val="top"/>
          </w:tcPr>
          <w:p w14:paraId="7DB09366">
            <w:pPr>
              <w:spacing w:line="360" w:lineRule="auto"/>
              <w:rPr>
                <w:rFonts w:hint="eastAsia" w:ascii="宋体" w:hAnsi="宋体" w:eastAsia="宋体" w:cs="宋体"/>
                <w:color w:val="auto"/>
                <w:sz w:val="24"/>
                <w:szCs w:val="24"/>
              </w:rPr>
            </w:pPr>
          </w:p>
        </w:tc>
        <w:tc>
          <w:tcPr>
            <w:tcW w:w="1412" w:type="dxa"/>
            <w:noWrap w:val="0"/>
            <w:vAlign w:val="top"/>
          </w:tcPr>
          <w:p w14:paraId="4D9C1580">
            <w:pPr>
              <w:spacing w:line="360" w:lineRule="auto"/>
              <w:rPr>
                <w:rFonts w:hint="eastAsia" w:ascii="宋体" w:hAnsi="宋体" w:eastAsia="宋体" w:cs="宋体"/>
                <w:color w:val="auto"/>
                <w:sz w:val="24"/>
                <w:szCs w:val="24"/>
              </w:rPr>
            </w:pPr>
          </w:p>
        </w:tc>
        <w:tc>
          <w:tcPr>
            <w:tcW w:w="929" w:type="dxa"/>
            <w:noWrap w:val="0"/>
            <w:vAlign w:val="top"/>
          </w:tcPr>
          <w:p w14:paraId="01A155A5">
            <w:pPr>
              <w:spacing w:line="360" w:lineRule="auto"/>
              <w:rPr>
                <w:rFonts w:hint="eastAsia" w:ascii="宋体" w:hAnsi="宋体" w:eastAsia="宋体" w:cs="宋体"/>
                <w:color w:val="auto"/>
                <w:sz w:val="24"/>
                <w:szCs w:val="24"/>
              </w:rPr>
            </w:pPr>
          </w:p>
        </w:tc>
      </w:tr>
      <w:tr w14:paraId="18B529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679882ED">
            <w:pPr>
              <w:spacing w:line="360" w:lineRule="auto"/>
              <w:rPr>
                <w:rFonts w:hint="eastAsia" w:ascii="宋体" w:hAnsi="宋体" w:eastAsia="宋体" w:cs="宋体"/>
                <w:color w:val="auto"/>
                <w:sz w:val="24"/>
                <w:szCs w:val="24"/>
              </w:rPr>
            </w:pPr>
          </w:p>
        </w:tc>
        <w:tc>
          <w:tcPr>
            <w:tcW w:w="1371" w:type="dxa"/>
            <w:noWrap w:val="0"/>
            <w:vAlign w:val="top"/>
          </w:tcPr>
          <w:p w14:paraId="61D2BEAA">
            <w:pPr>
              <w:spacing w:line="360" w:lineRule="auto"/>
              <w:rPr>
                <w:rFonts w:hint="eastAsia" w:ascii="宋体" w:hAnsi="宋体" w:eastAsia="宋体" w:cs="宋体"/>
                <w:color w:val="auto"/>
                <w:sz w:val="24"/>
                <w:szCs w:val="24"/>
              </w:rPr>
            </w:pPr>
          </w:p>
        </w:tc>
        <w:tc>
          <w:tcPr>
            <w:tcW w:w="1205" w:type="dxa"/>
            <w:noWrap w:val="0"/>
            <w:vAlign w:val="top"/>
          </w:tcPr>
          <w:p w14:paraId="73F45FB1">
            <w:pPr>
              <w:spacing w:line="360" w:lineRule="auto"/>
              <w:rPr>
                <w:rFonts w:hint="eastAsia" w:ascii="宋体" w:hAnsi="宋体" w:eastAsia="宋体" w:cs="宋体"/>
                <w:color w:val="auto"/>
                <w:sz w:val="24"/>
                <w:szCs w:val="24"/>
              </w:rPr>
            </w:pPr>
          </w:p>
        </w:tc>
        <w:tc>
          <w:tcPr>
            <w:tcW w:w="716" w:type="dxa"/>
            <w:noWrap w:val="0"/>
            <w:vAlign w:val="top"/>
          </w:tcPr>
          <w:p w14:paraId="41643FF8">
            <w:pPr>
              <w:spacing w:line="360" w:lineRule="auto"/>
              <w:rPr>
                <w:rFonts w:hint="eastAsia" w:ascii="宋体" w:hAnsi="宋体" w:eastAsia="宋体" w:cs="宋体"/>
                <w:color w:val="auto"/>
                <w:sz w:val="24"/>
                <w:szCs w:val="24"/>
              </w:rPr>
            </w:pPr>
          </w:p>
        </w:tc>
        <w:tc>
          <w:tcPr>
            <w:tcW w:w="716" w:type="dxa"/>
            <w:noWrap w:val="0"/>
            <w:vAlign w:val="top"/>
          </w:tcPr>
          <w:p w14:paraId="3A9225FD">
            <w:pPr>
              <w:spacing w:line="360" w:lineRule="auto"/>
              <w:rPr>
                <w:rFonts w:hint="eastAsia" w:ascii="宋体" w:hAnsi="宋体" w:eastAsia="宋体" w:cs="宋体"/>
                <w:color w:val="auto"/>
                <w:sz w:val="24"/>
                <w:szCs w:val="24"/>
              </w:rPr>
            </w:pPr>
          </w:p>
        </w:tc>
        <w:tc>
          <w:tcPr>
            <w:tcW w:w="716" w:type="dxa"/>
            <w:noWrap w:val="0"/>
            <w:vAlign w:val="top"/>
          </w:tcPr>
          <w:p w14:paraId="4A58BC76">
            <w:pPr>
              <w:spacing w:line="360" w:lineRule="auto"/>
              <w:rPr>
                <w:rFonts w:hint="eastAsia" w:ascii="宋体" w:hAnsi="宋体" w:eastAsia="宋体" w:cs="宋体"/>
                <w:color w:val="auto"/>
                <w:sz w:val="24"/>
                <w:szCs w:val="24"/>
              </w:rPr>
            </w:pPr>
          </w:p>
        </w:tc>
        <w:tc>
          <w:tcPr>
            <w:tcW w:w="1050" w:type="dxa"/>
            <w:noWrap w:val="0"/>
            <w:vAlign w:val="top"/>
          </w:tcPr>
          <w:p w14:paraId="4E9F692A">
            <w:pPr>
              <w:spacing w:line="360" w:lineRule="auto"/>
              <w:rPr>
                <w:rFonts w:hint="eastAsia" w:ascii="宋体" w:hAnsi="宋体" w:eastAsia="宋体" w:cs="宋体"/>
                <w:color w:val="auto"/>
                <w:sz w:val="24"/>
                <w:szCs w:val="24"/>
              </w:rPr>
            </w:pPr>
          </w:p>
        </w:tc>
        <w:tc>
          <w:tcPr>
            <w:tcW w:w="809" w:type="dxa"/>
            <w:noWrap w:val="0"/>
            <w:vAlign w:val="top"/>
          </w:tcPr>
          <w:p w14:paraId="40AC253B">
            <w:pPr>
              <w:spacing w:line="360" w:lineRule="auto"/>
              <w:rPr>
                <w:rFonts w:hint="eastAsia" w:ascii="宋体" w:hAnsi="宋体" w:eastAsia="宋体" w:cs="宋体"/>
                <w:color w:val="auto"/>
                <w:sz w:val="24"/>
                <w:szCs w:val="24"/>
              </w:rPr>
            </w:pPr>
          </w:p>
        </w:tc>
        <w:tc>
          <w:tcPr>
            <w:tcW w:w="1412" w:type="dxa"/>
            <w:noWrap w:val="0"/>
            <w:vAlign w:val="top"/>
          </w:tcPr>
          <w:p w14:paraId="718FC570">
            <w:pPr>
              <w:spacing w:line="360" w:lineRule="auto"/>
              <w:rPr>
                <w:rFonts w:hint="eastAsia" w:ascii="宋体" w:hAnsi="宋体" w:eastAsia="宋体" w:cs="宋体"/>
                <w:color w:val="auto"/>
                <w:sz w:val="24"/>
                <w:szCs w:val="24"/>
              </w:rPr>
            </w:pPr>
          </w:p>
        </w:tc>
        <w:tc>
          <w:tcPr>
            <w:tcW w:w="929" w:type="dxa"/>
            <w:noWrap w:val="0"/>
            <w:vAlign w:val="top"/>
          </w:tcPr>
          <w:p w14:paraId="5D916C23">
            <w:pPr>
              <w:spacing w:line="360" w:lineRule="auto"/>
              <w:rPr>
                <w:rFonts w:hint="eastAsia" w:ascii="宋体" w:hAnsi="宋体" w:eastAsia="宋体" w:cs="宋体"/>
                <w:color w:val="auto"/>
                <w:sz w:val="24"/>
                <w:szCs w:val="24"/>
              </w:rPr>
            </w:pPr>
          </w:p>
        </w:tc>
      </w:tr>
      <w:tr w14:paraId="7B6A0C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33B09A2C">
            <w:pPr>
              <w:spacing w:line="360" w:lineRule="auto"/>
              <w:rPr>
                <w:rFonts w:hint="eastAsia" w:ascii="宋体" w:hAnsi="宋体" w:eastAsia="宋体" w:cs="宋体"/>
                <w:color w:val="auto"/>
                <w:sz w:val="24"/>
                <w:szCs w:val="24"/>
              </w:rPr>
            </w:pPr>
          </w:p>
        </w:tc>
        <w:tc>
          <w:tcPr>
            <w:tcW w:w="1371" w:type="dxa"/>
            <w:noWrap w:val="0"/>
            <w:vAlign w:val="top"/>
          </w:tcPr>
          <w:p w14:paraId="616256E0">
            <w:pPr>
              <w:spacing w:line="360" w:lineRule="auto"/>
              <w:rPr>
                <w:rFonts w:hint="eastAsia" w:ascii="宋体" w:hAnsi="宋体" w:eastAsia="宋体" w:cs="宋体"/>
                <w:color w:val="auto"/>
                <w:sz w:val="24"/>
                <w:szCs w:val="24"/>
              </w:rPr>
            </w:pPr>
          </w:p>
        </w:tc>
        <w:tc>
          <w:tcPr>
            <w:tcW w:w="1205" w:type="dxa"/>
            <w:noWrap w:val="0"/>
            <w:vAlign w:val="top"/>
          </w:tcPr>
          <w:p w14:paraId="5834286B">
            <w:pPr>
              <w:spacing w:line="360" w:lineRule="auto"/>
              <w:rPr>
                <w:rFonts w:hint="eastAsia" w:ascii="宋体" w:hAnsi="宋体" w:eastAsia="宋体" w:cs="宋体"/>
                <w:color w:val="auto"/>
                <w:sz w:val="24"/>
                <w:szCs w:val="24"/>
              </w:rPr>
            </w:pPr>
          </w:p>
        </w:tc>
        <w:tc>
          <w:tcPr>
            <w:tcW w:w="716" w:type="dxa"/>
            <w:noWrap w:val="0"/>
            <w:vAlign w:val="top"/>
          </w:tcPr>
          <w:p w14:paraId="305042A2">
            <w:pPr>
              <w:spacing w:line="360" w:lineRule="auto"/>
              <w:rPr>
                <w:rFonts w:hint="eastAsia" w:ascii="宋体" w:hAnsi="宋体" w:eastAsia="宋体" w:cs="宋体"/>
                <w:color w:val="auto"/>
                <w:sz w:val="24"/>
                <w:szCs w:val="24"/>
              </w:rPr>
            </w:pPr>
          </w:p>
        </w:tc>
        <w:tc>
          <w:tcPr>
            <w:tcW w:w="716" w:type="dxa"/>
            <w:noWrap w:val="0"/>
            <w:vAlign w:val="top"/>
          </w:tcPr>
          <w:p w14:paraId="2D454285">
            <w:pPr>
              <w:spacing w:line="360" w:lineRule="auto"/>
              <w:rPr>
                <w:rFonts w:hint="eastAsia" w:ascii="宋体" w:hAnsi="宋体" w:eastAsia="宋体" w:cs="宋体"/>
                <w:color w:val="auto"/>
                <w:sz w:val="24"/>
                <w:szCs w:val="24"/>
              </w:rPr>
            </w:pPr>
          </w:p>
        </w:tc>
        <w:tc>
          <w:tcPr>
            <w:tcW w:w="716" w:type="dxa"/>
            <w:noWrap w:val="0"/>
            <w:vAlign w:val="top"/>
          </w:tcPr>
          <w:p w14:paraId="532F169A">
            <w:pPr>
              <w:spacing w:line="360" w:lineRule="auto"/>
              <w:rPr>
                <w:rFonts w:hint="eastAsia" w:ascii="宋体" w:hAnsi="宋体" w:eastAsia="宋体" w:cs="宋体"/>
                <w:color w:val="auto"/>
                <w:sz w:val="24"/>
                <w:szCs w:val="24"/>
              </w:rPr>
            </w:pPr>
          </w:p>
        </w:tc>
        <w:tc>
          <w:tcPr>
            <w:tcW w:w="1050" w:type="dxa"/>
            <w:noWrap w:val="0"/>
            <w:vAlign w:val="top"/>
          </w:tcPr>
          <w:p w14:paraId="732BE30C">
            <w:pPr>
              <w:spacing w:line="360" w:lineRule="auto"/>
              <w:rPr>
                <w:rFonts w:hint="eastAsia" w:ascii="宋体" w:hAnsi="宋体" w:eastAsia="宋体" w:cs="宋体"/>
                <w:color w:val="auto"/>
                <w:sz w:val="24"/>
                <w:szCs w:val="24"/>
              </w:rPr>
            </w:pPr>
          </w:p>
        </w:tc>
        <w:tc>
          <w:tcPr>
            <w:tcW w:w="809" w:type="dxa"/>
            <w:noWrap w:val="0"/>
            <w:vAlign w:val="top"/>
          </w:tcPr>
          <w:p w14:paraId="59C70C95">
            <w:pPr>
              <w:spacing w:line="360" w:lineRule="auto"/>
              <w:rPr>
                <w:rFonts w:hint="eastAsia" w:ascii="宋体" w:hAnsi="宋体" w:eastAsia="宋体" w:cs="宋体"/>
                <w:color w:val="auto"/>
                <w:sz w:val="24"/>
                <w:szCs w:val="24"/>
              </w:rPr>
            </w:pPr>
          </w:p>
        </w:tc>
        <w:tc>
          <w:tcPr>
            <w:tcW w:w="1412" w:type="dxa"/>
            <w:noWrap w:val="0"/>
            <w:vAlign w:val="top"/>
          </w:tcPr>
          <w:p w14:paraId="0F862A59">
            <w:pPr>
              <w:spacing w:line="360" w:lineRule="auto"/>
              <w:rPr>
                <w:rFonts w:hint="eastAsia" w:ascii="宋体" w:hAnsi="宋体" w:eastAsia="宋体" w:cs="宋体"/>
                <w:color w:val="auto"/>
                <w:sz w:val="24"/>
                <w:szCs w:val="24"/>
              </w:rPr>
            </w:pPr>
          </w:p>
        </w:tc>
        <w:tc>
          <w:tcPr>
            <w:tcW w:w="929" w:type="dxa"/>
            <w:noWrap w:val="0"/>
            <w:vAlign w:val="top"/>
          </w:tcPr>
          <w:p w14:paraId="42E03F9A">
            <w:pPr>
              <w:spacing w:line="360" w:lineRule="auto"/>
              <w:rPr>
                <w:rFonts w:hint="eastAsia" w:ascii="宋体" w:hAnsi="宋体" w:eastAsia="宋体" w:cs="宋体"/>
                <w:color w:val="auto"/>
                <w:sz w:val="24"/>
                <w:szCs w:val="24"/>
              </w:rPr>
            </w:pPr>
          </w:p>
        </w:tc>
      </w:tr>
      <w:tr w14:paraId="0B0DA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62AE6A2B">
            <w:pPr>
              <w:spacing w:line="360" w:lineRule="auto"/>
              <w:rPr>
                <w:rFonts w:hint="eastAsia" w:ascii="宋体" w:hAnsi="宋体" w:eastAsia="宋体" w:cs="宋体"/>
                <w:color w:val="auto"/>
                <w:sz w:val="24"/>
                <w:szCs w:val="24"/>
              </w:rPr>
            </w:pPr>
          </w:p>
        </w:tc>
        <w:tc>
          <w:tcPr>
            <w:tcW w:w="1371" w:type="dxa"/>
            <w:noWrap w:val="0"/>
            <w:vAlign w:val="top"/>
          </w:tcPr>
          <w:p w14:paraId="7A7D00DB">
            <w:pPr>
              <w:spacing w:line="360" w:lineRule="auto"/>
              <w:rPr>
                <w:rFonts w:hint="eastAsia" w:ascii="宋体" w:hAnsi="宋体" w:eastAsia="宋体" w:cs="宋体"/>
                <w:color w:val="auto"/>
                <w:sz w:val="24"/>
                <w:szCs w:val="24"/>
              </w:rPr>
            </w:pPr>
          </w:p>
        </w:tc>
        <w:tc>
          <w:tcPr>
            <w:tcW w:w="1205" w:type="dxa"/>
            <w:noWrap w:val="0"/>
            <w:vAlign w:val="top"/>
          </w:tcPr>
          <w:p w14:paraId="2A164BC4">
            <w:pPr>
              <w:spacing w:line="360" w:lineRule="auto"/>
              <w:rPr>
                <w:rFonts w:hint="eastAsia" w:ascii="宋体" w:hAnsi="宋体" w:eastAsia="宋体" w:cs="宋体"/>
                <w:color w:val="auto"/>
                <w:sz w:val="24"/>
                <w:szCs w:val="24"/>
              </w:rPr>
            </w:pPr>
          </w:p>
        </w:tc>
        <w:tc>
          <w:tcPr>
            <w:tcW w:w="716" w:type="dxa"/>
            <w:noWrap w:val="0"/>
            <w:vAlign w:val="top"/>
          </w:tcPr>
          <w:p w14:paraId="350C59BF">
            <w:pPr>
              <w:spacing w:line="360" w:lineRule="auto"/>
              <w:rPr>
                <w:rFonts w:hint="eastAsia" w:ascii="宋体" w:hAnsi="宋体" w:eastAsia="宋体" w:cs="宋体"/>
                <w:color w:val="auto"/>
                <w:sz w:val="24"/>
                <w:szCs w:val="24"/>
              </w:rPr>
            </w:pPr>
          </w:p>
        </w:tc>
        <w:tc>
          <w:tcPr>
            <w:tcW w:w="716" w:type="dxa"/>
            <w:noWrap w:val="0"/>
            <w:vAlign w:val="top"/>
          </w:tcPr>
          <w:p w14:paraId="2319FE7D">
            <w:pPr>
              <w:spacing w:line="360" w:lineRule="auto"/>
              <w:rPr>
                <w:rFonts w:hint="eastAsia" w:ascii="宋体" w:hAnsi="宋体" w:eastAsia="宋体" w:cs="宋体"/>
                <w:color w:val="auto"/>
                <w:sz w:val="24"/>
                <w:szCs w:val="24"/>
              </w:rPr>
            </w:pPr>
          </w:p>
        </w:tc>
        <w:tc>
          <w:tcPr>
            <w:tcW w:w="716" w:type="dxa"/>
            <w:noWrap w:val="0"/>
            <w:vAlign w:val="top"/>
          </w:tcPr>
          <w:p w14:paraId="14E6BE0E">
            <w:pPr>
              <w:spacing w:line="360" w:lineRule="auto"/>
              <w:rPr>
                <w:rFonts w:hint="eastAsia" w:ascii="宋体" w:hAnsi="宋体" w:eastAsia="宋体" w:cs="宋体"/>
                <w:color w:val="auto"/>
                <w:sz w:val="24"/>
                <w:szCs w:val="24"/>
              </w:rPr>
            </w:pPr>
          </w:p>
        </w:tc>
        <w:tc>
          <w:tcPr>
            <w:tcW w:w="1050" w:type="dxa"/>
            <w:noWrap w:val="0"/>
            <w:vAlign w:val="top"/>
          </w:tcPr>
          <w:p w14:paraId="52F2E674">
            <w:pPr>
              <w:spacing w:line="360" w:lineRule="auto"/>
              <w:rPr>
                <w:rFonts w:hint="eastAsia" w:ascii="宋体" w:hAnsi="宋体" w:eastAsia="宋体" w:cs="宋体"/>
                <w:color w:val="auto"/>
                <w:sz w:val="24"/>
                <w:szCs w:val="24"/>
              </w:rPr>
            </w:pPr>
          </w:p>
        </w:tc>
        <w:tc>
          <w:tcPr>
            <w:tcW w:w="809" w:type="dxa"/>
            <w:noWrap w:val="0"/>
            <w:vAlign w:val="top"/>
          </w:tcPr>
          <w:p w14:paraId="7E4BA0EB">
            <w:pPr>
              <w:spacing w:line="360" w:lineRule="auto"/>
              <w:rPr>
                <w:rFonts w:hint="eastAsia" w:ascii="宋体" w:hAnsi="宋体" w:eastAsia="宋体" w:cs="宋体"/>
                <w:color w:val="auto"/>
                <w:sz w:val="24"/>
                <w:szCs w:val="24"/>
              </w:rPr>
            </w:pPr>
          </w:p>
        </w:tc>
        <w:tc>
          <w:tcPr>
            <w:tcW w:w="1412" w:type="dxa"/>
            <w:noWrap w:val="0"/>
            <w:vAlign w:val="top"/>
          </w:tcPr>
          <w:p w14:paraId="032D7516">
            <w:pPr>
              <w:spacing w:line="360" w:lineRule="auto"/>
              <w:rPr>
                <w:rFonts w:hint="eastAsia" w:ascii="宋体" w:hAnsi="宋体" w:eastAsia="宋体" w:cs="宋体"/>
                <w:color w:val="auto"/>
                <w:sz w:val="24"/>
                <w:szCs w:val="24"/>
              </w:rPr>
            </w:pPr>
          </w:p>
        </w:tc>
        <w:tc>
          <w:tcPr>
            <w:tcW w:w="929" w:type="dxa"/>
            <w:noWrap w:val="0"/>
            <w:vAlign w:val="top"/>
          </w:tcPr>
          <w:p w14:paraId="3F2F13EA">
            <w:pPr>
              <w:spacing w:line="360" w:lineRule="auto"/>
              <w:rPr>
                <w:rFonts w:hint="eastAsia" w:ascii="宋体" w:hAnsi="宋体" w:eastAsia="宋体" w:cs="宋体"/>
                <w:color w:val="auto"/>
                <w:sz w:val="24"/>
                <w:szCs w:val="24"/>
              </w:rPr>
            </w:pPr>
          </w:p>
        </w:tc>
      </w:tr>
      <w:tr w14:paraId="72A2FE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718693CC">
            <w:pPr>
              <w:spacing w:line="360" w:lineRule="auto"/>
              <w:rPr>
                <w:rFonts w:hint="eastAsia" w:ascii="宋体" w:hAnsi="宋体" w:eastAsia="宋体" w:cs="宋体"/>
                <w:color w:val="auto"/>
                <w:sz w:val="24"/>
                <w:szCs w:val="24"/>
              </w:rPr>
            </w:pPr>
          </w:p>
        </w:tc>
        <w:tc>
          <w:tcPr>
            <w:tcW w:w="1371" w:type="dxa"/>
            <w:noWrap w:val="0"/>
            <w:vAlign w:val="top"/>
          </w:tcPr>
          <w:p w14:paraId="6E30A9D3">
            <w:pPr>
              <w:spacing w:line="360" w:lineRule="auto"/>
              <w:rPr>
                <w:rFonts w:hint="eastAsia" w:ascii="宋体" w:hAnsi="宋体" w:eastAsia="宋体" w:cs="宋体"/>
                <w:color w:val="auto"/>
                <w:sz w:val="24"/>
                <w:szCs w:val="24"/>
              </w:rPr>
            </w:pPr>
          </w:p>
        </w:tc>
        <w:tc>
          <w:tcPr>
            <w:tcW w:w="1205" w:type="dxa"/>
            <w:noWrap w:val="0"/>
            <w:vAlign w:val="top"/>
          </w:tcPr>
          <w:p w14:paraId="463E6680">
            <w:pPr>
              <w:spacing w:line="360" w:lineRule="auto"/>
              <w:rPr>
                <w:rFonts w:hint="eastAsia" w:ascii="宋体" w:hAnsi="宋体" w:eastAsia="宋体" w:cs="宋体"/>
                <w:color w:val="auto"/>
                <w:sz w:val="24"/>
                <w:szCs w:val="24"/>
              </w:rPr>
            </w:pPr>
          </w:p>
        </w:tc>
        <w:tc>
          <w:tcPr>
            <w:tcW w:w="716" w:type="dxa"/>
            <w:noWrap w:val="0"/>
            <w:vAlign w:val="top"/>
          </w:tcPr>
          <w:p w14:paraId="0EAFB3D6">
            <w:pPr>
              <w:spacing w:line="360" w:lineRule="auto"/>
              <w:rPr>
                <w:rFonts w:hint="eastAsia" w:ascii="宋体" w:hAnsi="宋体" w:eastAsia="宋体" w:cs="宋体"/>
                <w:color w:val="auto"/>
                <w:sz w:val="24"/>
                <w:szCs w:val="24"/>
              </w:rPr>
            </w:pPr>
          </w:p>
        </w:tc>
        <w:tc>
          <w:tcPr>
            <w:tcW w:w="716" w:type="dxa"/>
            <w:noWrap w:val="0"/>
            <w:vAlign w:val="top"/>
          </w:tcPr>
          <w:p w14:paraId="428BBA8F">
            <w:pPr>
              <w:spacing w:line="360" w:lineRule="auto"/>
              <w:rPr>
                <w:rFonts w:hint="eastAsia" w:ascii="宋体" w:hAnsi="宋体" w:eastAsia="宋体" w:cs="宋体"/>
                <w:color w:val="auto"/>
                <w:sz w:val="24"/>
                <w:szCs w:val="24"/>
              </w:rPr>
            </w:pPr>
          </w:p>
        </w:tc>
        <w:tc>
          <w:tcPr>
            <w:tcW w:w="716" w:type="dxa"/>
            <w:noWrap w:val="0"/>
            <w:vAlign w:val="top"/>
          </w:tcPr>
          <w:p w14:paraId="7E9D2FBD">
            <w:pPr>
              <w:spacing w:line="360" w:lineRule="auto"/>
              <w:rPr>
                <w:rFonts w:hint="eastAsia" w:ascii="宋体" w:hAnsi="宋体" w:eastAsia="宋体" w:cs="宋体"/>
                <w:color w:val="auto"/>
                <w:sz w:val="24"/>
                <w:szCs w:val="24"/>
              </w:rPr>
            </w:pPr>
          </w:p>
        </w:tc>
        <w:tc>
          <w:tcPr>
            <w:tcW w:w="1050" w:type="dxa"/>
            <w:noWrap w:val="0"/>
            <w:vAlign w:val="top"/>
          </w:tcPr>
          <w:p w14:paraId="153F88E1">
            <w:pPr>
              <w:spacing w:line="360" w:lineRule="auto"/>
              <w:rPr>
                <w:rFonts w:hint="eastAsia" w:ascii="宋体" w:hAnsi="宋体" w:eastAsia="宋体" w:cs="宋体"/>
                <w:color w:val="auto"/>
                <w:sz w:val="24"/>
                <w:szCs w:val="24"/>
              </w:rPr>
            </w:pPr>
          </w:p>
        </w:tc>
        <w:tc>
          <w:tcPr>
            <w:tcW w:w="809" w:type="dxa"/>
            <w:noWrap w:val="0"/>
            <w:vAlign w:val="top"/>
          </w:tcPr>
          <w:p w14:paraId="0BED41B7">
            <w:pPr>
              <w:spacing w:line="360" w:lineRule="auto"/>
              <w:rPr>
                <w:rFonts w:hint="eastAsia" w:ascii="宋体" w:hAnsi="宋体" w:eastAsia="宋体" w:cs="宋体"/>
                <w:color w:val="auto"/>
                <w:sz w:val="24"/>
                <w:szCs w:val="24"/>
              </w:rPr>
            </w:pPr>
          </w:p>
        </w:tc>
        <w:tc>
          <w:tcPr>
            <w:tcW w:w="1412" w:type="dxa"/>
            <w:noWrap w:val="0"/>
            <w:vAlign w:val="top"/>
          </w:tcPr>
          <w:p w14:paraId="5B292371">
            <w:pPr>
              <w:spacing w:line="360" w:lineRule="auto"/>
              <w:rPr>
                <w:rFonts w:hint="eastAsia" w:ascii="宋体" w:hAnsi="宋体" w:eastAsia="宋体" w:cs="宋体"/>
                <w:color w:val="auto"/>
                <w:sz w:val="24"/>
                <w:szCs w:val="24"/>
              </w:rPr>
            </w:pPr>
          </w:p>
        </w:tc>
        <w:tc>
          <w:tcPr>
            <w:tcW w:w="929" w:type="dxa"/>
            <w:noWrap w:val="0"/>
            <w:vAlign w:val="top"/>
          </w:tcPr>
          <w:p w14:paraId="098930EB">
            <w:pPr>
              <w:spacing w:line="360" w:lineRule="auto"/>
              <w:rPr>
                <w:rFonts w:hint="eastAsia" w:ascii="宋体" w:hAnsi="宋体" w:eastAsia="宋体" w:cs="宋体"/>
                <w:color w:val="auto"/>
                <w:sz w:val="24"/>
                <w:szCs w:val="24"/>
              </w:rPr>
            </w:pPr>
          </w:p>
        </w:tc>
      </w:tr>
      <w:tr w14:paraId="1BEA33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414FAEF2">
            <w:pPr>
              <w:spacing w:line="360" w:lineRule="auto"/>
              <w:rPr>
                <w:rFonts w:hint="eastAsia" w:ascii="宋体" w:hAnsi="宋体" w:eastAsia="宋体" w:cs="宋体"/>
                <w:color w:val="auto"/>
                <w:sz w:val="24"/>
                <w:szCs w:val="24"/>
              </w:rPr>
            </w:pPr>
          </w:p>
        </w:tc>
        <w:tc>
          <w:tcPr>
            <w:tcW w:w="1371" w:type="dxa"/>
            <w:noWrap w:val="0"/>
            <w:vAlign w:val="top"/>
          </w:tcPr>
          <w:p w14:paraId="733D0F0B">
            <w:pPr>
              <w:spacing w:line="360" w:lineRule="auto"/>
              <w:rPr>
                <w:rFonts w:hint="eastAsia" w:ascii="宋体" w:hAnsi="宋体" w:eastAsia="宋体" w:cs="宋体"/>
                <w:color w:val="auto"/>
                <w:sz w:val="24"/>
                <w:szCs w:val="24"/>
              </w:rPr>
            </w:pPr>
          </w:p>
        </w:tc>
        <w:tc>
          <w:tcPr>
            <w:tcW w:w="1205" w:type="dxa"/>
            <w:noWrap w:val="0"/>
            <w:vAlign w:val="top"/>
          </w:tcPr>
          <w:p w14:paraId="7F224D86">
            <w:pPr>
              <w:spacing w:line="360" w:lineRule="auto"/>
              <w:rPr>
                <w:rFonts w:hint="eastAsia" w:ascii="宋体" w:hAnsi="宋体" w:eastAsia="宋体" w:cs="宋体"/>
                <w:color w:val="auto"/>
                <w:sz w:val="24"/>
                <w:szCs w:val="24"/>
              </w:rPr>
            </w:pPr>
          </w:p>
        </w:tc>
        <w:tc>
          <w:tcPr>
            <w:tcW w:w="716" w:type="dxa"/>
            <w:noWrap w:val="0"/>
            <w:vAlign w:val="top"/>
          </w:tcPr>
          <w:p w14:paraId="2B00E6C0">
            <w:pPr>
              <w:spacing w:line="360" w:lineRule="auto"/>
              <w:rPr>
                <w:rFonts w:hint="eastAsia" w:ascii="宋体" w:hAnsi="宋体" w:eastAsia="宋体" w:cs="宋体"/>
                <w:color w:val="auto"/>
                <w:sz w:val="24"/>
                <w:szCs w:val="24"/>
              </w:rPr>
            </w:pPr>
          </w:p>
        </w:tc>
        <w:tc>
          <w:tcPr>
            <w:tcW w:w="716" w:type="dxa"/>
            <w:noWrap w:val="0"/>
            <w:vAlign w:val="top"/>
          </w:tcPr>
          <w:p w14:paraId="0495D42D">
            <w:pPr>
              <w:spacing w:line="360" w:lineRule="auto"/>
              <w:rPr>
                <w:rFonts w:hint="eastAsia" w:ascii="宋体" w:hAnsi="宋体" w:eastAsia="宋体" w:cs="宋体"/>
                <w:color w:val="auto"/>
                <w:sz w:val="24"/>
                <w:szCs w:val="24"/>
              </w:rPr>
            </w:pPr>
          </w:p>
        </w:tc>
        <w:tc>
          <w:tcPr>
            <w:tcW w:w="716" w:type="dxa"/>
            <w:noWrap w:val="0"/>
            <w:vAlign w:val="top"/>
          </w:tcPr>
          <w:p w14:paraId="08027059">
            <w:pPr>
              <w:spacing w:line="360" w:lineRule="auto"/>
              <w:rPr>
                <w:rFonts w:hint="eastAsia" w:ascii="宋体" w:hAnsi="宋体" w:eastAsia="宋体" w:cs="宋体"/>
                <w:color w:val="auto"/>
                <w:sz w:val="24"/>
                <w:szCs w:val="24"/>
              </w:rPr>
            </w:pPr>
          </w:p>
        </w:tc>
        <w:tc>
          <w:tcPr>
            <w:tcW w:w="1050" w:type="dxa"/>
            <w:noWrap w:val="0"/>
            <w:vAlign w:val="top"/>
          </w:tcPr>
          <w:p w14:paraId="1CE02355">
            <w:pPr>
              <w:spacing w:line="360" w:lineRule="auto"/>
              <w:rPr>
                <w:rFonts w:hint="eastAsia" w:ascii="宋体" w:hAnsi="宋体" w:eastAsia="宋体" w:cs="宋体"/>
                <w:color w:val="auto"/>
                <w:sz w:val="24"/>
                <w:szCs w:val="24"/>
              </w:rPr>
            </w:pPr>
          </w:p>
        </w:tc>
        <w:tc>
          <w:tcPr>
            <w:tcW w:w="809" w:type="dxa"/>
            <w:noWrap w:val="0"/>
            <w:vAlign w:val="top"/>
          </w:tcPr>
          <w:p w14:paraId="2A3CFB4D">
            <w:pPr>
              <w:spacing w:line="360" w:lineRule="auto"/>
              <w:rPr>
                <w:rFonts w:hint="eastAsia" w:ascii="宋体" w:hAnsi="宋体" w:eastAsia="宋体" w:cs="宋体"/>
                <w:color w:val="auto"/>
                <w:sz w:val="24"/>
                <w:szCs w:val="24"/>
              </w:rPr>
            </w:pPr>
          </w:p>
        </w:tc>
        <w:tc>
          <w:tcPr>
            <w:tcW w:w="1412" w:type="dxa"/>
            <w:noWrap w:val="0"/>
            <w:vAlign w:val="top"/>
          </w:tcPr>
          <w:p w14:paraId="5CA52358">
            <w:pPr>
              <w:spacing w:line="360" w:lineRule="auto"/>
              <w:rPr>
                <w:rFonts w:hint="eastAsia" w:ascii="宋体" w:hAnsi="宋体" w:eastAsia="宋体" w:cs="宋体"/>
                <w:color w:val="auto"/>
                <w:sz w:val="24"/>
                <w:szCs w:val="24"/>
              </w:rPr>
            </w:pPr>
          </w:p>
        </w:tc>
        <w:tc>
          <w:tcPr>
            <w:tcW w:w="929" w:type="dxa"/>
            <w:noWrap w:val="0"/>
            <w:vAlign w:val="top"/>
          </w:tcPr>
          <w:p w14:paraId="22C2B0A3">
            <w:pPr>
              <w:spacing w:line="360" w:lineRule="auto"/>
              <w:rPr>
                <w:rFonts w:hint="eastAsia" w:ascii="宋体" w:hAnsi="宋体" w:eastAsia="宋体" w:cs="宋体"/>
                <w:color w:val="auto"/>
                <w:sz w:val="24"/>
                <w:szCs w:val="24"/>
              </w:rPr>
            </w:pPr>
          </w:p>
        </w:tc>
      </w:tr>
      <w:tr w14:paraId="617244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108F97E3">
            <w:pPr>
              <w:spacing w:line="360" w:lineRule="auto"/>
              <w:rPr>
                <w:rFonts w:hint="eastAsia" w:ascii="宋体" w:hAnsi="宋体" w:eastAsia="宋体" w:cs="宋体"/>
                <w:color w:val="auto"/>
                <w:sz w:val="24"/>
                <w:szCs w:val="24"/>
              </w:rPr>
            </w:pPr>
          </w:p>
        </w:tc>
        <w:tc>
          <w:tcPr>
            <w:tcW w:w="1371" w:type="dxa"/>
            <w:noWrap w:val="0"/>
            <w:vAlign w:val="top"/>
          </w:tcPr>
          <w:p w14:paraId="7168A1C2">
            <w:pPr>
              <w:spacing w:line="360" w:lineRule="auto"/>
              <w:rPr>
                <w:rFonts w:hint="eastAsia" w:ascii="宋体" w:hAnsi="宋体" w:eastAsia="宋体" w:cs="宋体"/>
                <w:color w:val="auto"/>
                <w:sz w:val="24"/>
                <w:szCs w:val="24"/>
              </w:rPr>
            </w:pPr>
          </w:p>
        </w:tc>
        <w:tc>
          <w:tcPr>
            <w:tcW w:w="1205" w:type="dxa"/>
            <w:noWrap w:val="0"/>
            <w:vAlign w:val="top"/>
          </w:tcPr>
          <w:p w14:paraId="796EB072">
            <w:pPr>
              <w:spacing w:line="360" w:lineRule="auto"/>
              <w:rPr>
                <w:rFonts w:hint="eastAsia" w:ascii="宋体" w:hAnsi="宋体" w:eastAsia="宋体" w:cs="宋体"/>
                <w:color w:val="auto"/>
                <w:sz w:val="24"/>
                <w:szCs w:val="24"/>
              </w:rPr>
            </w:pPr>
          </w:p>
        </w:tc>
        <w:tc>
          <w:tcPr>
            <w:tcW w:w="716" w:type="dxa"/>
            <w:noWrap w:val="0"/>
            <w:vAlign w:val="top"/>
          </w:tcPr>
          <w:p w14:paraId="6E15754F">
            <w:pPr>
              <w:spacing w:line="360" w:lineRule="auto"/>
              <w:rPr>
                <w:rFonts w:hint="eastAsia" w:ascii="宋体" w:hAnsi="宋体" w:eastAsia="宋体" w:cs="宋体"/>
                <w:color w:val="auto"/>
                <w:sz w:val="24"/>
                <w:szCs w:val="24"/>
              </w:rPr>
            </w:pPr>
          </w:p>
        </w:tc>
        <w:tc>
          <w:tcPr>
            <w:tcW w:w="716" w:type="dxa"/>
            <w:noWrap w:val="0"/>
            <w:vAlign w:val="top"/>
          </w:tcPr>
          <w:p w14:paraId="3758AA4A">
            <w:pPr>
              <w:spacing w:line="360" w:lineRule="auto"/>
              <w:rPr>
                <w:rFonts w:hint="eastAsia" w:ascii="宋体" w:hAnsi="宋体" w:eastAsia="宋体" w:cs="宋体"/>
                <w:color w:val="auto"/>
                <w:sz w:val="24"/>
                <w:szCs w:val="24"/>
              </w:rPr>
            </w:pPr>
          </w:p>
        </w:tc>
        <w:tc>
          <w:tcPr>
            <w:tcW w:w="716" w:type="dxa"/>
            <w:noWrap w:val="0"/>
            <w:vAlign w:val="top"/>
          </w:tcPr>
          <w:p w14:paraId="1B4EAAA0">
            <w:pPr>
              <w:spacing w:line="360" w:lineRule="auto"/>
              <w:rPr>
                <w:rFonts w:hint="eastAsia" w:ascii="宋体" w:hAnsi="宋体" w:eastAsia="宋体" w:cs="宋体"/>
                <w:color w:val="auto"/>
                <w:sz w:val="24"/>
                <w:szCs w:val="24"/>
              </w:rPr>
            </w:pPr>
          </w:p>
        </w:tc>
        <w:tc>
          <w:tcPr>
            <w:tcW w:w="1050" w:type="dxa"/>
            <w:noWrap w:val="0"/>
            <w:vAlign w:val="top"/>
          </w:tcPr>
          <w:p w14:paraId="05E84870">
            <w:pPr>
              <w:spacing w:line="360" w:lineRule="auto"/>
              <w:rPr>
                <w:rFonts w:hint="eastAsia" w:ascii="宋体" w:hAnsi="宋体" w:eastAsia="宋体" w:cs="宋体"/>
                <w:color w:val="auto"/>
                <w:sz w:val="24"/>
                <w:szCs w:val="24"/>
              </w:rPr>
            </w:pPr>
          </w:p>
        </w:tc>
        <w:tc>
          <w:tcPr>
            <w:tcW w:w="809" w:type="dxa"/>
            <w:noWrap w:val="0"/>
            <w:vAlign w:val="top"/>
          </w:tcPr>
          <w:p w14:paraId="32822552">
            <w:pPr>
              <w:spacing w:line="360" w:lineRule="auto"/>
              <w:rPr>
                <w:rFonts w:hint="eastAsia" w:ascii="宋体" w:hAnsi="宋体" w:eastAsia="宋体" w:cs="宋体"/>
                <w:color w:val="auto"/>
                <w:sz w:val="24"/>
                <w:szCs w:val="24"/>
              </w:rPr>
            </w:pPr>
          </w:p>
        </w:tc>
        <w:tc>
          <w:tcPr>
            <w:tcW w:w="1412" w:type="dxa"/>
            <w:noWrap w:val="0"/>
            <w:vAlign w:val="top"/>
          </w:tcPr>
          <w:p w14:paraId="53421958">
            <w:pPr>
              <w:spacing w:line="360" w:lineRule="auto"/>
              <w:rPr>
                <w:rFonts w:hint="eastAsia" w:ascii="宋体" w:hAnsi="宋体" w:eastAsia="宋体" w:cs="宋体"/>
                <w:color w:val="auto"/>
                <w:sz w:val="24"/>
                <w:szCs w:val="24"/>
              </w:rPr>
            </w:pPr>
          </w:p>
        </w:tc>
        <w:tc>
          <w:tcPr>
            <w:tcW w:w="929" w:type="dxa"/>
            <w:noWrap w:val="0"/>
            <w:vAlign w:val="top"/>
          </w:tcPr>
          <w:p w14:paraId="4A4D97C2">
            <w:pPr>
              <w:spacing w:line="360" w:lineRule="auto"/>
              <w:rPr>
                <w:rFonts w:hint="eastAsia" w:ascii="宋体" w:hAnsi="宋体" w:eastAsia="宋体" w:cs="宋体"/>
                <w:color w:val="auto"/>
                <w:sz w:val="24"/>
                <w:szCs w:val="24"/>
              </w:rPr>
            </w:pPr>
          </w:p>
        </w:tc>
      </w:tr>
      <w:tr w14:paraId="70DC14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noWrap w:val="0"/>
            <w:vAlign w:val="top"/>
          </w:tcPr>
          <w:p w14:paraId="77410DE8">
            <w:pPr>
              <w:spacing w:line="360" w:lineRule="auto"/>
              <w:rPr>
                <w:rFonts w:hint="eastAsia" w:ascii="宋体" w:hAnsi="宋体" w:eastAsia="宋体" w:cs="宋体"/>
                <w:color w:val="auto"/>
                <w:sz w:val="24"/>
                <w:szCs w:val="24"/>
              </w:rPr>
            </w:pPr>
          </w:p>
        </w:tc>
        <w:tc>
          <w:tcPr>
            <w:tcW w:w="1371" w:type="dxa"/>
            <w:noWrap w:val="0"/>
            <w:vAlign w:val="top"/>
          </w:tcPr>
          <w:p w14:paraId="27BAA09F">
            <w:pPr>
              <w:spacing w:line="360" w:lineRule="auto"/>
              <w:rPr>
                <w:rFonts w:hint="eastAsia" w:ascii="宋体" w:hAnsi="宋体" w:eastAsia="宋体" w:cs="宋体"/>
                <w:color w:val="auto"/>
                <w:sz w:val="24"/>
                <w:szCs w:val="24"/>
              </w:rPr>
            </w:pPr>
          </w:p>
        </w:tc>
        <w:tc>
          <w:tcPr>
            <w:tcW w:w="1205" w:type="dxa"/>
            <w:noWrap w:val="0"/>
            <w:vAlign w:val="top"/>
          </w:tcPr>
          <w:p w14:paraId="44F6572F">
            <w:pPr>
              <w:spacing w:line="360" w:lineRule="auto"/>
              <w:rPr>
                <w:rFonts w:hint="eastAsia" w:ascii="宋体" w:hAnsi="宋体" w:eastAsia="宋体" w:cs="宋体"/>
                <w:color w:val="auto"/>
                <w:sz w:val="24"/>
                <w:szCs w:val="24"/>
              </w:rPr>
            </w:pPr>
          </w:p>
        </w:tc>
        <w:tc>
          <w:tcPr>
            <w:tcW w:w="716" w:type="dxa"/>
            <w:noWrap w:val="0"/>
            <w:vAlign w:val="top"/>
          </w:tcPr>
          <w:p w14:paraId="1F6EFBC6">
            <w:pPr>
              <w:spacing w:line="360" w:lineRule="auto"/>
              <w:rPr>
                <w:rFonts w:hint="eastAsia" w:ascii="宋体" w:hAnsi="宋体" w:eastAsia="宋体" w:cs="宋体"/>
                <w:color w:val="auto"/>
                <w:sz w:val="24"/>
                <w:szCs w:val="24"/>
              </w:rPr>
            </w:pPr>
          </w:p>
        </w:tc>
        <w:tc>
          <w:tcPr>
            <w:tcW w:w="716" w:type="dxa"/>
            <w:noWrap w:val="0"/>
            <w:vAlign w:val="top"/>
          </w:tcPr>
          <w:p w14:paraId="0E378627">
            <w:pPr>
              <w:spacing w:line="360" w:lineRule="auto"/>
              <w:rPr>
                <w:rFonts w:hint="eastAsia" w:ascii="宋体" w:hAnsi="宋体" w:eastAsia="宋体" w:cs="宋体"/>
                <w:color w:val="auto"/>
                <w:sz w:val="24"/>
                <w:szCs w:val="24"/>
              </w:rPr>
            </w:pPr>
          </w:p>
        </w:tc>
        <w:tc>
          <w:tcPr>
            <w:tcW w:w="716" w:type="dxa"/>
            <w:noWrap w:val="0"/>
            <w:vAlign w:val="top"/>
          </w:tcPr>
          <w:p w14:paraId="23175258">
            <w:pPr>
              <w:spacing w:line="360" w:lineRule="auto"/>
              <w:rPr>
                <w:rFonts w:hint="eastAsia" w:ascii="宋体" w:hAnsi="宋体" w:eastAsia="宋体" w:cs="宋体"/>
                <w:color w:val="auto"/>
                <w:sz w:val="24"/>
                <w:szCs w:val="24"/>
              </w:rPr>
            </w:pPr>
          </w:p>
        </w:tc>
        <w:tc>
          <w:tcPr>
            <w:tcW w:w="1050" w:type="dxa"/>
            <w:noWrap w:val="0"/>
            <w:vAlign w:val="top"/>
          </w:tcPr>
          <w:p w14:paraId="1DBAAE7A">
            <w:pPr>
              <w:spacing w:line="360" w:lineRule="auto"/>
              <w:rPr>
                <w:rFonts w:hint="eastAsia" w:ascii="宋体" w:hAnsi="宋体" w:eastAsia="宋体" w:cs="宋体"/>
                <w:color w:val="auto"/>
                <w:sz w:val="24"/>
                <w:szCs w:val="24"/>
              </w:rPr>
            </w:pPr>
          </w:p>
        </w:tc>
        <w:tc>
          <w:tcPr>
            <w:tcW w:w="809" w:type="dxa"/>
            <w:noWrap w:val="0"/>
            <w:vAlign w:val="top"/>
          </w:tcPr>
          <w:p w14:paraId="27897FCD">
            <w:pPr>
              <w:spacing w:line="360" w:lineRule="auto"/>
              <w:rPr>
                <w:rFonts w:hint="eastAsia" w:ascii="宋体" w:hAnsi="宋体" w:eastAsia="宋体" w:cs="宋体"/>
                <w:color w:val="auto"/>
                <w:sz w:val="24"/>
                <w:szCs w:val="24"/>
              </w:rPr>
            </w:pPr>
          </w:p>
        </w:tc>
        <w:tc>
          <w:tcPr>
            <w:tcW w:w="1412" w:type="dxa"/>
            <w:noWrap w:val="0"/>
            <w:vAlign w:val="top"/>
          </w:tcPr>
          <w:p w14:paraId="10570F52">
            <w:pPr>
              <w:spacing w:line="360" w:lineRule="auto"/>
              <w:rPr>
                <w:rFonts w:hint="eastAsia" w:ascii="宋体" w:hAnsi="宋体" w:eastAsia="宋体" w:cs="宋体"/>
                <w:color w:val="auto"/>
                <w:sz w:val="24"/>
                <w:szCs w:val="24"/>
              </w:rPr>
            </w:pPr>
          </w:p>
        </w:tc>
        <w:tc>
          <w:tcPr>
            <w:tcW w:w="929" w:type="dxa"/>
            <w:noWrap w:val="0"/>
            <w:vAlign w:val="top"/>
          </w:tcPr>
          <w:p w14:paraId="7903A4E5">
            <w:pPr>
              <w:spacing w:line="360" w:lineRule="auto"/>
              <w:rPr>
                <w:rFonts w:hint="eastAsia" w:ascii="宋体" w:hAnsi="宋体" w:eastAsia="宋体" w:cs="宋体"/>
                <w:color w:val="auto"/>
                <w:sz w:val="24"/>
                <w:szCs w:val="24"/>
              </w:rPr>
            </w:pPr>
          </w:p>
        </w:tc>
      </w:tr>
      <w:tr w14:paraId="4D640A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497" w:type="dxa"/>
            <w:tcBorders>
              <w:bottom w:val="single" w:color="auto" w:sz="8" w:space="0"/>
            </w:tcBorders>
            <w:noWrap w:val="0"/>
            <w:vAlign w:val="top"/>
          </w:tcPr>
          <w:p w14:paraId="003ECB5D">
            <w:pPr>
              <w:spacing w:line="360" w:lineRule="auto"/>
              <w:rPr>
                <w:rFonts w:hint="eastAsia" w:ascii="宋体" w:hAnsi="宋体" w:eastAsia="宋体" w:cs="宋体"/>
                <w:color w:val="auto"/>
                <w:sz w:val="24"/>
                <w:szCs w:val="24"/>
              </w:rPr>
            </w:pPr>
          </w:p>
        </w:tc>
        <w:tc>
          <w:tcPr>
            <w:tcW w:w="1371" w:type="dxa"/>
            <w:tcBorders>
              <w:bottom w:val="single" w:color="auto" w:sz="8" w:space="0"/>
            </w:tcBorders>
            <w:noWrap w:val="0"/>
            <w:vAlign w:val="top"/>
          </w:tcPr>
          <w:p w14:paraId="182D115D">
            <w:pPr>
              <w:spacing w:line="360" w:lineRule="auto"/>
              <w:rPr>
                <w:rFonts w:hint="eastAsia" w:ascii="宋体" w:hAnsi="宋体" w:eastAsia="宋体" w:cs="宋体"/>
                <w:color w:val="auto"/>
                <w:sz w:val="24"/>
                <w:szCs w:val="24"/>
              </w:rPr>
            </w:pPr>
          </w:p>
        </w:tc>
        <w:tc>
          <w:tcPr>
            <w:tcW w:w="1205" w:type="dxa"/>
            <w:tcBorders>
              <w:bottom w:val="single" w:color="auto" w:sz="8" w:space="0"/>
            </w:tcBorders>
            <w:noWrap w:val="0"/>
            <w:vAlign w:val="top"/>
          </w:tcPr>
          <w:p w14:paraId="7D59BC50">
            <w:pPr>
              <w:spacing w:line="360" w:lineRule="auto"/>
              <w:rPr>
                <w:rFonts w:hint="eastAsia" w:ascii="宋体" w:hAnsi="宋体" w:eastAsia="宋体" w:cs="宋体"/>
                <w:color w:val="auto"/>
                <w:sz w:val="24"/>
                <w:szCs w:val="24"/>
              </w:rPr>
            </w:pPr>
          </w:p>
        </w:tc>
        <w:tc>
          <w:tcPr>
            <w:tcW w:w="716" w:type="dxa"/>
            <w:tcBorders>
              <w:bottom w:val="single" w:color="auto" w:sz="8" w:space="0"/>
            </w:tcBorders>
            <w:noWrap w:val="0"/>
            <w:vAlign w:val="top"/>
          </w:tcPr>
          <w:p w14:paraId="775F8A25">
            <w:pPr>
              <w:spacing w:line="360" w:lineRule="auto"/>
              <w:rPr>
                <w:rFonts w:hint="eastAsia" w:ascii="宋体" w:hAnsi="宋体" w:eastAsia="宋体" w:cs="宋体"/>
                <w:color w:val="auto"/>
                <w:sz w:val="24"/>
                <w:szCs w:val="24"/>
              </w:rPr>
            </w:pPr>
          </w:p>
        </w:tc>
        <w:tc>
          <w:tcPr>
            <w:tcW w:w="716" w:type="dxa"/>
            <w:tcBorders>
              <w:bottom w:val="single" w:color="auto" w:sz="8" w:space="0"/>
            </w:tcBorders>
            <w:noWrap w:val="0"/>
            <w:vAlign w:val="top"/>
          </w:tcPr>
          <w:p w14:paraId="4C2A1A3D">
            <w:pPr>
              <w:spacing w:line="360" w:lineRule="auto"/>
              <w:rPr>
                <w:rFonts w:hint="eastAsia" w:ascii="宋体" w:hAnsi="宋体" w:eastAsia="宋体" w:cs="宋体"/>
                <w:color w:val="auto"/>
                <w:sz w:val="24"/>
                <w:szCs w:val="24"/>
              </w:rPr>
            </w:pPr>
          </w:p>
        </w:tc>
        <w:tc>
          <w:tcPr>
            <w:tcW w:w="716" w:type="dxa"/>
            <w:tcBorders>
              <w:bottom w:val="single" w:color="auto" w:sz="8" w:space="0"/>
            </w:tcBorders>
            <w:noWrap w:val="0"/>
            <w:vAlign w:val="top"/>
          </w:tcPr>
          <w:p w14:paraId="7F54AE6C">
            <w:pPr>
              <w:spacing w:line="360" w:lineRule="auto"/>
              <w:rPr>
                <w:rFonts w:hint="eastAsia" w:ascii="宋体" w:hAnsi="宋体" w:eastAsia="宋体" w:cs="宋体"/>
                <w:color w:val="auto"/>
                <w:sz w:val="24"/>
                <w:szCs w:val="24"/>
              </w:rPr>
            </w:pPr>
          </w:p>
        </w:tc>
        <w:tc>
          <w:tcPr>
            <w:tcW w:w="1050" w:type="dxa"/>
            <w:tcBorders>
              <w:bottom w:val="single" w:color="auto" w:sz="8" w:space="0"/>
            </w:tcBorders>
            <w:noWrap w:val="0"/>
            <w:vAlign w:val="top"/>
          </w:tcPr>
          <w:p w14:paraId="12412638">
            <w:pPr>
              <w:spacing w:line="360" w:lineRule="auto"/>
              <w:rPr>
                <w:rFonts w:hint="eastAsia" w:ascii="宋体" w:hAnsi="宋体" w:eastAsia="宋体" w:cs="宋体"/>
                <w:color w:val="auto"/>
                <w:sz w:val="24"/>
                <w:szCs w:val="24"/>
              </w:rPr>
            </w:pPr>
          </w:p>
        </w:tc>
        <w:tc>
          <w:tcPr>
            <w:tcW w:w="809" w:type="dxa"/>
            <w:tcBorders>
              <w:bottom w:val="single" w:color="auto" w:sz="8" w:space="0"/>
            </w:tcBorders>
            <w:noWrap w:val="0"/>
            <w:vAlign w:val="top"/>
          </w:tcPr>
          <w:p w14:paraId="1ED98A01">
            <w:pPr>
              <w:spacing w:line="360" w:lineRule="auto"/>
              <w:rPr>
                <w:rFonts w:hint="eastAsia" w:ascii="宋体" w:hAnsi="宋体" w:eastAsia="宋体" w:cs="宋体"/>
                <w:color w:val="auto"/>
                <w:sz w:val="24"/>
                <w:szCs w:val="24"/>
              </w:rPr>
            </w:pPr>
          </w:p>
        </w:tc>
        <w:tc>
          <w:tcPr>
            <w:tcW w:w="1412" w:type="dxa"/>
            <w:tcBorders>
              <w:bottom w:val="single" w:color="auto" w:sz="8" w:space="0"/>
            </w:tcBorders>
            <w:noWrap w:val="0"/>
            <w:vAlign w:val="top"/>
          </w:tcPr>
          <w:p w14:paraId="04FBB4AD">
            <w:pPr>
              <w:spacing w:line="360" w:lineRule="auto"/>
              <w:rPr>
                <w:rFonts w:hint="eastAsia" w:ascii="宋体" w:hAnsi="宋体" w:eastAsia="宋体" w:cs="宋体"/>
                <w:color w:val="auto"/>
                <w:sz w:val="24"/>
                <w:szCs w:val="24"/>
              </w:rPr>
            </w:pPr>
          </w:p>
        </w:tc>
        <w:tc>
          <w:tcPr>
            <w:tcW w:w="929" w:type="dxa"/>
            <w:tcBorders>
              <w:bottom w:val="single" w:color="auto" w:sz="8" w:space="0"/>
            </w:tcBorders>
            <w:noWrap w:val="0"/>
            <w:vAlign w:val="top"/>
          </w:tcPr>
          <w:p w14:paraId="2E455C88">
            <w:pPr>
              <w:spacing w:line="360" w:lineRule="auto"/>
              <w:rPr>
                <w:rFonts w:hint="eastAsia" w:ascii="宋体" w:hAnsi="宋体" w:eastAsia="宋体" w:cs="宋体"/>
                <w:color w:val="auto"/>
                <w:sz w:val="24"/>
                <w:szCs w:val="24"/>
              </w:rPr>
            </w:pPr>
          </w:p>
        </w:tc>
      </w:tr>
    </w:tbl>
    <w:p w14:paraId="00D08511">
      <w:pPr>
        <w:keepNext/>
        <w:keepLines/>
        <w:spacing w:line="360" w:lineRule="auto"/>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br w:type="page"/>
      </w:r>
      <w:r>
        <w:rPr>
          <w:rFonts w:hint="eastAsia" w:ascii="宋体" w:hAnsi="宋体" w:eastAsia="宋体" w:cs="宋体"/>
          <w:b/>
          <w:bCs/>
          <w:color w:val="auto"/>
          <w:sz w:val="24"/>
          <w:szCs w:val="24"/>
        </w:rPr>
        <w:t>附件二：发包人提供的材料和工程设备一览表</w:t>
      </w:r>
    </w:p>
    <w:p w14:paraId="22A4F3F9">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发包人提供的材料和工程设备一览表</w:t>
      </w:r>
    </w:p>
    <w:p w14:paraId="54AA49BB">
      <w:pPr>
        <w:spacing w:line="360" w:lineRule="auto"/>
        <w:jc w:val="center"/>
        <w:rPr>
          <w:rFonts w:hint="eastAsia" w:ascii="宋体" w:hAnsi="宋体" w:eastAsia="宋体" w:cs="宋体"/>
          <w:b/>
          <w:bCs/>
          <w:color w:val="auto"/>
          <w:sz w:val="24"/>
          <w:szCs w:val="24"/>
        </w:rPr>
      </w:pPr>
    </w:p>
    <w:tbl>
      <w:tblPr>
        <w:tblStyle w:val="39"/>
        <w:tblW w:w="1020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485"/>
        <w:gridCol w:w="1303"/>
        <w:gridCol w:w="775"/>
        <w:gridCol w:w="775"/>
        <w:gridCol w:w="775"/>
        <w:gridCol w:w="1138"/>
        <w:gridCol w:w="1138"/>
        <w:gridCol w:w="1138"/>
        <w:gridCol w:w="1138"/>
      </w:tblGrid>
      <w:tr w14:paraId="7F45B2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538" w:type="dxa"/>
            <w:tcBorders>
              <w:top w:val="single" w:color="auto" w:sz="8" w:space="0"/>
            </w:tcBorders>
            <w:noWrap w:val="0"/>
            <w:vAlign w:val="center"/>
          </w:tcPr>
          <w:p w14:paraId="5B5ED1E4">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485" w:type="dxa"/>
            <w:tcBorders>
              <w:top w:val="single" w:color="auto" w:sz="8" w:space="0"/>
            </w:tcBorders>
            <w:noWrap w:val="0"/>
            <w:vAlign w:val="center"/>
          </w:tcPr>
          <w:p w14:paraId="53457E2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材料设备</w:t>
            </w:r>
          </w:p>
          <w:p w14:paraId="3748352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名称</w:t>
            </w:r>
          </w:p>
        </w:tc>
        <w:tc>
          <w:tcPr>
            <w:tcW w:w="1303" w:type="dxa"/>
            <w:tcBorders>
              <w:top w:val="single" w:color="auto" w:sz="8" w:space="0"/>
            </w:tcBorders>
            <w:noWrap w:val="0"/>
            <w:vAlign w:val="center"/>
          </w:tcPr>
          <w:p w14:paraId="6D6E2B3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规格</w:t>
            </w:r>
          </w:p>
          <w:p w14:paraId="5B79C73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型号</w:t>
            </w:r>
          </w:p>
        </w:tc>
        <w:tc>
          <w:tcPr>
            <w:tcW w:w="775" w:type="dxa"/>
            <w:tcBorders>
              <w:top w:val="single" w:color="auto" w:sz="8" w:space="0"/>
            </w:tcBorders>
            <w:noWrap w:val="0"/>
            <w:vAlign w:val="center"/>
          </w:tcPr>
          <w:p w14:paraId="171D506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446A5CB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位</w:t>
            </w:r>
          </w:p>
        </w:tc>
        <w:tc>
          <w:tcPr>
            <w:tcW w:w="775" w:type="dxa"/>
            <w:tcBorders>
              <w:top w:val="single" w:color="auto" w:sz="8" w:space="0"/>
            </w:tcBorders>
            <w:noWrap w:val="0"/>
            <w:vAlign w:val="center"/>
          </w:tcPr>
          <w:p w14:paraId="1B1FC25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数</w:t>
            </w:r>
          </w:p>
          <w:p w14:paraId="19AEDEA2">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量</w:t>
            </w:r>
          </w:p>
        </w:tc>
        <w:tc>
          <w:tcPr>
            <w:tcW w:w="775" w:type="dxa"/>
            <w:tcBorders>
              <w:top w:val="single" w:color="auto" w:sz="8" w:space="0"/>
            </w:tcBorders>
            <w:noWrap w:val="0"/>
            <w:vAlign w:val="center"/>
          </w:tcPr>
          <w:p w14:paraId="1B79511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单</w:t>
            </w:r>
          </w:p>
          <w:p w14:paraId="38594B23">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价</w:t>
            </w:r>
          </w:p>
        </w:tc>
        <w:tc>
          <w:tcPr>
            <w:tcW w:w="1138" w:type="dxa"/>
            <w:tcBorders>
              <w:top w:val="single" w:color="auto" w:sz="8" w:space="0"/>
            </w:tcBorders>
            <w:noWrap w:val="0"/>
            <w:vAlign w:val="center"/>
          </w:tcPr>
          <w:p w14:paraId="60F0272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1DBEEF9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方式</w:t>
            </w:r>
          </w:p>
        </w:tc>
        <w:tc>
          <w:tcPr>
            <w:tcW w:w="1138" w:type="dxa"/>
            <w:tcBorders>
              <w:top w:val="single" w:color="auto" w:sz="8" w:space="0"/>
            </w:tcBorders>
            <w:noWrap w:val="0"/>
            <w:vAlign w:val="center"/>
          </w:tcPr>
          <w:p w14:paraId="4A41431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661DFAD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地点</w:t>
            </w:r>
          </w:p>
        </w:tc>
        <w:tc>
          <w:tcPr>
            <w:tcW w:w="1138" w:type="dxa"/>
            <w:tcBorders>
              <w:top w:val="single" w:color="auto" w:sz="8" w:space="0"/>
            </w:tcBorders>
            <w:noWrap w:val="0"/>
            <w:vAlign w:val="center"/>
          </w:tcPr>
          <w:p w14:paraId="7E5D5B7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计划</w:t>
            </w:r>
          </w:p>
          <w:p w14:paraId="70E8FEF1">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交货</w:t>
            </w:r>
          </w:p>
          <w:p w14:paraId="165B07E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时间</w:t>
            </w:r>
          </w:p>
        </w:tc>
        <w:tc>
          <w:tcPr>
            <w:tcW w:w="1138" w:type="dxa"/>
            <w:tcBorders>
              <w:top w:val="single" w:color="auto" w:sz="8" w:space="0"/>
            </w:tcBorders>
            <w:noWrap w:val="0"/>
            <w:vAlign w:val="center"/>
          </w:tcPr>
          <w:p w14:paraId="41792F6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390102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5B48714F">
            <w:pPr>
              <w:spacing w:line="360" w:lineRule="auto"/>
              <w:rPr>
                <w:rFonts w:hint="eastAsia" w:ascii="宋体" w:hAnsi="宋体" w:eastAsia="宋体" w:cs="宋体"/>
                <w:color w:val="auto"/>
                <w:sz w:val="24"/>
                <w:szCs w:val="24"/>
              </w:rPr>
            </w:pPr>
          </w:p>
        </w:tc>
        <w:tc>
          <w:tcPr>
            <w:tcW w:w="1485" w:type="dxa"/>
            <w:noWrap w:val="0"/>
            <w:vAlign w:val="top"/>
          </w:tcPr>
          <w:p w14:paraId="5E4427F3">
            <w:pPr>
              <w:spacing w:line="360" w:lineRule="auto"/>
              <w:rPr>
                <w:rFonts w:hint="eastAsia" w:ascii="宋体" w:hAnsi="宋体" w:eastAsia="宋体" w:cs="宋体"/>
                <w:color w:val="auto"/>
                <w:sz w:val="24"/>
                <w:szCs w:val="24"/>
              </w:rPr>
            </w:pPr>
          </w:p>
        </w:tc>
        <w:tc>
          <w:tcPr>
            <w:tcW w:w="1303" w:type="dxa"/>
            <w:noWrap w:val="0"/>
            <w:vAlign w:val="top"/>
          </w:tcPr>
          <w:p w14:paraId="5F87E2F3">
            <w:pPr>
              <w:spacing w:line="360" w:lineRule="auto"/>
              <w:rPr>
                <w:rFonts w:hint="eastAsia" w:ascii="宋体" w:hAnsi="宋体" w:eastAsia="宋体" w:cs="宋体"/>
                <w:color w:val="auto"/>
                <w:sz w:val="24"/>
                <w:szCs w:val="24"/>
              </w:rPr>
            </w:pPr>
          </w:p>
        </w:tc>
        <w:tc>
          <w:tcPr>
            <w:tcW w:w="775" w:type="dxa"/>
            <w:noWrap w:val="0"/>
            <w:vAlign w:val="top"/>
          </w:tcPr>
          <w:p w14:paraId="010D61BB">
            <w:pPr>
              <w:spacing w:line="360" w:lineRule="auto"/>
              <w:rPr>
                <w:rFonts w:hint="eastAsia" w:ascii="宋体" w:hAnsi="宋体" w:eastAsia="宋体" w:cs="宋体"/>
                <w:color w:val="auto"/>
                <w:sz w:val="24"/>
                <w:szCs w:val="24"/>
              </w:rPr>
            </w:pPr>
          </w:p>
        </w:tc>
        <w:tc>
          <w:tcPr>
            <w:tcW w:w="775" w:type="dxa"/>
            <w:noWrap w:val="0"/>
            <w:vAlign w:val="top"/>
          </w:tcPr>
          <w:p w14:paraId="1CCBC97A">
            <w:pPr>
              <w:spacing w:line="360" w:lineRule="auto"/>
              <w:rPr>
                <w:rFonts w:hint="eastAsia" w:ascii="宋体" w:hAnsi="宋体" w:eastAsia="宋体" w:cs="宋体"/>
                <w:color w:val="auto"/>
                <w:sz w:val="24"/>
                <w:szCs w:val="24"/>
              </w:rPr>
            </w:pPr>
          </w:p>
        </w:tc>
        <w:tc>
          <w:tcPr>
            <w:tcW w:w="775" w:type="dxa"/>
            <w:noWrap w:val="0"/>
            <w:vAlign w:val="top"/>
          </w:tcPr>
          <w:p w14:paraId="5D4AF410">
            <w:pPr>
              <w:spacing w:line="360" w:lineRule="auto"/>
              <w:rPr>
                <w:rFonts w:hint="eastAsia" w:ascii="宋体" w:hAnsi="宋体" w:eastAsia="宋体" w:cs="宋体"/>
                <w:color w:val="auto"/>
                <w:sz w:val="24"/>
                <w:szCs w:val="24"/>
              </w:rPr>
            </w:pPr>
          </w:p>
        </w:tc>
        <w:tc>
          <w:tcPr>
            <w:tcW w:w="1138" w:type="dxa"/>
            <w:noWrap w:val="0"/>
            <w:vAlign w:val="top"/>
          </w:tcPr>
          <w:p w14:paraId="3689DA21">
            <w:pPr>
              <w:spacing w:line="360" w:lineRule="auto"/>
              <w:rPr>
                <w:rFonts w:hint="eastAsia" w:ascii="宋体" w:hAnsi="宋体" w:eastAsia="宋体" w:cs="宋体"/>
                <w:color w:val="auto"/>
                <w:sz w:val="24"/>
                <w:szCs w:val="24"/>
              </w:rPr>
            </w:pPr>
          </w:p>
        </w:tc>
        <w:tc>
          <w:tcPr>
            <w:tcW w:w="1138" w:type="dxa"/>
            <w:noWrap w:val="0"/>
            <w:vAlign w:val="top"/>
          </w:tcPr>
          <w:p w14:paraId="03CB1F2C">
            <w:pPr>
              <w:spacing w:line="360" w:lineRule="auto"/>
              <w:rPr>
                <w:rFonts w:hint="eastAsia" w:ascii="宋体" w:hAnsi="宋体" w:eastAsia="宋体" w:cs="宋体"/>
                <w:color w:val="auto"/>
                <w:sz w:val="24"/>
                <w:szCs w:val="24"/>
              </w:rPr>
            </w:pPr>
          </w:p>
        </w:tc>
        <w:tc>
          <w:tcPr>
            <w:tcW w:w="1138" w:type="dxa"/>
            <w:noWrap w:val="0"/>
            <w:vAlign w:val="top"/>
          </w:tcPr>
          <w:p w14:paraId="322C354A">
            <w:pPr>
              <w:spacing w:line="360" w:lineRule="auto"/>
              <w:rPr>
                <w:rFonts w:hint="eastAsia" w:ascii="宋体" w:hAnsi="宋体" w:eastAsia="宋体" w:cs="宋体"/>
                <w:color w:val="auto"/>
                <w:sz w:val="24"/>
                <w:szCs w:val="24"/>
              </w:rPr>
            </w:pPr>
          </w:p>
        </w:tc>
        <w:tc>
          <w:tcPr>
            <w:tcW w:w="1138" w:type="dxa"/>
            <w:noWrap w:val="0"/>
            <w:vAlign w:val="top"/>
          </w:tcPr>
          <w:p w14:paraId="79985F48">
            <w:pPr>
              <w:spacing w:line="360" w:lineRule="auto"/>
              <w:rPr>
                <w:rFonts w:hint="eastAsia" w:ascii="宋体" w:hAnsi="宋体" w:eastAsia="宋体" w:cs="宋体"/>
                <w:color w:val="auto"/>
                <w:sz w:val="24"/>
                <w:szCs w:val="24"/>
              </w:rPr>
            </w:pPr>
          </w:p>
        </w:tc>
      </w:tr>
      <w:tr w14:paraId="50A38A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252A8139">
            <w:pPr>
              <w:spacing w:line="360" w:lineRule="auto"/>
              <w:rPr>
                <w:rFonts w:hint="eastAsia" w:ascii="宋体" w:hAnsi="宋体" w:eastAsia="宋体" w:cs="宋体"/>
                <w:color w:val="auto"/>
                <w:sz w:val="24"/>
                <w:szCs w:val="24"/>
              </w:rPr>
            </w:pPr>
          </w:p>
        </w:tc>
        <w:tc>
          <w:tcPr>
            <w:tcW w:w="1485" w:type="dxa"/>
            <w:noWrap w:val="0"/>
            <w:vAlign w:val="top"/>
          </w:tcPr>
          <w:p w14:paraId="42378272">
            <w:pPr>
              <w:spacing w:line="360" w:lineRule="auto"/>
              <w:rPr>
                <w:rFonts w:hint="eastAsia" w:ascii="宋体" w:hAnsi="宋体" w:eastAsia="宋体" w:cs="宋体"/>
                <w:color w:val="auto"/>
                <w:sz w:val="24"/>
                <w:szCs w:val="24"/>
              </w:rPr>
            </w:pPr>
          </w:p>
        </w:tc>
        <w:tc>
          <w:tcPr>
            <w:tcW w:w="1303" w:type="dxa"/>
            <w:noWrap w:val="0"/>
            <w:vAlign w:val="top"/>
          </w:tcPr>
          <w:p w14:paraId="110040D0">
            <w:pPr>
              <w:spacing w:line="360" w:lineRule="auto"/>
              <w:rPr>
                <w:rFonts w:hint="eastAsia" w:ascii="宋体" w:hAnsi="宋体" w:eastAsia="宋体" w:cs="宋体"/>
                <w:color w:val="auto"/>
                <w:sz w:val="24"/>
                <w:szCs w:val="24"/>
              </w:rPr>
            </w:pPr>
          </w:p>
        </w:tc>
        <w:tc>
          <w:tcPr>
            <w:tcW w:w="775" w:type="dxa"/>
            <w:noWrap w:val="0"/>
            <w:vAlign w:val="top"/>
          </w:tcPr>
          <w:p w14:paraId="7A8B4D9D">
            <w:pPr>
              <w:spacing w:line="360" w:lineRule="auto"/>
              <w:rPr>
                <w:rFonts w:hint="eastAsia" w:ascii="宋体" w:hAnsi="宋体" w:eastAsia="宋体" w:cs="宋体"/>
                <w:color w:val="auto"/>
                <w:sz w:val="24"/>
                <w:szCs w:val="24"/>
              </w:rPr>
            </w:pPr>
          </w:p>
        </w:tc>
        <w:tc>
          <w:tcPr>
            <w:tcW w:w="775" w:type="dxa"/>
            <w:noWrap w:val="0"/>
            <w:vAlign w:val="top"/>
          </w:tcPr>
          <w:p w14:paraId="698A3B86">
            <w:pPr>
              <w:spacing w:line="360" w:lineRule="auto"/>
              <w:rPr>
                <w:rFonts w:hint="eastAsia" w:ascii="宋体" w:hAnsi="宋体" w:eastAsia="宋体" w:cs="宋体"/>
                <w:color w:val="auto"/>
                <w:sz w:val="24"/>
                <w:szCs w:val="24"/>
              </w:rPr>
            </w:pPr>
          </w:p>
        </w:tc>
        <w:tc>
          <w:tcPr>
            <w:tcW w:w="775" w:type="dxa"/>
            <w:noWrap w:val="0"/>
            <w:vAlign w:val="top"/>
          </w:tcPr>
          <w:p w14:paraId="3265AC76">
            <w:pPr>
              <w:spacing w:line="360" w:lineRule="auto"/>
              <w:rPr>
                <w:rFonts w:hint="eastAsia" w:ascii="宋体" w:hAnsi="宋体" w:eastAsia="宋体" w:cs="宋体"/>
                <w:color w:val="auto"/>
                <w:sz w:val="24"/>
                <w:szCs w:val="24"/>
              </w:rPr>
            </w:pPr>
          </w:p>
        </w:tc>
        <w:tc>
          <w:tcPr>
            <w:tcW w:w="1138" w:type="dxa"/>
            <w:noWrap w:val="0"/>
            <w:vAlign w:val="top"/>
          </w:tcPr>
          <w:p w14:paraId="1F813BD9">
            <w:pPr>
              <w:spacing w:line="360" w:lineRule="auto"/>
              <w:rPr>
                <w:rFonts w:hint="eastAsia" w:ascii="宋体" w:hAnsi="宋体" w:eastAsia="宋体" w:cs="宋体"/>
                <w:color w:val="auto"/>
                <w:sz w:val="24"/>
                <w:szCs w:val="24"/>
              </w:rPr>
            </w:pPr>
          </w:p>
        </w:tc>
        <w:tc>
          <w:tcPr>
            <w:tcW w:w="1138" w:type="dxa"/>
            <w:noWrap w:val="0"/>
            <w:vAlign w:val="top"/>
          </w:tcPr>
          <w:p w14:paraId="7AF3002B">
            <w:pPr>
              <w:spacing w:line="360" w:lineRule="auto"/>
              <w:rPr>
                <w:rFonts w:hint="eastAsia" w:ascii="宋体" w:hAnsi="宋体" w:eastAsia="宋体" w:cs="宋体"/>
                <w:color w:val="auto"/>
                <w:sz w:val="24"/>
                <w:szCs w:val="24"/>
              </w:rPr>
            </w:pPr>
          </w:p>
        </w:tc>
        <w:tc>
          <w:tcPr>
            <w:tcW w:w="1138" w:type="dxa"/>
            <w:noWrap w:val="0"/>
            <w:vAlign w:val="top"/>
          </w:tcPr>
          <w:p w14:paraId="2580D1A4">
            <w:pPr>
              <w:spacing w:line="360" w:lineRule="auto"/>
              <w:rPr>
                <w:rFonts w:hint="eastAsia" w:ascii="宋体" w:hAnsi="宋体" w:eastAsia="宋体" w:cs="宋体"/>
                <w:color w:val="auto"/>
                <w:sz w:val="24"/>
                <w:szCs w:val="24"/>
              </w:rPr>
            </w:pPr>
          </w:p>
        </w:tc>
        <w:tc>
          <w:tcPr>
            <w:tcW w:w="1138" w:type="dxa"/>
            <w:noWrap w:val="0"/>
            <w:vAlign w:val="top"/>
          </w:tcPr>
          <w:p w14:paraId="31FAB9A2">
            <w:pPr>
              <w:spacing w:line="360" w:lineRule="auto"/>
              <w:rPr>
                <w:rFonts w:hint="eastAsia" w:ascii="宋体" w:hAnsi="宋体" w:eastAsia="宋体" w:cs="宋体"/>
                <w:color w:val="auto"/>
                <w:sz w:val="24"/>
                <w:szCs w:val="24"/>
              </w:rPr>
            </w:pPr>
          </w:p>
        </w:tc>
      </w:tr>
      <w:tr w14:paraId="051513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47A56686">
            <w:pPr>
              <w:spacing w:line="360" w:lineRule="auto"/>
              <w:rPr>
                <w:rFonts w:hint="eastAsia" w:ascii="宋体" w:hAnsi="宋体" w:eastAsia="宋体" w:cs="宋体"/>
                <w:color w:val="auto"/>
                <w:sz w:val="24"/>
                <w:szCs w:val="24"/>
              </w:rPr>
            </w:pPr>
          </w:p>
        </w:tc>
        <w:tc>
          <w:tcPr>
            <w:tcW w:w="1485" w:type="dxa"/>
            <w:noWrap w:val="0"/>
            <w:vAlign w:val="top"/>
          </w:tcPr>
          <w:p w14:paraId="14C4B2F6">
            <w:pPr>
              <w:spacing w:line="360" w:lineRule="auto"/>
              <w:rPr>
                <w:rFonts w:hint="eastAsia" w:ascii="宋体" w:hAnsi="宋体" w:eastAsia="宋体" w:cs="宋体"/>
                <w:color w:val="auto"/>
                <w:sz w:val="24"/>
                <w:szCs w:val="24"/>
              </w:rPr>
            </w:pPr>
          </w:p>
        </w:tc>
        <w:tc>
          <w:tcPr>
            <w:tcW w:w="1303" w:type="dxa"/>
            <w:noWrap w:val="0"/>
            <w:vAlign w:val="top"/>
          </w:tcPr>
          <w:p w14:paraId="7956239E">
            <w:pPr>
              <w:spacing w:line="360" w:lineRule="auto"/>
              <w:rPr>
                <w:rFonts w:hint="eastAsia" w:ascii="宋体" w:hAnsi="宋体" w:eastAsia="宋体" w:cs="宋体"/>
                <w:color w:val="auto"/>
                <w:sz w:val="24"/>
                <w:szCs w:val="24"/>
              </w:rPr>
            </w:pPr>
          </w:p>
        </w:tc>
        <w:tc>
          <w:tcPr>
            <w:tcW w:w="775" w:type="dxa"/>
            <w:noWrap w:val="0"/>
            <w:vAlign w:val="top"/>
          </w:tcPr>
          <w:p w14:paraId="2AE687B1">
            <w:pPr>
              <w:spacing w:line="360" w:lineRule="auto"/>
              <w:rPr>
                <w:rFonts w:hint="eastAsia" w:ascii="宋体" w:hAnsi="宋体" w:eastAsia="宋体" w:cs="宋体"/>
                <w:color w:val="auto"/>
                <w:sz w:val="24"/>
                <w:szCs w:val="24"/>
              </w:rPr>
            </w:pPr>
          </w:p>
        </w:tc>
        <w:tc>
          <w:tcPr>
            <w:tcW w:w="775" w:type="dxa"/>
            <w:noWrap w:val="0"/>
            <w:vAlign w:val="top"/>
          </w:tcPr>
          <w:p w14:paraId="407CAC22">
            <w:pPr>
              <w:spacing w:line="360" w:lineRule="auto"/>
              <w:rPr>
                <w:rFonts w:hint="eastAsia" w:ascii="宋体" w:hAnsi="宋体" w:eastAsia="宋体" w:cs="宋体"/>
                <w:color w:val="auto"/>
                <w:sz w:val="24"/>
                <w:szCs w:val="24"/>
              </w:rPr>
            </w:pPr>
          </w:p>
        </w:tc>
        <w:tc>
          <w:tcPr>
            <w:tcW w:w="775" w:type="dxa"/>
            <w:noWrap w:val="0"/>
            <w:vAlign w:val="top"/>
          </w:tcPr>
          <w:p w14:paraId="3CEB56B6">
            <w:pPr>
              <w:spacing w:line="360" w:lineRule="auto"/>
              <w:rPr>
                <w:rFonts w:hint="eastAsia" w:ascii="宋体" w:hAnsi="宋体" w:eastAsia="宋体" w:cs="宋体"/>
                <w:color w:val="auto"/>
                <w:sz w:val="24"/>
                <w:szCs w:val="24"/>
              </w:rPr>
            </w:pPr>
          </w:p>
        </w:tc>
        <w:tc>
          <w:tcPr>
            <w:tcW w:w="1138" w:type="dxa"/>
            <w:noWrap w:val="0"/>
            <w:vAlign w:val="top"/>
          </w:tcPr>
          <w:p w14:paraId="51DCE7FE">
            <w:pPr>
              <w:spacing w:line="360" w:lineRule="auto"/>
              <w:rPr>
                <w:rFonts w:hint="eastAsia" w:ascii="宋体" w:hAnsi="宋体" w:eastAsia="宋体" w:cs="宋体"/>
                <w:color w:val="auto"/>
                <w:sz w:val="24"/>
                <w:szCs w:val="24"/>
              </w:rPr>
            </w:pPr>
          </w:p>
        </w:tc>
        <w:tc>
          <w:tcPr>
            <w:tcW w:w="1138" w:type="dxa"/>
            <w:noWrap w:val="0"/>
            <w:vAlign w:val="top"/>
          </w:tcPr>
          <w:p w14:paraId="2592E50C">
            <w:pPr>
              <w:spacing w:line="360" w:lineRule="auto"/>
              <w:rPr>
                <w:rFonts w:hint="eastAsia" w:ascii="宋体" w:hAnsi="宋体" w:eastAsia="宋体" w:cs="宋体"/>
                <w:color w:val="auto"/>
                <w:sz w:val="24"/>
                <w:szCs w:val="24"/>
              </w:rPr>
            </w:pPr>
          </w:p>
        </w:tc>
        <w:tc>
          <w:tcPr>
            <w:tcW w:w="1138" w:type="dxa"/>
            <w:noWrap w:val="0"/>
            <w:vAlign w:val="top"/>
          </w:tcPr>
          <w:p w14:paraId="78794D43">
            <w:pPr>
              <w:spacing w:line="360" w:lineRule="auto"/>
              <w:rPr>
                <w:rFonts w:hint="eastAsia" w:ascii="宋体" w:hAnsi="宋体" w:eastAsia="宋体" w:cs="宋体"/>
                <w:color w:val="auto"/>
                <w:sz w:val="24"/>
                <w:szCs w:val="24"/>
              </w:rPr>
            </w:pPr>
          </w:p>
        </w:tc>
        <w:tc>
          <w:tcPr>
            <w:tcW w:w="1138" w:type="dxa"/>
            <w:noWrap w:val="0"/>
            <w:vAlign w:val="top"/>
          </w:tcPr>
          <w:p w14:paraId="75BDB23A">
            <w:pPr>
              <w:spacing w:line="360" w:lineRule="auto"/>
              <w:rPr>
                <w:rFonts w:hint="eastAsia" w:ascii="宋体" w:hAnsi="宋体" w:eastAsia="宋体" w:cs="宋体"/>
                <w:color w:val="auto"/>
                <w:sz w:val="24"/>
                <w:szCs w:val="24"/>
              </w:rPr>
            </w:pPr>
          </w:p>
        </w:tc>
      </w:tr>
      <w:tr w14:paraId="0AABF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5D2046F1">
            <w:pPr>
              <w:spacing w:line="360" w:lineRule="auto"/>
              <w:rPr>
                <w:rFonts w:hint="eastAsia" w:ascii="宋体" w:hAnsi="宋体" w:eastAsia="宋体" w:cs="宋体"/>
                <w:color w:val="auto"/>
                <w:sz w:val="24"/>
                <w:szCs w:val="24"/>
              </w:rPr>
            </w:pPr>
          </w:p>
        </w:tc>
        <w:tc>
          <w:tcPr>
            <w:tcW w:w="1485" w:type="dxa"/>
            <w:noWrap w:val="0"/>
            <w:vAlign w:val="top"/>
          </w:tcPr>
          <w:p w14:paraId="1B42C51A">
            <w:pPr>
              <w:spacing w:line="360" w:lineRule="auto"/>
              <w:rPr>
                <w:rFonts w:hint="eastAsia" w:ascii="宋体" w:hAnsi="宋体" w:eastAsia="宋体" w:cs="宋体"/>
                <w:color w:val="auto"/>
                <w:sz w:val="24"/>
                <w:szCs w:val="24"/>
              </w:rPr>
            </w:pPr>
          </w:p>
        </w:tc>
        <w:tc>
          <w:tcPr>
            <w:tcW w:w="1303" w:type="dxa"/>
            <w:noWrap w:val="0"/>
            <w:vAlign w:val="top"/>
          </w:tcPr>
          <w:p w14:paraId="7F5281EF">
            <w:pPr>
              <w:spacing w:line="360" w:lineRule="auto"/>
              <w:rPr>
                <w:rFonts w:hint="eastAsia" w:ascii="宋体" w:hAnsi="宋体" w:eastAsia="宋体" w:cs="宋体"/>
                <w:color w:val="auto"/>
                <w:sz w:val="24"/>
                <w:szCs w:val="24"/>
              </w:rPr>
            </w:pPr>
          </w:p>
        </w:tc>
        <w:tc>
          <w:tcPr>
            <w:tcW w:w="775" w:type="dxa"/>
            <w:noWrap w:val="0"/>
            <w:vAlign w:val="top"/>
          </w:tcPr>
          <w:p w14:paraId="28324411">
            <w:pPr>
              <w:spacing w:line="360" w:lineRule="auto"/>
              <w:rPr>
                <w:rFonts w:hint="eastAsia" w:ascii="宋体" w:hAnsi="宋体" w:eastAsia="宋体" w:cs="宋体"/>
                <w:color w:val="auto"/>
                <w:sz w:val="24"/>
                <w:szCs w:val="24"/>
              </w:rPr>
            </w:pPr>
          </w:p>
        </w:tc>
        <w:tc>
          <w:tcPr>
            <w:tcW w:w="775" w:type="dxa"/>
            <w:noWrap w:val="0"/>
            <w:vAlign w:val="top"/>
          </w:tcPr>
          <w:p w14:paraId="7051969A">
            <w:pPr>
              <w:spacing w:line="360" w:lineRule="auto"/>
              <w:rPr>
                <w:rFonts w:hint="eastAsia" w:ascii="宋体" w:hAnsi="宋体" w:eastAsia="宋体" w:cs="宋体"/>
                <w:color w:val="auto"/>
                <w:sz w:val="24"/>
                <w:szCs w:val="24"/>
              </w:rPr>
            </w:pPr>
          </w:p>
        </w:tc>
        <w:tc>
          <w:tcPr>
            <w:tcW w:w="775" w:type="dxa"/>
            <w:noWrap w:val="0"/>
            <w:vAlign w:val="top"/>
          </w:tcPr>
          <w:p w14:paraId="04D0FE5E">
            <w:pPr>
              <w:spacing w:line="360" w:lineRule="auto"/>
              <w:rPr>
                <w:rFonts w:hint="eastAsia" w:ascii="宋体" w:hAnsi="宋体" w:eastAsia="宋体" w:cs="宋体"/>
                <w:color w:val="auto"/>
                <w:sz w:val="24"/>
                <w:szCs w:val="24"/>
              </w:rPr>
            </w:pPr>
          </w:p>
        </w:tc>
        <w:tc>
          <w:tcPr>
            <w:tcW w:w="1138" w:type="dxa"/>
            <w:noWrap w:val="0"/>
            <w:vAlign w:val="top"/>
          </w:tcPr>
          <w:p w14:paraId="7C040940">
            <w:pPr>
              <w:spacing w:line="360" w:lineRule="auto"/>
              <w:rPr>
                <w:rFonts w:hint="eastAsia" w:ascii="宋体" w:hAnsi="宋体" w:eastAsia="宋体" w:cs="宋体"/>
                <w:color w:val="auto"/>
                <w:sz w:val="24"/>
                <w:szCs w:val="24"/>
              </w:rPr>
            </w:pPr>
          </w:p>
        </w:tc>
        <w:tc>
          <w:tcPr>
            <w:tcW w:w="1138" w:type="dxa"/>
            <w:noWrap w:val="0"/>
            <w:vAlign w:val="top"/>
          </w:tcPr>
          <w:p w14:paraId="0D156FBF">
            <w:pPr>
              <w:spacing w:line="360" w:lineRule="auto"/>
              <w:rPr>
                <w:rFonts w:hint="eastAsia" w:ascii="宋体" w:hAnsi="宋体" w:eastAsia="宋体" w:cs="宋体"/>
                <w:color w:val="auto"/>
                <w:sz w:val="24"/>
                <w:szCs w:val="24"/>
              </w:rPr>
            </w:pPr>
          </w:p>
        </w:tc>
        <w:tc>
          <w:tcPr>
            <w:tcW w:w="1138" w:type="dxa"/>
            <w:noWrap w:val="0"/>
            <w:vAlign w:val="top"/>
          </w:tcPr>
          <w:p w14:paraId="2A4231BA">
            <w:pPr>
              <w:spacing w:line="360" w:lineRule="auto"/>
              <w:rPr>
                <w:rFonts w:hint="eastAsia" w:ascii="宋体" w:hAnsi="宋体" w:eastAsia="宋体" w:cs="宋体"/>
                <w:color w:val="auto"/>
                <w:sz w:val="24"/>
                <w:szCs w:val="24"/>
              </w:rPr>
            </w:pPr>
          </w:p>
        </w:tc>
        <w:tc>
          <w:tcPr>
            <w:tcW w:w="1138" w:type="dxa"/>
            <w:noWrap w:val="0"/>
            <w:vAlign w:val="top"/>
          </w:tcPr>
          <w:p w14:paraId="58BCDDDA">
            <w:pPr>
              <w:spacing w:line="360" w:lineRule="auto"/>
              <w:rPr>
                <w:rFonts w:hint="eastAsia" w:ascii="宋体" w:hAnsi="宋体" w:eastAsia="宋体" w:cs="宋体"/>
                <w:color w:val="auto"/>
                <w:sz w:val="24"/>
                <w:szCs w:val="24"/>
              </w:rPr>
            </w:pPr>
          </w:p>
        </w:tc>
      </w:tr>
      <w:tr w14:paraId="5D6783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27985F76">
            <w:pPr>
              <w:spacing w:line="360" w:lineRule="auto"/>
              <w:rPr>
                <w:rFonts w:hint="eastAsia" w:ascii="宋体" w:hAnsi="宋体" w:eastAsia="宋体" w:cs="宋体"/>
                <w:color w:val="auto"/>
                <w:sz w:val="24"/>
                <w:szCs w:val="24"/>
              </w:rPr>
            </w:pPr>
          </w:p>
        </w:tc>
        <w:tc>
          <w:tcPr>
            <w:tcW w:w="1485" w:type="dxa"/>
            <w:noWrap w:val="0"/>
            <w:vAlign w:val="top"/>
          </w:tcPr>
          <w:p w14:paraId="5FCDBD6F">
            <w:pPr>
              <w:spacing w:line="360" w:lineRule="auto"/>
              <w:rPr>
                <w:rFonts w:hint="eastAsia" w:ascii="宋体" w:hAnsi="宋体" w:eastAsia="宋体" w:cs="宋体"/>
                <w:color w:val="auto"/>
                <w:sz w:val="24"/>
                <w:szCs w:val="24"/>
              </w:rPr>
            </w:pPr>
          </w:p>
        </w:tc>
        <w:tc>
          <w:tcPr>
            <w:tcW w:w="1303" w:type="dxa"/>
            <w:noWrap w:val="0"/>
            <w:vAlign w:val="top"/>
          </w:tcPr>
          <w:p w14:paraId="30A7A869">
            <w:pPr>
              <w:spacing w:line="360" w:lineRule="auto"/>
              <w:rPr>
                <w:rFonts w:hint="eastAsia" w:ascii="宋体" w:hAnsi="宋体" w:eastAsia="宋体" w:cs="宋体"/>
                <w:color w:val="auto"/>
                <w:sz w:val="24"/>
                <w:szCs w:val="24"/>
              </w:rPr>
            </w:pPr>
          </w:p>
        </w:tc>
        <w:tc>
          <w:tcPr>
            <w:tcW w:w="775" w:type="dxa"/>
            <w:noWrap w:val="0"/>
            <w:vAlign w:val="top"/>
          </w:tcPr>
          <w:p w14:paraId="633CE558">
            <w:pPr>
              <w:spacing w:line="360" w:lineRule="auto"/>
              <w:rPr>
                <w:rFonts w:hint="eastAsia" w:ascii="宋体" w:hAnsi="宋体" w:eastAsia="宋体" w:cs="宋体"/>
                <w:color w:val="auto"/>
                <w:sz w:val="24"/>
                <w:szCs w:val="24"/>
              </w:rPr>
            </w:pPr>
          </w:p>
        </w:tc>
        <w:tc>
          <w:tcPr>
            <w:tcW w:w="775" w:type="dxa"/>
            <w:noWrap w:val="0"/>
            <w:vAlign w:val="top"/>
          </w:tcPr>
          <w:p w14:paraId="1F8E1837">
            <w:pPr>
              <w:spacing w:line="360" w:lineRule="auto"/>
              <w:rPr>
                <w:rFonts w:hint="eastAsia" w:ascii="宋体" w:hAnsi="宋体" w:eastAsia="宋体" w:cs="宋体"/>
                <w:color w:val="auto"/>
                <w:sz w:val="24"/>
                <w:szCs w:val="24"/>
              </w:rPr>
            </w:pPr>
          </w:p>
        </w:tc>
        <w:tc>
          <w:tcPr>
            <w:tcW w:w="775" w:type="dxa"/>
            <w:noWrap w:val="0"/>
            <w:vAlign w:val="top"/>
          </w:tcPr>
          <w:p w14:paraId="7DA45A5B">
            <w:pPr>
              <w:spacing w:line="360" w:lineRule="auto"/>
              <w:rPr>
                <w:rFonts w:hint="eastAsia" w:ascii="宋体" w:hAnsi="宋体" w:eastAsia="宋体" w:cs="宋体"/>
                <w:color w:val="auto"/>
                <w:sz w:val="24"/>
                <w:szCs w:val="24"/>
              </w:rPr>
            </w:pPr>
          </w:p>
        </w:tc>
        <w:tc>
          <w:tcPr>
            <w:tcW w:w="1138" w:type="dxa"/>
            <w:noWrap w:val="0"/>
            <w:vAlign w:val="top"/>
          </w:tcPr>
          <w:p w14:paraId="300C88BF">
            <w:pPr>
              <w:spacing w:line="360" w:lineRule="auto"/>
              <w:rPr>
                <w:rFonts w:hint="eastAsia" w:ascii="宋体" w:hAnsi="宋体" w:eastAsia="宋体" w:cs="宋体"/>
                <w:color w:val="auto"/>
                <w:sz w:val="24"/>
                <w:szCs w:val="24"/>
              </w:rPr>
            </w:pPr>
          </w:p>
        </w:tc>
        <w:tc>
          <w:tcPr>
            <w:tcW w:w="1138" w:type="dxa"/>
            <w:noWrap w:val="0"/>
            <w:vAlign w:val="top"/>
          </w:tcPr>
          <w:p w14:paraId="517D51A4">
            <w:pPr>
              <w:spacing w:line="360" w:lineRule="auto"/>
              <w:rPr>
                <w:rFonts w:hint="eastAsia" w:ascii="宋体" w:hAnsi="宋体" w:eastAsia="宋体" w:cs="宋体"/>
                <w:color w:val="auto"/>
                <w:sz w:val="24"/>
                <w:szCs w:val="24"/>
              </w:rPr>
            </w:pPr>
          </w:p>
        </w:tc>
        <w:tc>
          <w:tcPr>
            <w:tcW w:w="1138" w:type="dxa"/>
            <w:noWrap w:val="0"/>
            <w:vAlign w:val="top"/>
          </w:tcPr>
          <w:p w14:paraId="6122BD7B">
            <w:pPr>
              <w:spacing w:line="360" w:lineRule="auto"/>
              <w:rPr>
                <w:rFonts w:hint="eastAsia" w:ascii="宋体" w:hAnsi="宋体" w:eastAsia="宋体" w:cs="宋体"/>
                <w:color w:val="auto"/>
                <w:sz w:val="24"/>
                <w:szCs w:val="24"/>
              </w:rPr>
            </w:pPr>
          </w:p>
        </w:tc>
        <w:tc>
          <w:tcPr>
            <w:tcW w:w="1138" w:type="dxa"/>
            <w:noWrap w:val="0"/>
            <w:vAlign w:val="top"/>
          </w:tcPr>
          <w:p w14:paraId="7ED5BE99">
            <w:pPr>
              <w:spacing w:line="360" w:lineRule="auto"/>
              <w:rPr>
                <w:rFonts w:hint="eastAsia" w:ascii="宋体" w:hAnsi="宋体" w:eastAsia="宋体" w:cs="宋体"/>
                <w:color w:val="auto"/>
                <w:sz w:val="24"/>
                <w:szCs w:val="24"/>
              </w:rPr>
            </w:pPr>
          </w:p>
        </w:tc>
      </w:tr>
      <w:tr w14:paraId="1C1424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521707DA">
            <w:pPr>
              <w:spacing w:line="360" w:lineRule="auto"/>
              <w:rPr>
                <w:rFonts w:hint="eastAsia" w:ascii="宋体" w:hAnsi="宋体" w:eastAsia="宋体" w:cs="宋体"/>
                <w:color w:val="auto"/>
                <w:sz w:val="24"/>
                <w:szCs w:val="24"/>
              </w:rPr>
            </w:pPr>
          </w:p>
        </w:tc>
        <w:tc>
          <w:tcPr>
            <w:tcW w:w="1485" w:type="dxa"/>
            <w:noWrap w:val="0"/>
            <w:vAlign w:val="top"/>
          </w:tcPr>
          <w:p w14:paraId="7E1BE3B6">
            <w:pPr>
              <w:spacing w:line="360" w:lineRule="auto"/>
              <w:rPr>
                <w:rFonts w:hint="eastAsia" w:ascii="宋体" w:hAnsi="宋体" w:eastAsia="宋体" w:cs="宋体"/>
                <w:color w:val="auto"/>
                <w:sz w:val="24"/>
                <w:szCs w:val="24"/>
              </w:rPr>
            </w:pPr>
          </w:p>
        </w:tc>
        <w:tc>
          <w:tcPr>
            <w:tcW w:w="1303" w:type="dxa"/>
            <w:noWrap w:val="0"/>
            <w:vAlign w:val="top"/>
          </w:tcPr>
          <w:p w14:paraId="0BD878F3">
            <w:pPr>
              <w:spacing w:line="360" w:lineRule="auto"/>
              <w:rPr>
                <w:rFonts w:hint="eastAsia" w:ascii="宋体" w:hAnsi="宋体" w:eastAsia="宋体" w:cs="宋体"/>
                <w:color w:val="auto"/>
                <w:sz w:val="24"/>
                <w:szCs w:val="24"/>
              </w:rPr>
            </w:pPr>
          </w:p>
        </w:tc>
        <w:tc>
          <w:tcPr>
            <w:tcW w:w="775" w:type="dxa"/>
            <w:noWrap w:val="0"/>
            <w:vAlign w:val="top"/>
          </w:tcPr>
          <w:p w14:paraId="4CABBEF8">
            <w:pPr>
              <w:spacing w:line="360" w:lineRule="auto"/>
              <w:rPr>
                <w:rFonts w:hint="eastAsia" w:ascii="宋体" w:hAnsi="宋体" w:eastAsia="宋体" w:cs="宋体"/>
                <w:color w:val="auto"/>
                <w:sz w:val="24"/>
                <w:szCs w:val="24"/>
              </w:rPr>
            </w:pPr>
          </w:p>
        </w:tc>
        <w:tc>
          <w:tcPr>
            <w:tcW w:w="775" w:type="dxa"/>
            <w:noWrap w:val="0"/>
            <w:vAlign w:val="top"/>
          </w:tcPr>
          <w:p w14:paraId="1C0803EA">
            <w:pPr>
              <w:spacing w:line="360" w:lineRule="auto"/>
              <w:rPr>
                <w:rFonts w:hint="eastAsia" w:ascii="宋体" w:hAnsi="宋体" w:eastAsia="宋体" w:cs="宋体"/>
                <w:color w:val="auto"/>
                <w:sz w:val="24"/>
                <w:szCs w:val="24"/>
              </w:rPr>
            </w:pPr>
          </w:p>
        </w:tc>
        <w:tc>
          <w:tcPr>
            <w:tcW w:w="775" w:type="dxa"/>
            <w:noWrap w:val="0"/>
            <w:vAlign w:val="top"/>
          </w:tcPr>
          <w:p w14:paraId="70CA6FE9">
            <w:pPr>
              <w:spacing w:line="360" w:lineRule="auto"/>
              <w:rPr>
                <w:rFonts w:hint="eastAsia" w:ascii="宋体" w:hAnsi="宋体" w:eastAsia="宋体" w:cs="宋体"/>
                <w:color w:val="auto"/>
                <w:sz w:val="24"/>
                <w:szCs w:val="24"/>
              </w:rPr>
            </w:pPr>
          </w:p>
        </w:tc>
        <w:tc>
          <w:tcPr>
            <w:tcW w:w="1138" w:type="dxa"/>
            <w:noWrap w:val="0"/>
            <w:vAlign w:val="top"/>
          </w:tcPr>
          <w:p w14:paraId="64E14DD5">
            <w:pPr>
              <w:spacing w:line="360" w:lineRule="auto"/>
              <w:rPr>
                <w:rFonts w:hint="eastAsia" w:ascii="宋体" w:hAnsi="宋体" w:eastAsia="宋体" w:cs="宋体"/>
                <w:color w:val="auto"/>
                <w:sz w:val="24"/>
                <w:szCs w:val="24"/>
              </w:rPr>
            </w:pPr>
          </w:p>
        </w:tc>
        <w:tc>
          <w:tcPr>
            <w:tcW w:w="1138" w:type="dxa"/>
            <w:noWrap w:val="0"/>
            <w:vAlign w:val="top"/>
          </w:tcPr>
          <w:p w14:paraId="4F050DA3">
            <w:pPr>
              <w:spacing w:line="360" w:lineRule="auto"/>
              <w:rPr>
                <w:rFonts w:hint="eastAsia" w:ascii="宋体" w:hAnsi="宋体" w:eastAsia="宋体" w:cs="宋体"/>
                <w:color w:val="auto"/>
                <w:sz w:val="24"/>
                <w:szCs w:val="24"/>
              </w:rPr>
            </w:pPr>
          </w:p>
        </w:tc>
        <w:tc>
          <w:tcPr>
            <w:tcW w:w="1138" w:type="dxa"/>
            <w:noWrap w:val="0"/>
            <w:vAlign w:val="top"/>
          </w:tcPr>
          <w:p w14:paraId="4EE730B7">
            <w:pPr>
              <w:spacing w:line="360" w:lineRule="auto"/>
              <w:rPr>
                <w:rFonts w:hint="eastAsia" w:ascii="宋体" w:hAnsi="宋体" w:eastAsia="宋体" w:cs="宋体"/>
                <w:color w:val="auto"/>
                <w:sz w:val="24"/>
                <w:szCs w:val="24"/>
              </w:rPr>
            </w:pPr>
          </w:p>
        </w:tc>
        <w:tc>
          <w:tcPr>
            <w:tcW w:w="1138" w:type="dxa"/>
            <w:noWrap w:val="0"/>
            <w:vAlign w:val="top"/>
          </w:tcPr>
          <w:p w14:paraId="42EA53E2">
            <w:pPr>
              <w:spacing w:line="360" w:lineRule="auto"/>
              <w:rPr>
                <w:rFonts w:hint="eastAsia" w:ascii="宋体" w:hAnsi="宋体" w:eastAsia="宋体" w:cs="宋体"/>
                <w:color w:val="auto"/>
                <w:sz w:val="24"/>
                <w:szCs w:val="24"/>
              </w:rPr>
            </w:pPr>
          </w:p>
        </w:tc>
      </w:tr>
      <w:tr w14:paraId="63E63C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0FEF1008">
            <w:pPr>
              <w:spacing w:line="360" w:lineRule="auto"/>
              <w:rPr>
                <w:rFonts w:hint="eastAsia" w:ascii="宋体" w:hAnsi="宋体" w:eastAsia="宋体" w:cs="宋体"/>
                <w:color w:val="auto"/>
                <w:sz w:val="24"/>
                <w:szCs w:val="24"/>
              </w:rPr>
            </w:pPr>
          </w:p>
        </w:tc>
        <w:tc>
          <w:tcPr>
            <w:tcW w:w="1485" w:type="dxa"/>
            <w:noWrap w:val="0"/>
            <w:vAlign w:val="top"/>
          </w:tcPr>
          <w:p w14:paraId="45BB399C">
            <w:pPr>
              <w:spacing w:line="360" w:lineRule="auto"/>
              <w:rPr>
                <w:rFonts w:hint="eastAsia" w:ascii="宋体" w:hAnsi="宋体" w:eastAsia="宋体" w:cs="宋体"/>
                <w:color w:val="auto"/>
                <w:sz w:val="24"/>
                <w:szCs w:val="24"/>
              </w:rPr>
            </w:pPr>
          </w:p>
        </w:tc>
        <w:tc>
          <w:tcPr>
            <w:tcW w:w="1303" w:type="dxa"/>
            <w:noWrap w:val="0"/>
            <w:vAlign w:val="top"/>
          </w:tcPr>
          <w:p w14:paraId="3A41AEEF">
            <w:pPr>
              <w:spacing w:line="360" w:lineRule="auto"/>
              <w:rPr>
                <w:rFonts w:hint="eastAsia" w:ascii="宋体" w:hAnsi="宋体" w:eastAsia="宋体" w:cs="宋体"/>
                <w:color w:val="auto"/>
                <w:sz w:val="24"/>
                <w:szCs w:val="24"/>
              </w:rPr>
            </w:pPr>
          </w:p>
        </w:tc>
        <w:tc>
          <w:tcPr>
            <w:tcW w:w="775" w:type="dxa"/>
            <w:noWrap w:val="0"/>
            <w:vAlign w:val="top"/>
          </w:tcPr>
          <w:p w14:paraId="427BFFE9">
            <w:pPr>
              <w:spacing w:line="360" w:lineRule="auto"/>
              <w:rPr>
                <w:rFonts w:hint="eastAsia" w:ascii="宋体" w:hAnsi="宋体" w:eastAsia="宋体" w:cs="宋体"/>
                <w:color w:val="auto"/>
                <w:sz w:val="24"/>
                <w:szCs w:val="24"/>
              </w:rPr>
            </w:pPr>
          </w:p>
        </w:tc>
        <w:tc>
          <w:tcPr>
            <w:tcW w:w="775" w:type="dxa"/>
            <w:noWrap w:val="0"/>
            <w:vAlign w:val="top"/>
          </w:tcPr>
          <w:p w14:paraId="7F1C4BC9">
            <w:pPr>
              <w:spacing w:line="360" w:lineRule="auto"/>
              <w:rPr>
                <w:rFonts w:hint="eastAsia" w:ascii="宋体" w:hAnsi="宋体" w:eastAsia="宋体" w:cs="宋体"/>
                <w:color w:val="auto"/>
                <w:sz w:val="24"/>
                <w:szCs w:val="24"/>
              </w:rPr>
            </w:pPr>
          </w:p>
        </w:tc>
        <w:tc>
          <w:tcPr>
            <w:tcW w:w="775" w:type="dxa"/>
            <w:noWrap w:val="0"/>
            <w:vAlign w:val="top"/>
          </w:tcPr>
          <w:p w14:paraId="6B3A2044">
            <w:pPr>
              <w:spacing w:line="360" w:lineRule="auto"/>
              <w:rPr>
                <w:rFonts w:hint="eastAsia" w:ascii="宋体" w:hAnsi="宋体" w:eastAsia="宋体" w:cs="宋体"/>
                <w:color w:val="auto"/>
                <w:sz w:val="24"/>
                <w:szCs w:val="24"/>
              </w:rPr>
            </w:pPr>
          </w:p>
        </w:tc>
        <w:tc>
          <w:tcPr>
            <w:tcW w:w="1138" w:type="dxa"/>
            <w:noWrap w:val="0"/>
            <w:vAlign w:val="top"/>
          </w:tcPr>
          <w:p w14:paraId="77BFCC24">
            <w:pPr>
              <w:spacing w:line="360" w:lineRule="auto"/>
              <w:rPr>
                <w:rFonts w:hint="eastAsia" w:ascii="宋体" w:hAnsi="宋体" w:eastAsia="宋体" w:cs="宋体"/>
                <w:color w:val="auto"/>
                <w:sz w:val="24"/>
                <w:szCs w:val="24"/>
              </w:rPr>
            </w:pPr>
          </w:p>
        </w:tc>
        <w:tc>
          <w:tcPr>
            <w:tcW w:w="1138" w:type="dxa"/>
            <w:noWrap w:val="0"/>
            <w:vAlign w:val="top"/>
          </w:tcPr>
          <w:p w14:paraId="15B4A684">
            <w:pPr>
              <w:spacing w:line="360" w:lineRule="auto"/>
              <w:rPr>
                <w:rFonts w:hint="eastAsia" w:ascii="宋体" w:hAnsi="宋体" w:eastAsia="宋体" w:cs="宋体"/>
                <w:color w:val="auto"/>
                <w:sz w:val="24"/>
                <w:szCs w:val="24"/>
              </w:rPr>
            </w:pPr>
          </w:p>
        </w:tc>
        <w:tc>
          <w:tcPr>
            <w:tcW w:w="1138" w:type="dxa"/>
            <w:noWrap w:val="0"/>
            <w:vAlign w:val="top"/>
          </w:tcPr>
          <w:p w14:paraId="15E0B3D1">
            <w:pPr>
              <w:spacing w:line="360" w:lineRule="auto"/>
              <w:rPr>
                <w:rFonts w:hint="eastAsia" w:ascii="宋体" w:hAnsi="宋体" w:eastAsia="宋体" w:cs="宋体"/>
                <w:color w:val="auto"/>
                <w:sz w:val="24"/>
                <w:szCs w:val="24"/>
              </w:rPr>
            </w:pPr>
          </w:p>
        </w:tc>
        <w:tc>
          <w:tcPr>
            <w:tcW w:w="1138" w:type="dxa"/>
            <w:noWrap w:val="0"/>
            <w:vAlign w:val="top"/>
          </w:tcPr>
          <w:p w14:paraId="60DDFB1B">
            <w:pPr>
              <w:spacing w:line="360" w:lineRule="auto"/>
              <w:rPr>
                <w:rFonts w:hint="eastAsia" w:ascii="宋体" w:hAnsi="宋体" w:eastAsia="宋体" w:cs="宋体"/>
                <w:color w:val="auto"/>
                <w:sz w:val="24"/>
                <w:szCs w:val="24"/>
              </w:rPr>
            </w:pPr>
          </w:p>
        </w:tc>
      </w:tr>
      <w:tr w14:paraId="256461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050DD667">
            <w:pPr>
              <w:spacing w:line="360" w:lineRule="auto"/>
              <w:rPr>
                <w:rFonts w:hint="eastAsia" w:ascii="宋体" w:hAnsi="宋体" w:eastAsia="宋体" w:cs="宋体"/>
                <w:color w:val="auto"/>
                <w:sz w:val="24"/>
                <w:szCs w:val="24"/>
              </w:rPr>
            </w:pPr>
          </w:p>
        </w:tc>
        <w:tc>
          <w:tcPr>
            <w:tcW w:w="1485" w:type="dxa"/>
            <w:noWrap w:val="0"/>
            <w:vAlign w:val="top"/>
          </w:tcPr>
          <w:p w14:paraId="114EE81B">
            <w:pPr>
              <w:spacing w:line="360" w:lineRule="auto"/>
              <w:rPr>
                <w:rFonts w:hint="eastAsia" w:ascii="宋体" w:hAnsi="宋体" w:eastAsia="宋体" w:cs="宋体"/>
                <w:color w:val="auto"/>
                <w:sz w:val="24"/>
                <w:szCs w:val="24"/>
              </w:rPr>
            </w:pPr>
          </w:p>
        </w:tc>
        <w:tc>
          <w:tcPr>
            <w:tcW w:w="1303" w:type="dxa"/>
            <w:noWrap w:val="0"/>
            <w:vAlign w:val="top"/>
          </w:tcPr>
          <w:p w14:paraId="43C685A7">
            <w:pPr>
              <w:spacing w:line="360" w:lineRule="auto"/>
              <w:rPr>
                <w:rFonts w:hint="eastAsia" w:ascii="宋体" w:hAnsi="宋体" w:eastAsia="宋体" w:cs="宋体"/>
                <w:color w:val="auto"/>
                <w:sz w:val="24"/>
                <w:szCs w:val="24"/>
              </w:rPr>
            </w:pPr>
          </w:p>
        </w:tc>
        <w:tc>
          <w:tcPr>
            <w:tcW w:w="775" w:type="dxa"/>
            <w:noWrap w:val="0"/>
            <w:vAlign w:val="top"/>
          </w:tcPr>
          <w:p w14:paraId="5E229610">
            <w:pPr>
              <w:spacing w:line="360" w:lineRule="auto"/>
              <w:rPr>
                <w:rFonts w:hint="eastAsia" w:ascii="宋体" w:hAnsi="宋体" w:eastAsia="宋体" w:cs="宋体"/>
                <w:color w:val="auto"/>
                <w:sz w:val="24"/>
                <w:szCs w:val="24"/>
              </w:rPr>
            </w:pPr>
          </w:p>
        </w:tc>
        <w:tc>
          <w:tcPr>
            <w:tcW w:w="775" w:type="dxa"/>
            <w:noWrap w:val="0"/>
            <w:vAlign w:val="top"/>
          </w:tcPr>
          <w:p w14:paraId="3233340B">
            <w:pPr>
              <w:spacing w:line="360" w:lineRule="auto"/>
              <w:rPr>
                <w:rFonts w:hint="eastAsia" w:ascii="宋体" w:hAnsi="宋体" w:eastAsia="宋体" w:cs="宋体"/>
                <w:color w:val="auto"/>
                <w:sz w:val="24"/>
                <w:szCs w:val="24"/>
              </w:rPr>
            </w:pPr>
          </w:p>
        </w:tc>
        <w:tc>
          <w:tcPr>
            <w:tcW w:w="775" w:type="dxa"/>
            <w:noWrap w:val="0"/>
            <w:vAlign w:val="top"/>
          </w:tcPr>
          <w:p w14:paraId="39D85CB9">
            <w:pPr>
              <w:spacing w:line="360" w:lineRule="auto"/>
              <w:rPr>
                <w:rFonts w:hint="eastAsia" w:ascii="宋体" w:hAnsi="宋体" w:eastAsia="宋体" w:cs="宋体"/>
                <w:color w:val="auto"/>
                <w:sz w:val="24"/>
                <w:szCs w:val="24"/>
              </w:rPr>
            </w:pPr>
          </w:p>
        </w:tc>
        <w:tc>
          <w:tcPr>
            <w:tcW w:w="1138" w:type="dxa"/>
            <w:noWrap w:val="0"/>
            <w:vAlign w:val="top"/>
          </w:tcPr>
          <w:p w14:paraId="20C424F9">
            <w:pPr>
              <w:spacing w:line="360" w:lineRule="auto"/>
              <w:rPr>
                <w:rFonts w:hint="eastAsia" w:ascii="宋体" w:hAnsi="宋体" w:eastAsia="宋体" w:cs="宋体"/>
                <w:color w:val="auto"/>
                <w:sz w:val="24"/>
                <w:szCs w:val="24"/>
              </w:rPr>
            </w:pPr>
          </w:p>
        </w:tc>
        <w:tc>
          <w:tcPr>
            <w:tcW w:w="1138" w:type="dxa"/>
            <w:noWrap w:val="0"/>
            <w:vAlign w:val="top"/>
          </w:tcPr>
          <w:p w14:paraId="6DCD2220">
            <w:pPr>
              <w:spacing w:line="360" w:lineRule="auto"/>
              <w:rPr>
                <w:rFonts w:hint="eastAsia" w:ascii="宋体" w:hAnsi="宋体" w:eastAsia="宋体" w:cs="宋体"/>
                <w:color w:val="auto"/>
                <w:sz w:val="24"/>
                <w:szCs w:val="24"/>
              </w:rPr>
            </w:pPr>
          </w:p>
        </w:tc>
        <w:tc>
          <w:tcPr>
            <w:tcW w:w="1138" w:type="dxa"/>
            <w:noWrap w:val="0"/>
            <w:vAlign w:val="top"/>
          </w:tcPr>
          <w:p w14:paraId="09B2F2E1">
            <w:pPr>
              <w:spacing w:line="360" w:lineRule="auto"/>
              <w:rPr>
                <w:rFonts w:hint="eastAsia" w:ascii="宋体" w:hAnsi="宋体" w:eastAsia="宋体" w:cs="宋体"/>
                <w:color w:val="auto"/>
                <w:sz w:val="24"/>
                <w:szCs w:val="24"/>
              </w:rPr>
            </w:pPr>
          </w:p>
        </w:tc>
        <w:tc>
          <w:tcPr>
            <w:tcW w:w="1138" w:type="dxa"/>
            <w:noWrap w:val="0"/>
            <w:vAlign w:val="top"/>
          </w:tcPr>
          <w:p w14:paraId="3E969C3C">
            <w:pPr>
              <w:spacing w:line="360" w:lineRule="auto"/>
              <w:rPr>
                <w:rFonts w:hint="eastAsia" w:ascii="宋体" w:hAnsi="宋体" w:eastAsia="宋体" w:cs="宋体"/>
                <w:color w:val="auto"/>
                <w:sz w:val="24"/>
                <w:szCs w:val="24"/>
              </w:rPr>
            </w:pPr>
          </w:p>
        </w:tc>
      </w:tr>
      <w:tr w14:paraId="2CAE4A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1E0E9D3B">
            <w:pPr>
              <w:spacing w:line="360" w:lineRule="auto"/>
              <w:rPr>
                <w:rFonts w:hint="eastAsia" w:ascii="宋体" w:hAnsi="宋体" w:eastAsia="宋体" w:cs="宋体"/>
                <w:color w:val="auto"/>
                <w:sz w:val="24"/>
                <w:szCs w:val="24"/>
              </w:rPr>
            </w:pPr>
          </w:p>
        </w:tc>
        <w:tc>
          <w:tcPr>
            <w:tcW w:w="1485" w:type="dxa"/>
            <w:noWrap w:val="0"/>
            <w:vAlign w:val="top"/>
          </w:tcPr>
          <w:p w14:paraId="0FF2383D">
            <w:pPr>
              <w:spacing w:line="360" w:lineRule="auto"/>
              <w:rPr>
                <w:rFonts w:hint="eastAsia" w:ascii="宋体" w:hAnsi="宋体" w:eastAsia="宋体" w:cs="宋体"/>
                <w:color w:val="auto"/>
                <w:sz w:val="24"/>
                <w:szCs w:val="24"/>
              </w:rPr>
            </w:pPr>
          </w:p>
        </w:tc>
        <w:tc>
          <w:tcPr>
            <w:tcW w:w="1303" w:type="dxa"/>
            <w:noWrap w:val="0"/>
            <w:vAlign w:val="top"/>
          </w:tcPr>
          <w:p w14:paraId="738DA18F">
            <w:pPr>
              <w:spacing w:line="360" w:lineRule="auto"/>
              <w:rPr>
                <w:rFonts w:hint="eastAsia" w:ascii="宋体" w:hAnsi="宋体" w:eastAsia="宋体" w:cs="宋体"/>
                <w:color w:val="auto"/>
                <w:sz w:val="24"/>
                <w:szCs w:val="24"/>
              </w:rPr>
            </w:pPr>
          </w:p>
        </w:tc>
        <w:tc>
          <w:tcPr>
            <w:tcW w:w="775" w:type="dxa"/>
            <w:noWrap w:val="0"/>
            <w:vAlign w:val="top"/>
          </w:tcPr>
          <w:p w14:paraId="1281F652">
            <w:pPr>
              <w:spacing w:line="360" w:lineRule="auto"/>
              <w:rPr>
                <w:rFonts w:hint="eastAsia" w:ascii="宋体" w:hAnsi="宋体" w:eastAsia="宋体" w:cs="宋体"/>
                <w:color w:val="auto"/>
                <w:sz w:val="24"/>
                <w:szCs w:val="24"/>
              </w:rPr>
            </w:pPr>
          </w:p>
        </w:tc>
        <w:tc>
          <w:tcPr>
            <w:tcW w:w="775" w:type="dxa"/>
            <w:noWrap w:val="0"/>
            <w:vAlign w:val="top"/>
          </w:tcPr>
          <w:p w14:paraId="46B93D69">
            <w:pPr>
              <w:spacing w:line="360" w:lineRule="auto"/>
              <w:rPr>
                <w:rFonts w:hint="eastAsia" w:ascii="宋体" w:hAnsi="宋体" w:eastAsia="宋体" w:cs="宋体"/>
                <w:color w:val="auto"/>
                <w:sz w:val="24"/>
                <w:szCs w:val="24"/>
              </w:rPr>
            </w:pPr>
          </w:p>
        </w:tc>
        <w:tc>
          <w:tcPr>
            <w:tcW w:w="775" w:type="dxa"/>
            <w:noWrap w:val="0"/>
            <w:vAlign w:val="top"/>
          </w:tcPr>
          <w:p w14:paraId="05AB1DD7">
            <w:pPr>
              <w:spacing w:line="360" w:lineRule="auto"/>
              <w:rPr>
                <w:rFonts w:hint="eastAsia" w:ascii="宋体" w:hAnsi="宋体" w:eastAsia="宋体" w:cs="宋体"/>
                <w:color w:val="auto"/>
                <w:sz w:val="24"/>
                <w:szCs w:val="24"/>
              </w:rPr>
            </w:pPr>
          </w:p>
        </w:tc>
        <w:tc>
          <w:tcPr>
            <w:tcW w:w="1138" w:type="dxa"/>
            <w:noWrap w:val="0"/>
            <w:vAlign w:val="top"/>
          </w:tcPr>
          <w:p w14:paraId="1B675583">
            <w:pPr>
              <w:spacing w:line="360" w:lineRule="auto"/>
              <w:rPr>
                <w:rFonts w:hint="eastAsia" w:ascii="宋体" w:hAnsi="宋体" w:eastAsia="宋体" w:cs="宋体"/>
                <w:color w:val="auto"/>
                <w:sz w:val="24"/>
                <w:szCs w:val="24"/>
              </w:rPr>
            </w:pPr>
          </w:p>
        </w:tc>
        <w:tc>
          <w:tcPr>
            <w:tcW w:w="1138" w:type="dxa"/>
            <w:noWrap w:val="0"/>
            <w:vAlign w:val="top"/>
          </w:tcPr>
          <w:p w14:paraId="45C39BF0">
            <w:pPr>
              <w:spacing w:line="360" w:lineRule="auto"/>
              <w:rPr>
                <w:rFonts w:hint="eastAsia" w:ascii="宋体" w:hAnsi="宋体" w:eastAsia="宋体" w:cs="宋体"/>
                <w:color w:val="auto"/>
                <w:sz w:val="24"/>
                <w:szCs w:val="24"/>
              </w:rPr>
            </w:pPr>
          </w:p>
        </w:tc>
        <w:tc>
          <w:tcPr>
            <w:tcW w:w="1138" w:type="dxa"/>
            <w:noWrap w:val="0"/>
            <w:vAlign w:val="top"/>
          </w:tcPr>
          <w:p w14:paraId="16CE516B">
            <w:pPr>
              <w:spacing w:line="360" w:lineRule="auto"/>
              <w:rPr>
                <w:rFonts w:hint="eastAsia" w:ascii="宋体" w:hAnsi="宋体" w:eastAsia="宋体" w:cs="宋体"/>
                <w:color w:val="auto"/>
                <w:sz w:val="24"/>
                <w:szCs w:val="24"/>
              </w:rPr>
            </w:pPr>
          </w:p>
        </w:tc>
        <w:tc>
          <w:tcPr>
            <w:tcW w:w="1138" w:type="dxa"/>
            <w:noWrap w:val="0"/>
            <w:vAlign w:val="top"/>
          </w:tcPr>
          <w:p w14:paraId="33489FCA">
            <w:pPr>
              <w:spacing w:line="360" w:lineRule="auto"/>
              <w:rPr>
                <w:rFonts w:hint="eastAsia" w:ascii="宋体" w:hAnsi="宋体" w:eastAsia="宋体" w:cs="宋体"/>
                <w:color w:val="auto"/>
                <w:sz w:val="24"/>
                <w:szCs w:val="24"/>
              </w:rPr>
            </w:pPr>
          </w:p>
        </w:tc>
      </w:tr>
      <w:tr w14:paraId="3B24C2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60F0FDFD">
            <w:pPr>
              <w:spacing w:line="360" w:lineRule="auto"/>
              <w:rPr>
                <w:rFonts w:hint="eastAsia" w:ascii="宋体" w:hAnsi="宋体" w:eastAsia="宋体" w:cs="宋体"/>
                <w:color w:val="auto"/>
                <w:sz w:val="24"/>
                <w:szCs w:val="24"/>
              </w:rPr>
            </w:pPr>
          </w:p>
        </w:tc>
        <w:tc>
          <w:tcPr>
            <w:tcW w:w="1485" w:type="dxa"/>
            <w:noWrap w:val="0"/>
            <w:vAlign w:val="top"/>
          </w:tcPr>
          <w:p w14:paraId="33CEECDF">
            <w:pPr>
              <w:spacing w:line="360" w:lineRule="auto"/>
              <w:rPr>
                <w:rFonts w:hint="eastAsia" w:ascii="宋体" w:hAnsi="宋体" w:eastAsia="宋体" w:cs="宋体"/>
                <w:color w:val="auto"/>
                <w:sz w:val="24"/>
                <w:szCs w:val="24"/>
              </w:rPr>
            </w:pPr>
          </w:p>
        </w:tc>
        <w:tc>
          <w:tcPr>
            <w:tcW w:w="1303" w:type="dxa"/>
            <w:noWrap w:val="0"/>
            <w:vAlign w:val="top"/>
          </w:tcPr>
          <w:p w14:paraId="1AF71FD3">
            <w:pPr>
              <w:spacing w:line="360" w:lineRule="auto"/>
              <w:rPr>
                <w:rFonts w:hint="eastAsia" w:ascii="宋体" w:hAnsi="宋体" w:eastAsia="宋体" w:cs="宋体"/>
                <w:color w:val="auto"/>
                <w:sz w:val="24"/>
                <w:szCs w:val="24"/>
              </w:rPr>
            </w:pPr>
          </w:p>
        </w:tc>
        <w:tc>
          <w:tcPr>
            <w:tcW w:w="775" w:type="dxa"/>
            <w:noWrap w:val="0"/>
            <w:vAlign w:val="top"/>
          </w:tcPr>
          <w:p w14:paraId="5F69E095">
            <w:pPr>
              <w:spacing w:line="360" w:lineRule="auto"/>
              <w:rPr>
                <w:rFonts w:hint="eastAsia" w:ascii="宋体" w:hAnsi="宋体" w:eastAsia="宋体" w:cs="宋体"/>
                <w:color w:val="auto"/>
                <w:sz w:val="24"/>
                <w:szCs w:val="24"/>
              </w:rPr>
            </w:pPr>
          </w:p>
        </w:tc>
        <w:tc>
          <w:tcPr>
            <w:tcW w:w="775" w:type="dxa"/>
            <w:noWrap w:val="0"/>
            <w:vAlign w:val="top"/>
          </w:tcPr>
          <w:p w14:paraId="470E5A12">
            <w:pPr>
              <w:spacing w:line="360" w:lineRule="auto"/>
              <w:rPr>
                <w:rFonts w:hint="eastAsia" w:ascii="宋体" w:hAnsi="宋体" w:eastAsia="宋体" w:cs="宋体"/>
                <w:color w:val="auto"/>
                <w:sz w:val="24"/>
                <w:szCs w:val="24"/>
              </w:rPr>
            </w:pPr>
          </w:p>
        </w:tc>
        <w:tc>
          <w:tcPr>
            <w:tcW w:w="775" w:type="dxa"/>
            <w:noWrap w:val="0"/>
            <w:vAlign w:val="top"/>
          </w:tcPr>
          <w:p w14:paraId="5D15D260">
            <w:pPr>
              <w:spacing w:line="360" w:lineRule="auto"/>
              <w:rPr>
                <w:rFonts w:hint="eastAsia" w:ascii="宋体" w:hAnsi="宋体" w:eastAsia="宋体" w:cs="宋体"/>
                <w:color w:val="auto"/>
                <w:sz w:val="24"/>
                <w:szCs w:val="24"/>
              </w:rPr>
            </w:pPr>
          </w:p>
        </w:tc>
        <w:tc>
          <w:tcPr>
            <w:tcW w:w="1138" w:type="dxa"/>
            <w:noWrap w:val="0"/>
            <w:vAlign w:val="top"/>
          </w:tcPr>
          <w:p w14:paraId="076815F7">
            <w:pPr>
              <w:spacing w:line="360" w:lineRule="auto"/>
              <w:rPr>
                <w:rFonts w:hint="eastAsia" w:ascii="宋体" w:hAnsi="宋体" w:eastAsia="宋体" w:cs="宋体"/>
                <w:color w:val="auto"/>
                <w:sz w:val="24"/>
                <w:szCs w:val="24"/>
              </w:rPr>
            </w:pPr>
          </w:p>
        </w:tc>
        <w:tc>
          <w:tcPr>
            <w:tcW w:w="1138" w:type="dxa"/>
            <w:noWrap w:val="0"/>
            <w:vAlign w:val="top"/>
          </w:tcPr>
          <w:p w14:paraId="5640DB56">
            <w:pPr>
              <w:spacing w:line="360" w:lineRule="auto"/>
              <w:rPr>
                <w:rFonts w:hint="eastAsia" w:ascii="宋体" w:hAnsi="宋体" w:eastAsia="宋体" w:cs="宋体"/>
                <w:color w:val="auto"/>
                <w:sz w:val="24"/>
                <w:szCs w:val="24"/>
              </w:rPr>
            </w:pPr>
          </w:p>
        </w:tc>
        <w:tc>
          <w:tcPr>
            <w:tcW w:w="1138" w:type="dxa"/>
            <w:noWrap w:val="0"/>
            <w:vAlign w:val="top"/>
          </w:tcPr>
          <w:p w14:paraId="3B885F3B">
            <w:pPr>
              <w:spacing w:line="360" w:lineRule="auto"/>
              <w:rPr>
                <w:rFonts w:hint="eastAsia" w:ascii="宋体" w:hAnsi="宋体" w:eastAsia="宋体" w:cs="宋体"/>
                <w:color w:val="auto"/>
                <w:sz w:val="24"/>
                <w:szCs w:val="24"/>
              </w:rPr>
            </w:pPr>
          </w:p>
        </w:tc>
        <w:tc>
          <w:tcPr>
            <w:tcW w:w="1138" w:type="dxa"/>
            <w:noWrap w:val="0"/>
            <w:vAlign w:val="top"/>
          </w:tcPr>
          <w:p w14:paraId="7116A9CC">
            <w:pPr>
              <w:spacing w:line="360" w:lineRule="auto"/>
              <w:rPr>
                <w:rFonts w:hint="eastAsia" w:ascii="宋体" w:hAnsi="宋体" w:eastAsia="宋体" w:cs="宋体"/>
                <w:color w:val="auto"/>
                <w:sz w:val="24"/>
                <w:szCs w:val="24"/>
              </w:rPr>
            </w:pPr>
          </w:p>
        </w:tc>
      </w:tr>
      <w:tr w14:paraId="730955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24EE3482">
            <w:pPr>
              <w:spacing w:line="360" w:lineRule="auto"/>
              <w:rPr>
                <w:rFonts w:hint="eastAsia" w:ascii="宋体" w:hAnsi="宋体" w:eastAsia="宋体" w:cs="宋体"/>
                <w:color w:val="auto"/>
                <w:sz w:val="24"/>
                <w:szCs w:val="24"/>
              </w:rPr>
            </w:pPr>
          </w:p>
        </w:tc>
        <w:tc>
          <w:tcPr>
            <w:tcW w:w="1485" w:type="dxa"/>
            <w:noWrap w:val="0"/>
            <w:vAlign w:val="top"/>
          </w:tcPr>
          <w:p w14:paraId="537306B4">
            <w:pPr>
              <w:spacing w:line="360" w:lineRule="auto"/>
              <w:rPr>
                <w:rFonts w:hint="eastAsia" w:ascii="宋体" w:hAnsi="宋体" w:eastAsia="宋体" w:cs="宋体"/>
                <w:color w:val="auto"/>
                <w:sz w:val="24"/>
                <w:szCs w:val="24"/>
              </w:rPr>
            </w:pPr>
          </w:p>
        </w:tc>
        <w:tc>
          <w:tcPr>
            <w:tcW w:w="1303" w:type="dxa"/>
            <w:noWrap w:val="0"/>
            <w:vAlign w:val="top"/>
          </w:tcPr>
          <w:p w14:paraId="1877C64B">
            <w:pPr>
              <w:spacing w:line="360" w:lineRule="auto"/>
              <w:rPr>
                <w:rFonts w:hint="eastAsia" w:ascii="宋体" w:hAnsi="宋体" w:eastAsia="宋体" w:cs="宋体"/>
                <w:color w:val="auto"/>
                <w:sz w:val="24"/>
                <w:szCs w:val="24"/>
              </w:rPr>
            </w:pPr>
          </w:p>
        </w:tc>
        <w:tc>
          <w:tcPr>
            <w:tcW w:w="775" w:type="dxa"/>
            <w:noWrap w:val="0"/>
            <w:vAlign w:val="top"/>
          </w:tcPr>
          <w:p w14:paraId="16BA6A14">
            <w:pPr>
              <w:spacing w:line="360" w:lineRule="auto"/>
              <w:rPr>
                <w:rFonts w:hint="eastAsia" w:ascii="宋体" w:hAnsi="宋体" w:eastAsia="宋体" w:cs="宋体"/>
                <w:color w:val="auto"/>
                <w:sz w:val="24"/>
                <w:szCs w:val="24"/>
              </w:rPr>
            </w:pPr>
          </w:p>
        </w:tc>
        <w:tc>
          <w:tcPr>
            <w:tcW w:w="775" w:type="dxa"/>
            <w:noWrap w:val="0"/>
            <w:vAlign w:val="top"/>
          </w:tcPr>
          <w:p w14:paraId="23129FAB">
            <w:pPr>
              <w:spacing w:line="360" w:lineRule="auto"/>
              <w:rPr>
                <w:rFonts w:hint="eastAsia" w:ascii="宋体" w:hAnsi="宋体" w:eastAsia="宋体" w:cs="宋体"/>
                <w:color w:val="auto"/>
                <w:sz w:val="24"/>
                <w:szCs w:val="24"/>
              </w:rPr>
            </w:pPr>
          </w:p>
        </w:tc>
        <w:tc>
          <w:tcPr>
            <w:tcW w:w="775" w:type="dxa"/>
            <w:noWrap w:val="0"/>
            <w:vAlign w:val="top"/>
          </w:tcPr>
          <w:p w14:paraId="10448949">
            <w:pPr>
              <w:spacing w:line="360" w:lineRule="auto"/>
              <w:rPr>
                <w:rFonts w:hint="eastAsia" w:ascii="宋体" w:hAnsi="宋体" w:eastAsia="宋体" w:cs="宋体"/>
                <w:color w:val="auto"/>
                <w:sz w:val="24"/>
                <w:szCs w:val="24"/>
              </w:rPr>
            </w:pPr>
          </w:p>
        </w:tc>
        <w:tc>
          <w:tcPr>
            <w:tcW w:w="1138" w:type="dxa"/>
            <w:noWrap w:val="0"/>
            <w:vAlign w:val="top"/>
          </w:tcPr>
          <w:p w14:paraId="7650BD48">
            <w:pPr>
              <w:spacing w:line="360" w:lineRule="auto"/>
              <w:rPr>
                <w:rFonts w:hint="eastAsia" w:ascii="宋体" w:hAnsi="宋体" w:eastAsia="宋体" w:cs="宋体"/>
                <w:color w:val="auto"/>
                <w:sz w:val="24"/>
                <w:szCs w:val="24"/>
              </w:rPr>
            </w:pPr>
          </w:p>
        </w:tc>
        <w:tc>
          <w:tcPr>
            <w:tcW w:w="1138" w:type="dxa"/>
            <w:noWrap w:val="0"/>
            <w:vAlign w:val="top"/>
          </w:tcPr>
          <w:p w14:paraId="1E011220">
            <w:pPr>
              <w:spacing w:line="360" w:lineRule="auto"/>
              <w:rPr>
                <w:rFonts w:hint="eastAsia" w:ascii="宋体" w:hAnsi="宋体" w:eastAsia="宋体" w:cs="宋体"/>
                <w:color w:val="auto"/>
                <w:sz w:val="24"/>
                <w:szCs w:val="24"/>
              </w:rPr>
            </w:pPr>
          </w:p>
        </w:tc>
        <w:tc>
          <w:tcPr>
            <w:tcW w:w="1138" w:type="dxa"/>
            <w:noWrap w:val="0"/>
            <w:vAlign w:val="top"/>
          </w:tcPr>
          <w:p w14:paraId="69E22FA5">
            <w:pPr>
              <w:spacing w:line="360" w:lineRule="auto"/>
              <w:rPr>
                <w:rFonts w:hint="eastAsia" w:ascii="宋体" w:hAnsi="宋体" w:eastAsia="宋体" w:cs="宋体"/>
                <w:color w:val="auto"/>
                <w:sz w:val="24"/>
                <w:szCs w:val="24"/>
              </w:rPr>
            </w:pPr>
          </w:p>
        </w:tc>
        <w:tc>
          <w:tcPr>
            <w:tcW w:w="1138" w:type="dxa"/>
            <w:noWrap w:val="0"/>
            <w:vAlign w:val="top"/>
          </w:tcPr>
          <w:p w14:paraId="5E929FDE">
            <w:pPr>
              <w:spacing w:line="360" w:lineRule="auto"/>
              <w:rPr>
                <w:rFonts w:hint="eastAsia" w:ascii="宋体" w:hAnsi="宋体" w:eastAsia="宋体" w:cs="宋体"/>
                <w:color w:val="auto"/>
                <w:sz w:val="24"/>
                <w:szCs w:val="24"/>
              </w:rPr>
            </w:pPr>
          </w:p>
        </w:tc>
      </w:tr>
      <w:tr w14:paraId="07719F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2491708F">
            <w:pPr>
              <w:spacing w:line="360" w:lineRule="auto"/>
              <w:rPr>
                <w:rFonts w:hint="eastAsia" w:ascii="宋体" w:hAnsi="宋体" w:eastAsia="宋体" w:cs="宋体"/>
                <w:color w:val="auto"/>
                <w:sz w:val="24"/>
                <w:szCs w:val="24"/>
              </w:rPr>
            </w:pPr>
          </w:p>
        </w:tc>
        <w:tc>
          <w:tcPr>
            <w:tcW w:w="1485" w:type="dxa"/>
            <w:noWrap w:val="0"/>
            <w:vAlign w:val="top"/>
          </w:tcPr>
          <w:p w14:paraId="02576D85">
            <w:pPr>
              <w:spacing w:line="360" w:lineRule="auto"/>
              <w:rPr>
                <w:rFonts w:hint="eastAsia" w:ascii="宋体" w:hAnsi="宋体" w:eastAsia="宋体" w:cs="宋体"/>
                <w:color w:val="auto"/>
                <w:sz w:val="24"/>
                <w:szCs w:val="24"/>
              </w:rPr>
            </w:pPr>
          </w:p>
        </w:tc>
        <w:tc>
          <w:tcPr>
            <w:tcW w:w="1303" w:type="dxa"/>
            <w:noWrap w:val="0"/>
            <w:vAlign w:val="top"/>
          </w:tcPr>
          <w:p w14:paraId="0C0DA36C">
            <w:pPr>
              <w:spacing w:line="360" w:lineRule="auto"/>
              <w:rPr>
                <w:rFonts w:hint="eastAsia" w:ascii="宋体" w:hAnsi="宋体" w:eastAsia="宋体" w:cs="宋体"/>
                <w:color w:val="auto"/>
                <w:sz w:val="24"/>
                <w:szCs w:val="24"/>
              </w:rPr>
            </w:pPr>
          </w:p>
        </w:tc>
        <w:tc>
          <w:tcPr>
            <w:tcW w:w="775" w:type="dxa"/>
            <w:noWrap w:val="0"/>
            <w:vAlign w:val="top"/>
          </w:tcPr>
          <w:p w14:paraId="3089007B">
            <w:pPr>
              <w:spacing w:line="360" w:lineRule="auto"/>
              <w:rPr>
                <w:rFonts w:hint="eastAsia" w:ascii="宋体" w:hAnsi="宋体" w:eastAsia="宋体" w:cs="宋体"/>
                <w:color w:val="auto"/>
                <w:sz w:val="24"/>
                <w:szCs w:val="24"/>
              </w:rPr>
            </w:pPr>
          </w:p>
        </w:tc>
        <w:tc>
          <w:tcPr>
            <w:tcW w:w="775" w:type="dxa"/>
            <w:noWrap w:val="0"/>
            <w:vAlign w:val="top"/>
          </w:tcPr>
          <w:p w14:paraId="1A921B26">
            <w:pPr>
              <w:spacing w:line="360" w:lineRule="auto"/>
              <w:rPr>
                <w:rFonts w:hint="eastAsia" w:ascii="宋体" w:hAnsi="宋体" w:eastAsia="宋体" w:cs="宋体"/>
                <w:color w:val="auto"/>
                <w:sz w:val="24"/>
                <w:szCs w:val="24"/>
              </w:rPr>
            </w:pPr>
          </w:p>
        </w:tc>
        <w:tc>
          <w:tcPr>
            <w:tcW w:w="775" w:type="dxa"/>
            <w:noWrap w:val="0"/>
            <w:vAlign w:val="top"/>
          </w:tcPr>
          <w:p w14:paraId="36A888FD">
            <w:pPr>
              <w:spacing w:line="360" w:lineRule="auto"/>
              <w:rPr>
                <w:rFonts w:hint="eastAsia" w:ascii="宋体" w:hAnsi="宋体" w:eastAsia="宋体" w:cs="宋体"/>
                <w:color w:val="auto"/>
                <w:sz w:val="24"/>
                <w:szCs w:val="24"/>
              </w:rPr>
            </w:pPr>
          </w:p>
        </w:tc>
        <w:tc>
          <w:tcPr>
            <w:tcW w:w="1138" w:type="dxa"/>
            <w:noWrap w:val="0"/>
            <w:vAlign w:val="top"/>
          </w:tcPr>
          <w:p w14:paraId="3092F418">
            <w:pPr>
              <w:spacing w:line="360" w:lineRule="auto"/>
              <w:rPr>
                <w:rFonts w:hint="eastAsia" w:ascii="宋体" w:hAnsi="宋体" w:eastAsia="宋体" w:cs="宋体"/>
                <w:color w:val="auto"/>
                <w:sz w:val="24"/>
                <w:szCs w:val="24"/>
              </w:rPr>
            </w:pPr>
          </w:p>
        </w:tc>
        <w:tc>
          <w:tcPr>
            <w:tcW w:w="1138" w:type="dxa"/>
            <w:noWrap w:val="0"/>
            <w:vAlign w:val="top"/>
          </w:tcPr>
          <w:p w14:paraId="274B8689">
            <w:pPr>
              <w:spacing w:line="360" w:lineRule="auto"/>
              <w:rPr>
                <w:rFonts w:hint="eastAsia" w:ascii="宋体" w:hAnsi="宋体" w:eastAsia="宋体" w:cs="宋体"/>
                <w:color w:val="auto"/>
                <w:sz w:val="24"/>
                <w:szCs w:val="24"/>
              </w:rPr>
            </w:pPr>
          </w:p>
        </w:tc>
        <w:tc>
          <w:tcPr>
            <w:tcW w:w="1138" w:type="dxa"/>
            <w:noWrap w:val="0"/>
            <w:vAlign w:val="top"/>
          </w:tcPr>
          <w:p w14:paraId="2EF76FAE">
            <w:pPr>
              <w:spacing w:line="360" w:lineRule="auto"/>
              <w:rPr>
                <w:rFonts w:hint="eastAsia" w:ascii="宋体" w:hAnsi="宋体" w:eastAsia="宋体" w:cs="宋体"/>
                <w:color w:val="auto"/>
                <w:sz w:val="24"/>
                <w:szCs w:val="24"/>
              </w:rPr>
            </w:pPr>
          </w:p>
        </w:tc>
        <w:tc>
          <w:tcPr>
            <w:tcW w:w="1138" w:type="dxa"/>
            <w:noWrap w:val="0"/>
            <w:vAlign w:val="top"/>
          </w:tcPr>
          <w:p w14:paraId="4A911678">
            <w:pPr>
              <w:spacing w:line="360" w:lineRule="auto"/>
              <w:rPr>
                <w:rFonts w:hint="eastAsia" w:ascii="宋体" w:hAnsi="宋体" w:eastAsia="宋体" w:cs="宋体"/>
                <w:color w:val="auto"/>
                <w:sz w:val="24"/>
                <w:szCs w:val="24"/>
              </w:rPr>
            </w:pPr>
          </w:p>
        </w:tc>
      </w:tr>
      <w:tr w14:paraId="7D3855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0FD94BB2">
            <w:pPr>
              <w:spacing w:line="360" w:lineRule="auto"/>
              <w:rPr>
                <w:rFonts w:hint="eastAsia" w:ascii="宋体" w:hAnsi="宋体" w:eastAsia="宋体" w:cs="宋体"/>
                <w:color w:val="auto"/>
                <w:sz w:val="24"/>
                <w:szCs w:val="24"/>
              </w:rPr>
            </w:pPr>
          </w:p>
        </w:tc>
        <w:tc>
          <w:tcPr>
            <w:tcW w:w="1485" w:type="dxa"/>
            <w:noWrap w:val="0"/>
            <w:vAlign w:val="top"/>
          </w:tcPr>
          <w:p w14:paraId="2E262BFA">
            <w:pPr>
              <w:spacing w:line="360" w:lineRule="auto"/>
              <w:rPr>
                <w:rFonts w:hint="eastAsia" w:ascii="宋体" w:hAnsi="宋体" w:eastAsia="宋体" w:cs="宋体"/>
                <w:color w:val="auto"/>
                <w:sz w:val="24"/>
                <w:szCs w:val="24"/>
              </w:rPr>
            </w:pPr>
          </w:p>
        </w:tc>
        <w:tc>
          <w:tcPr>
            <w:tcW w:w="1303" w:type="dxa"/>
            <w:noWrap w:val="0"/>
            <w:vAlign w:val="top"/>
          </w:tcPr>
          <w:p w14:paraId="692EC318">
            <w:pPr>
              <w:spacing w:line="360" w:lineRule="auto"/>
              <w:rPr>
                <w:rFonts w:hint="eastAsia" w:ascii="宋体" w:hAnsi="宋体" w:eastAsia="宋体" w:cs="宋体"/>
                <w:color w:val="auto"/>
                <w:sz w:val="24"/>
                <w:szCs w:val="24"/>
              </w:rPr>
            </w:pPr>
          </w:p>
        </w:tc>
        <w:tc>
          <w:tcPr>
            <w:tcW w:w="775" w:type="dxa"/>
            <w:noWrap w:val="0"/>
            <w:vAlign w:val="top"/>
          </w:tcPr>
          <w:p w14:paraId="16A165AD">
            <w:pPr>
              <w:spacing w:line="360" w:lineRule="auto"/>
              <w:rPr>
                <w:rFonts w:hint="eastAsia" w:ascii="宋体" w:hAnsi="宋体" w:eastAsia="宋体" w:cs="宋体"/>
                <w:color w:val="auto"/>
                <w:sz w:val="24"/>
                <w:szCs w:val="24"/>
              </w:rPr>
            </w:pPr>
          </w:p>
        </w:tc>
        <w:tc>
          <w:tcPr>
            <w:tcW w:w="775" w:type="dxa"/>
            <w:noWrap w:val="0"/>
            <w:vAlign w:val="top"/>
          </w:tcPr>
          <w:p w14:paraId="384D5B3D">
            <w:pPr>
              <w:spacing w:line="360" w:lineRule="auto"/>
              <w:rPr>
                <w:rFonts w:hint="eastAsia" w:ascii="宋体" w:hAnsi="宋体" w:eastAsia="宋体" w:cs="宋体"/>
                <w:color w:val="auto"/>
                <w:sz w:val="24"/>
                <w:szCs w:val="24"/>
              </w:rPr>
            </w:pPr>
          </w:p>
        </w:tc>
        <w:tc>
          <w:tcPr>
            <w:tcW w:w="775" w:type="dxa"/>
            <w:noWrap w:val="0"/>
            <w:vAlign w:val="top"/>
          </w:tcPr>
          <w:p w14:paraId="23BBFC8D">
            <w:pPr>
              <w:spacing w:line="360" w:lineRule="auto"/>
              <w:rPr>
                <w:rFonts w:hint="eastAsia" w:ascii="宋体" w:hAnsi="宋体" w:eastAsia="宋体" w:cs="宋体"/>
                <w:color w:val="auto"/>
                <w:sz w:val="24"/>
                <w:szCs w:val="24"/>
              </w:rPr>
            </w:pPr>
          </w:p>
        </w:tc>
        <w:tc>
          <w:tcPr>
            <w:tcW w:w="1138" w:type="dxa"/>
            <w:noWrap w:val="0"/>
            <w:vAlign w:val="top"/>
          </w:tcPr>
          <w:p w14:paraId="5C42588A">
            <w:pPr>
              <w:spacing w:line="360" w:lineRule="auto"/>
              <w:rPr>
                <w:rFonts w:hint="eastAsia" w:ascii="宋体" w:hAnsi="宋体" w:eastAsia="宋体" w:cs="宋体"/>
                <w:color w:val="auto"/>
                <w:sz w:val="24"/>
                <w:szCs w:val="24"/>
              </w:rPr>
            </w:pPr>
          </w:p>
        </w:tc>
        <w:tc>
          <w:tcPr>
            <w:tcW w:w="1138" w:type="dxa"/>
            <w:noWrap w:val="0"/>
            <w:vAlign w:val="top"/>
          </w:tcPr>
          <w:p w14:paraId="67C3E3FA">
            <w:pPr>
              <w:spacing w:line="360" w:lineRule="auto"/>
              <w:rPr>
                <w:rFonts w:hint="eastAsia" w:ascii="宋体" w:hAnsi="宋体" w:eastAsia="宋体" w:cs="宋体"/>
                <w:color w:val="auto"/>
                <w:sz w:val="24"/>
                <w:szCs w:val="24"/>
              </w:rPr>
            </w:pPr>
          </w:p>
        </w:tc>
        <w:tc>
          <w:tcPr>
            <w:tcW w:w="1138" w:type="dxa"/>
            <w:noWrap w:val="0"/>
            <w:vAlign w:val="top"/>
          </w:tcPr>
          <w:p w14:paraId="57B2718C">
            <w:pPr>
              <w:spacing w:line="360" w:lineRule="auto"/>
              <w:rPr>
                <w:rFonts w:hint="eastAsia" w:ascii="宋体" w:hAnsi="宋体" w:eastAsia="宋体" w:cs="宋体"/>
                <w:color w:val="auto"/>
                <w:sz w:val="24"/>
                <w:szCs w:val="24"/>
              </w:rPr>
            </w:pPr>
          </w:p>
        </w:tc>
        <w:tc>
          <w:tcPr>
            <w:tcW w:w="1138" w:type="dxa"/>
            <w:noWrap w:val="0"/>
            <w:vAlign w:val="top"/>
          </w:tcPr>
          <w:p w14:paraId="4821B7AB">
            <w:pPr>
              <w:spacing w:line="360" w:lineRule="auto"/>
              <w:rPr>
                <w:rFonts w:hint="eastAsia" w:ascii="宋体" w:hAnsi="宋体" w:eastAsia="宋体" w:cs="宋体"/>
                <w:color w:val="auto"/>
                <w:sz w:val="24"/>
                <w:szCs w:val="24"/>
              </w:rPr>
            </w:pPr>
          </w:p>
        </w:tc>
      </w:tr>
      <w:tr w14:paraId="4D2A87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5EF94AED">
            <w:pPr>
              <w:spacing w:line="360" w:lineRule="auto"/>
              <w:rPr>
                <w:rFonts w:hint="eastAsia" w:ascii="宋体" w:hAnsi="宋体" w:eastAsia="宋体" w:cs="宋体"/>
                <w:color w:val="auto"/>
                <w:sz w:val="24"/>
                <w:szCs w:val="24"/>
              </w:rPr>
            </w:pPr>
          </w:p>
        </w:tc>
        <w:tc>
          <w:tcPr>
            <w:tcW w:w="1485" w:type="dxa"/>
            <w:noWrap w:val="0"/>
            <w:vAlign w:val="top"/>
          </w:tcPr>
          <w:p w14:paraId="26E64BDD">
            <w:pPr>
              <w:spacing w:line="360" w:lineRule="auto"/>
              <w:rPr>
                <w:rFonts w:hint="eastAsia" w:ascii="宋体" w:hAnsi="宋体" w:eastAsia="宋体" w:cs="宋体"/>
                <w:color w:val="auto"/>
                <w:sz w:val="24"/>
                <w:szCs w:val="24"/>
              </w:rPr>
            </w:pPr>
          </w:p>
        </w:tc>
        <w:tc>
          <w:tcPr>
            <w:tcW w:w="1303" w:type="dxa"/>
            <w:noWrap w:val="0"/>
            <w:vAlign w:val="top"/>
          </w:tcPr>
          <w:p w14:paraId="2688D82C">
            <w:pPr>
              <w:spacing w:line="360" w:lineRule="auto"/>
              <w:rPr>
                <w:rFonts w:hint="eastAsia" w:ascii="宋体" w:hAnsi="宋体" w:eastAsia="宋体" w:cs="宋体"/>
                <w:color w:val="auto"/>
                <w:sz w:val="24"/>
                <w:szCs w:val="24"/>
              </w:rPr>
            </w:pPr>
          </w:p>
        </w:tc>
        <w:tc>
          <w:tcPr>
            <w:tcW w:w="775" w:type="dxa"/>
            <w:noWrap w:val="0"/>
            <w:vAlign w:val="top"/>
          </w:tcPr>
          <w:p w14:paraId="00E6DCEB">
            <w:pPr>
              <w:spacing w:line="360" w:lineRule="auto"/>
              <w:rPr>
                <w:rFonts w:hint="eastAsia" w:ascii="宋体" w:hAnsi="宋体" w:eastAsia="宋体" w:cs="宋体"/>
                <w:color w:val="auto"/>
                <w:sz w:val="24"/>
                <w:szCs w:val="24"/>
              </w:rPr>
            </w:pPr>
          </w:p>
        </w:tc>
        <w:tc>
          <w:tcPr>
            <w:tcW w:w="775" w:type="dxa"/>
            <w:noWrap w:val="0"/>
            <w:vAlign w:val="top"/>
          </w:tcPr>
          <w:p w14:paraId="5EF6005C">
            <w:pPr>
              <w:spacing w:line="360" w:lineRule="auto"/>
              <w:rPr>
                <w:rFonts w:hint="eastAsia" w:ascii="宋体" w:hAnsi="宋体" w:eastAsia="宋体" w:cs="宋体"/>
                <w:color w:val="auto"/>
                <w:sz w:val="24"/>
                <w:szCs w:val="24"/>
              </w:rPr>
            </w:pPr>
          </w:p>
        </w:tc>
        <w:tc>
          <w:tcPr>
            <w:tcW w:w="775" w:type="dxa"/>
            <w:noWrap w:val="0"/>
            <w:vAlign w:val="top"/>
          </w:tcPr>
          <w:p w14:paraId="25817182">
            <w:pPr>
              <w:spacing w:line="360" w:lineRule="auto"/>
              <w:rPr>
                <w:rFonts w:hint="eastAsia" w:ascii="宋体" w:hAnsi="宋体" w:eastAsia="宋体" w:cs="宋体"/>
                <w:color w:val="auto"/>
                <w:sz w:val="24"/>
                <w:szCs w:val="24"/>
              </w:rPr>
            </w:pPr>
          </w:p>
        </w:tc>
        <w:tc>
          <w:tcPr>
            <w:tcW w:w="1138" w:type="dxa"/>
            <w:noWrap w:val="0"/>
            <w:vAlign w:val="top"/>
          </w:tcPr>
          <w:p w14:paraId="24F8A499">
            <w:pPr>
              <w:spacing w:line="360" w:lineRule="auto"/>
              <w:rPr>
                <w:rFonts w:hint="eastAsia" w:ascii="宋体" w:hAnsi="宋体" w:eastAsia="宋体" w:cs="宋体"/>
                <w:color w:val="auto"/>
                <w:sz w:val="24"/>
                <w:szCs w:val="24"/>
              </w:rPr>
            </w:pPr>
          </w:p>
        </w:tc>
        <w:tc>
          <w:tcPr>
            <w:tcW w:w="1138" w:type="dxa"/>
            <w:noWrap w:val="0"/>
            <w:vAlign w:val="top"/>
          </w:tcPr>
          <w:p w14:paraId="4788327C">
            <w:pPr>
              <w:spacing w:line="360" w:lineRule="auto"/>
              <w:rPr>
                <w:rFonts w:hint="eastAsia" w:ascii="宋体" w:hAnsi="宋体" w:eastAsia="宋体" w:cs="宋体"/>
                <w:color w:val="auto"/>
                <w:sz w:val="24"/>
                <w:szCs w:val="24"/>
              </w:rPr>
            </w:pPr>
          </w:p>
        </w:tc>
        <w:tc>
          <w:tcPr>
            <w:tcW w:w="1138" w:type="dxa"/>
            <w:noWrap w:val="0"/>
            <w:vAlign w:val="top"/>
          </w:tcPr>
          <w:p w14:paraId="18A2DD63">
            <w:pPr>
              <w:spacing w:line="360" w:lineRule="auto"/>
              <w:rPr>
                <w:rFonts w:hint="eastAsia" w:ascii="宋体" w:hAnsi="宋体" w:eastAsia="宋体" w:cs="宋体"/>
                <w:color w:val="auto"/>
                <w:sz w:val="24"/>
                <w:szCs w:val="24"/>
              </w:rPr>
            </w:pPr>
          </w:p>
        </w:tc>
        <w:tc>
          <w:tcPr>
            <w:tcW w:w="1138" w:type="dxa"/>
            <w:noWrap w:val="0"/>
            <w:vAlign w:val="top"/>
          </w:tcPr>
          <w:p w14:paraId="4A2CF6CE">
            <w:pPr>
              <w:spacing w:line="360" w:lineRule="auto"/>
              <w:rPr>
                <w:rFonts w:hint="eastAsia" w:ascii="宋体" w:hAnsi="宋体" w:eastAsia="宋体" w:cs="宋体"/>
                <w:color w:val="auto"/>
                <w:sz w:val="24"/>
                <w:szCs w:val="24"/>
              </w:rPr>
            </w:pPr>
          </w:p>
        </w:tc>
      </w:tr>
      <w:tr w14:paraId="623FC2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3EAA0AEA">
            <w:pPr>
              <w:spacing w:line="360" w:lineRule="auto"/>
              <w:rPr>
                <w:rFonts w:hint="eastAsia" w:ascii="宋体" w:hAnsi="宋体" w:eastAsia="宋体" w:cs="宋体"/>
                <w:color w:val="auto"/>
                <w:sz w:val="24"/>
                <w:szCs w:val="24"/>
              </w:rPr>
            </w:pPr>
          </w:p>
        </w:tc>
        <w:tc>
          <w:tcPr>
            <w:tcW w:w="1485" w:type="dxa"/>
            <w:noWrap w:val="0"/>
            <w:vAlign w:val="top"/>
          </w:tcPr>
          <w:p w14:paraId="5A32B60A">
            <w:pPr>
              <w:spacing w:line="360" w:lineRule="auto"/>
              <w:rPr>
                <w:rFonts w:hint="eastAsia" w:ascii="宋体" w:hAnsi="宋体" w:eastAsia="宋体" w:cs="宋体"/>
                <w:color w:val="auto"/>
                <w:sz w:val="24"/>
                <w:szCs w:val="24"/>
              </w:rPr>
            </w:pPr>
          </w:p>
        </w:tc>
        <w:tc>
          <w:tcPr>
            <w:tcW w:w="1303" w:type="dxa"/>
            <w:noWrap w:val="0"/>
            <w:vAlign w:val="top"/>
          </w:tcPr>
          <w:p w14:paraId="29A2DE06">
            <w:pPr>
              <w:spacing w:line="360" w:lineRule="auto"/>
              <w:rPr>
                <w:rFonts w:hint="eastAsia" w:ascii="宋体" w:hAnsi="宋体" w:eastAsia="宋体" w:cs="宋体"/>
                <w:color w:val="auto"/>
                <w:sz w:val="24"/>
                <w:szCs w:val="24"/>
              </w:rPr>
            </w:pPr>
          </w:p>
        </w:tc>
        <w:tc>
          <w:tcPr>
            <w:tcW w:w="775" w:type="dxa"/>
            <w:noWrap w:val="0"/>
            <w:vAlign w:val="top"/>
          </w:tcPr>
          <w:p w14:paraId="770B314B">
            <w:pPr>
              <w:spacing w:line="360" w:lineRule="auto"/>
              <w:rPr>
                <w:rFonts w:hint="eastAsia" w:ascii="宋体" w:hAnsi="宋体" w:eastAsia="宋体" w:cs="宋体"/>
                <w:color w:val="auto"/>
                <w:sz w:val="24"/>
                <w:szCs w:val="24"/>
              </w:rPr>
            </w:pPr>
          </w:p>
        </w:tc>
        <w:tc>
          <w:tcPr>
            <w:tcW w:w="775" w:type="dxa"/>
            <w:noWrap w:val="0"/>
            <w:vAlign w:val="top"/>
          </w:tcPr>
          <w:p w14:paraId="767C7C59">
            <w:pPr>
              <w:spacing w:line="360" w:lineRule="auto"/>
              <w:rPr>
                <w:rFonts w:hint="eastAsia" w:ascii="宋体" w:hAnsi="宋体" w:eastAsia="宋体" w:cs="宋体"/>
                <w:color w:val="auto"/>
                <w:sz w:val="24"/>
                <w:szCs w:val="24"/>
              </w:rPr>
            </w:pPr>
          </w:p>
        </w:tc>
        <w:tc>
          <w:tcPr>
            <w:tcW w:w="775" w:type="dxa"/>
            <w:noWrap w:val="0"/>
            <w:vAlign w:val="top"/>
          </w:tcPr>
          <w:p w14:paraId="0E252432">
            <w:pPr>
              <w:spacing w:line="360" w:lineRule="auto"/>
              <w:rPr>
                <w:rFonts w:hint="eastAsia" w:ascii="宋体" w:hAnsi="宋体" w:eastAsia="宋体" w:cs="宋体"/>
                <w:color w:val="auto"/>
                <w:sz w:val="24"/>
                <w:szCs w:val="24"/>
              </w:rPr>
            </w:pPr>
          </w:p>
        </w:tc>
        <w:tc>
          <w:tcPr>
            <w:tcW w:w="1138" w:type="dxa"/>
            <w:noWrap w:val="0"/>
            <w:vAlign w:val="top"/>
          </w:tcPr>
          <w:p w14:paraId="13A2C86F">
            <w:pPr>
              <w:spacing w:line="360" w:lineRule="auto"/>
              <w:rPr>
                <w:rFonts w:hint="eastAsia" w:ascii="宋体" w:hAnsi="宋体" w:eastAsia="宋体" w:cs="宋体"/>
                <w:color w:val="auto"/>
                <w:sz w:val="24"/>
                <w:szCs w:val="24"/>
              </w:rPr>
            </w:pPr>
          </w:p>
        </w:tc>
        <w:tc>
          <w:tcPr>
            <w:tcW w:w="1138" w:type="dxa"/>
            <w:noWrap w:val="0"/>
            <w:vAlign w:val="top"/>
          </w:tcPr>
          <w:p w14:paraId="68CA02C1">
            <w:pPr>
              <w:spacing w:line="360" w:lineRule="auto"/>
              <w:rPr>
                <w:rFonts w:hint="eastAsia" w:ascii="宋体" w:hAnsi="宋体" w:eastAsia="宋体" w:cs="宋体"/>
                <w:color w:val="auto"/>
                <w:sz w:val="24"/>
                <w:szCs w:val="24"/>
              </w:rPr>
            </w:pPr>
          </w:p>
        </w:tc>
        <w:tc>
          <w:tcPr>
            <w:tcW w:w="1138" w:type="dxa"/>
            <w:noWrap w:val="0"/>
            <w:vAlign w:val="top"/>
          </w:tcPr>
          <w:p w14:paraId="151A0B97">
            <w:pPr>
              <w:spacing w:line="360" w:lineRule="auto"/>
              <w:rPr>
                <w:rFonts w:hint="eastAsia" w:ascii="宋体" w:hAnsi="宋体" w:eastAsia="宋体" w:cs="宋体"/>
                <w:color w:val="auto"/>
                <w:sz w:val="24"/>
                <w:szCs w:val="24"/>
              </w:rPr>
            </w:pPr>
          </w:p>
        </w:tc>
        <w:tc>
          <w:tcPr>
            <w:tcW w:w="1138" w:type="dxa"/>
            <w:noWrap w:val="0"/>
            <w:vAlign w:val="top"/>
          </w:tcPr>
          <w:p w14:paraId="138D4CFE">
            <w:pPr>
              <w:spacing w:line="360" w:lineRule="auto"/>
              <w:rPr>
                <w:rFonts w:hint="eastAsia" w:ascii="宋体" w:hAnsi="宋体" w:eastAsia="宋体" w:cs="宋体"/>
                <w:color w:val="auto"/>
                <w:sz w:val="24"/>
                <w:szCs w:val="24"/>
              </w:rPr>
            </w:pPr>
          </w:p>
        </w:tc>
      </w:tr>
      <w:tr w14:paraId="262965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4E059570">
            <w:pPr>
              <w:spacing w:line="360" w:lineRule="auto"/>
              <w:rPr>
                <w:rFonts w:hint="eastAsia" w:ascii="宋体" w:hAnsi="宋体" w:eastAsia="宋体" w:cs="宋体"/>
                <w:color w:val="auto"/>
                <w:sz w:val="24"/>
                <w:szCs w:val="24"/>
              </w:rPr>
            </w:pPr>
          </w:p>
        </w:tc>
        <w:tc>
          <w:tcPr>
            <w:tcW w:w="1485" w:type="dxa"/>
            <w:noWrap w:val="0"/>
            <w:vAlign w:val="top"/>
          </w:tcPr>
          <w:p w14:paraId="7EC3512C">
            <w:pPr>
              <w:spacing w:line="360" w:lineRule="auto"/>
              <w:rPr>
                <w:rFonts w:hint="eastAsia" w:ascii="宋体" w:hAnsi="宋体" w:eastAsia="宋体" w:cs="宋体"/>
                <w:color w:val="auto"/>
                <w:sz w:val="24"/>
                <w:szCs w:val="24"/>
              </w:rPr>
            </w:pPr>
          </w:p>
        </w:tc>
        <w:tc>
          <w:tcPr>
            <w:tcW w:w="1303" w:type="dxa"/>
            <w:noWrap w:val="0"/>
            <w:vAlign w:val="top"/>
          </w:tcPr>
          <w:p w14:paraId="0DB7FE1E">
            <w:pPr>
              <w:spacing w:line="360" w:lineRule="auto"/>
              <w:rPr>
                <w:rFonts w:hint="eastAsia" w:ascii="宋体" w:hAnsi="宋体" w:eastAsia="宋体" w:cs="宋体"/>
                <w:color w:val="auto"/>
                <w:sz w:val="24"/>
                <w:szCs w:val="24"/>
              </w:rPr>
            </w:pPr>
          </w:p>
        </w:tc>
        <w:tc>
          <w:tcPr>
            <w:tcW w:w="775" w:type="dxa"/>
            <w:noWrap w:val="0"/>
            <w:vAlign w:val="top"/>
          </w:tcPr>
          <w:p w14:paraId="6BF55588">
            <w:pPr>
              <w:spacing w:line="360" w:lineRule="auto"/>
              <w:rPr>
                <w:rFonts w:hint="eastAsia" w:ascii="宋体" w:hAnsi="宋体" w:eastAsia="宋体" w:cs="宋体"/>
                <w:color w:val="auto"/>
                <w:sz w:val="24"/>
                <w:szCs w:val="24"/>
              </w:rPr>
            </w:pPr>
          </w:p>
        </w:tc>
        <w:tc>
          <w:tcPr>
            <w:tcW w:w="775" w:type="dxa"/>
            <w:noWrap w:val="0"/>
            <w:vAlign w:val="top"/>
          </w:tcPr>
          <w:p w14:paraId="162006B0">
            <w:pPr>
              <w:spacing w:line="360" w:lineRule="auto"/>
              <w:rPr>
                <w:rFonts w:hint="eastAsia" w:ascii="宋体" w:hAnsi="宋体" w:eastAsia="宋体" w:cs="宋体"/>
                <w:color w:val="auto"/>
                <w:sz w:val="24"/>
                <w:szCs w:val="24"/>
              </w:rPr>
            </w:pPr>
          </w:p>
        </w:tc>
        <w:tc>
          <w:tcPr>
            <w:tcW w:w="775" w:type="dxa"/>
            <w:noWrap w:val="0"/>
            <w:vAlign w:val="top"/>
          </w:tcPr>
          <w:p w14:paraId="4A6E0278">
            <w:pPr>
              <w:spacing w:line="360" w:lineRule="auto"/>
              <w:rPr>
                <w:rFonts w:hint="eastAsia" w:ascii="宋体" w:hAnsi="宋体" w:eastAsia="宋体" w:cs="宋体"/>
                <w:color w:val="auto"/>
                <w:sz w:val="24"/>
                <w:szCs w:val="24"/>
              </w:rPr>
            </w:pPr>
          </w:p>
        </w:tc>
        <w:tc>
          <w:tcPr>
            <w:tcW w:w="1138" w:type="dxa"/>
            <w:noWrap w:val="0"/>
            <w:vAlign w:val="top"/>
          </w:tcPr>
          <w:p w14:paraId="37BE3B32">
            <w:pPr>
              <w:spacing w:line="360" w:lineRule="auto"/>
              <w:rPr>
                <w:rFonts w:hint="eastAsia" w:ascii="宋体" w:hAnsi="宋体" w:eastAsia="宋体" w:cs="宋体"/>
                <w:color w:val="auto"/>
                <w:sz w:val="24"/>
                <w:szCs w:val="24"/>
              </w:rPr>
            </w:pPr>
          </w:p>
        </w:tc>
        <w:tc>
          <w:tcPr>
            <w:tcW w:w="1138" w:type="dxa"/>
            <w:noWrap w:val="0"/>
            <w:vAlign w:val="top"/>
          </w:tcPr>
          <w:p w14:paraId="14BA2A07">
            <w:pPr>
              <w:spacing w:line="360" w:lineRule="auto"/>
              <w:rPr>
                <w:rFonts w:hint="eastAsia" w:ascii="宋体" w:hAnsi="宋体" w:eastAsia="宋体" w:cs="宋体"/>
                <w:color w:val="auto"/>
                <w:sz w:val="24"/>
                <w:szCs w:val="24"/>
              </w:rPr>
            </w:pPr>
          </w:p>
        </w:tc>
        <w:tc>
          <w:tcPr>
            <w:tcW w:w="1138" w:type="dxa"/>
            <w:noWrap w:val="0"/>
            <w:vAlign w:val="top"/>
          </w:tcPr>
          <w:p w14:paraId="362C87F4">
            <w:pPr>
              <w:spacing w:line="360" w:lineRule="auto"/>
              <w:rPr>
                <w:rFonts w:hint="eastAsia" w:ascii="宋体" w:hAnsi="宋体" w:eastAsia="宋体" w:cs="宋体"/>
                <w:color w:val="auto"/>
                <w:sz w:val="24"/>
                <w:szCs w:val="24"/>
              </w:rPr>
            </w:pPr>
          </w:p>
        </w:tc>
        <w:tc>
          <w:tcPr>
            <w:tcW w:w="1138" w:type="dxa"/>
            <w:noWrap w:val="0"/>
            <w:vAlign w:val="top"/>
          </w:tcPr>
          <w:p w14:paraId="51E18731">
            <w:pPr>
              <w:spacing w:line="360" w:lineRule="auto"/>
              <w:rPr>
                <w:rFonts w:hint="eastAsia" w:ascii="宋体" w:hAnsi="宋体" w:eastAsia="宋体" w:cs="宋体"/>
                <w:color w:val="auto"/>
                <w:sz w:val="24"/>
                <w:szCs w:val="24"/>
              </w:rPr>
            </w:pPr>
          </w:p>
        </w:tc>
      </w:tr>
      <w:tr w14:paraId="402508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51399B44">
            <w:pPr>
              <w:spacing w:line="360" w:lineRule="auto"/>
              <w:rPr>
                <w:rFonts w:hint="eastAsia" w:ascii="宋体" w:hAnsi="宋体" w:eastAsia="宋体" w:cs="宋体"/>
                <w:color w:val="auto"/>
                <w:sz w:val="24"/>
                <w:szCs w:val="24"/>
              </w:rPr>
            </w:pPr>
          </w:p>
        </w:tc>
        <w:tc>
          <w:tcPr>
            <w:tcW w:w="1485" w:type="dxa"/>
            <w:noWrap w:val="0"/>
            <w:vAlign w:val="top"/>
          </w:tcPr>
          <w:p w14:paraId="288F4C19">
            <w:pPr>
              <w:spacing w:line="360" w:lineRule="auto"/>
              <w:rPr>
                <w:rFonts w:hint="eastAsia" w:ascii="宋体" w:hAnsi="宋体" w:eastAsia="宋体" w:cs="宋体"/>
                <w:color w:val="auto"/>
                <w:sz w:val="24"/>
                <w:szCs w:val="24"/>
              </w:rPr>
            </w:pPr>
          </w:p>
        </w:tc>
        <w:tc>
          <w:tcPr>
            <w:tcW w:w="1303" w:type="dxa"/>
            <w:noWrap w:val="0"/>
            <w:vAlign w:val="top"/>
          </w:tcPr>
          <w:p w14:paraId="3C568B7E">
            <w:pPr>
              <w:spacing w:line="360" w:lineRule="auto"/>
              <w:rPr>
                <w:rFonts w:hint="eastAsia" w:ascii="宋体" w:hAnsi="宋体" w:eastAsia="宋体" w:cs="宋体"/>
                <w:color w:val="auto"/>
                <w:sz w:val="24"/>
                <w:szCs w:val="24"/>
              </w:rPr>
            </w:pPr>
          </w:p>
        </w:tc>
        <w:tc>
          <w:tcPr>
            <w:tcW w:w="775" w:type="dxa"/>
            <w:noWrap w:val="0"/>
            <w:vAlign w:val="top"/>
          </w:tcPr>
          <w:p w14:paraId="4A631D6F">
            <w:pPr>
              <w:spacing w:line="360" w:lineRule="auto"/>
              <w:rPr>
                <w:rFonts w:hint="eastAsia" w:ascii="宋体" w:hAnsi="宋体" w:eastAsia="宋体" w:cs="宋体"/>
                <w:color w:val="auto"/>
                <w:sz w:val="24"/>
                <w:szCs w:val="24"/>
              </w:rPr>
            </w:pPr>
          </w:p>
        </w:tc>
        <w:tc>
          <w:tcPr>
            <w:tcW w:w="775" w:type="dxa"/>
            <w:noWrap w:val="0"/>
            <w:vAlign w:val="top"/>
          </w:tcPr>
          <w:p w14:paraId="61B81250">
            <w:pPr>
              <w:spacing w:line="360" w:lineRule="auto"/>
              <w:rPr>
                <w:rFonts w:hint="eastAsia" w:ascii="宋体" w:hAnsi="宋体" w:eastAsia="宋体" w:cs="宋体"/>
                <w:color w:val="auto"/>
                <w:sz w:val="24"/>
                <w:szCs w:val="24"/>
              </w:rPr>
            </w:pPr>
          </w:p>
        </w:tc>
        <w:tc>
          <w:tcPr>
            <w:tcW w:w="775" w:type="dxa"/>
            <w:noWrap w:val="0"/>
            <w:vAlign w:val="top"/>
          </w:tcPr>
          <w:p w14:paraId="7CBCB4DC">
            <w:pPr>
              <w:spacing w:line="360" w:lineRule="auto"/>
              <w:rPr>
                <w:rFonts w:hint="eastAsia" w:ascii="宋体" w:hAnsi="宋体" w:eastAsia="宋体" w:cs="宋体"/>
                <w:color w:val="auto"/>
                <w:sz w:val="24"/>
                <w:szCs w:val="24"/>
              </w:rPr>
            </w:pPr>
          </w:p>
        </w:tc>
        <w:tc>
          <w:tcPr>
            <w:tcW w:w="1138" w:type="dxa"/>
            <w:noWrap w:val="0"/>
            <w:vAlign w:val="top"/>
          </w:tcPr>
          <w:p w14:paraId="788BDFB1">
            <w:pPr>
              <w:spacing w:line="360" w:lineRule="auto"/>
              <w:rPr>
                <w:rFonts w:hint="eastAsia" w:ascii="宋体" w:hAnsi="宋体" w:eastAsia="宋体" w:cs="宋体"/>
                <w:color w:val="auto"/>
                <w:sz w:val="24"/>
                <w:szCs w:val="24"/>
              </w:rPr>
            </w:pPr>
          </w:p>
        </w:tc>
        <w:tc>
          <w:tcPr>
            <w:tcW w:w="1138" w:type="dxa"/>
            <w:noWrap w:val="0"/>
            <w:vAlign w:val="top"/>
          </w:tcPr>
          <w:p w14:paraId="08793973">
            <w:pPr>
              <w:spacing w:line="360" w:lineRule="auto"/>
              <w:rPr>
                <w:rFonts w:hint="eastAsia" w:ascii="宋体" w:hAnsi="宋体" w:eastAsia="宋体" w:cs="宋体"/>
                <w:color w:val="auto"/>
                <w:sz w:val="24"/>
                <w:szCs w:val="24"/>
              </w:rPr>
            </w:pPr>
          </w:p>
        </w:tc>
        <w:tc>
          <w:tcPr>
            <w:tcW w:w="1138" w:type="dxa"/>
            <w:noWrap w:val="0"/>
            <w:vAlign w:val="top"/>
          </w:tcPr>
          <w:p w14:paraId="3F8AF677">
            <w:pPr>
              <w:spacing w:line="360" w:lineRule="auto"/>
              <w:rPr>
                <w:rFonts w:hint="eastAsia" w:ascii="宋体" w:hAnsi="宋体" w:eastAsia="宋体" w:cs="宋体"/>
                <w:color w:val="auto"/>
                <w:sz w:val="24"/>
                <w:szCs w:val="24"/>
              </w:rPr>
            </w:pPr>
          </w:p>
        </w:tc>
        <w:tc>
          <w:tcPr>
            <w:tcW w:w="1138" w:type="dxa"/>
            <w:noWrap w:val="0"/>
            <w:vAlign w:val="top"/>
          </w:tcPr>
          <w:p w14:paraId="523D7C52">
            <w:pPr>
              <w:spacing w:line="360" w:lineRule="auto"/>
              <w:rPr>
                <w:rFonts w:hint="eastAsia" w:ascii="宋体" w:hAnsi="宋体" w:eastAsia="宋体" w:cs="宋体"/>
                <w:color w:val="auto"/>
                <w:sz w:val="24"/>
                <w:szCs w:val="24"/>
              </w:rPr>
            </w:pPr>
          </w:p>
        </w:tc>
      </w:tr>
      <w:tr w14:paraId="343F37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11C11AC8">
            <w:pPr>
              <w:spacing w:line="360" w:lineRule="auto"/>
              <w:rPr>
                <w:rFonts w:hint="eastAsia" w:ascii="宋体" w:hAnsi="宋体" w:eastAsia="宋体" w:cs="宋体"/>
                <w:color w:val="auto"/>
                <w:sz w:val="24"/>
                <w:szCs w:val="24"/>
              </w:rPr>
            </w:pPr>
          </w:p>
        </w:tc>
        <w:tc>
          <w:tcPr>
            <w:tcW w:w="1485" w:type="dxa"/>
            <w:noWrap w:val="0"/>
            <w:vAlign w:val="top"/>
          </w:tcPr>
          <w:p w14:paraId="736D9A44">
            <w:pPr>
              <w:spacing w:line="360" w:lineRule="auto"/>
              <w:rPr>
                <w:rFonts w:hint="eastAsia" w:ascii="宋体" w:hAnsi="宋体" w:eastAsia="宋体" w:cs="宋体"/>
                <w:color w:val="auto"/>
                <w:sz w:val="24"/>
                <w:szCs w:val="24"/>
              </w:rPr>
            </w:pPr>
          </w:p>
        </w:tc>
        <w:tc>
          <w:tcPr>
            <w:tcW w:w="1303" w:type="dxa"/>
            <w:noWrap w:val="0"/>
            <w:vAlign w:val="top"/>
          </w:tcPr>
          <w:p w14:paraId="08AE70BE">
            <w:pPr>
              <w:spacing w:line="360" w:lineRule="auto"/>
              <w:rPr>
                <w:rFonts w:hint="eastAsia" w:ascii="宋体" w:hAnsi="宋体" w:eastAsia="宋体" w:cs="宋体"/>
                <w:color w:val="auto"/>
                <w:sz w:val="24"/>
                <w:szCs w:val="24"/>
              </w:rPr>
            </w:pPr>
          </w:p>
        </w:tc>
        <w:tc>
          <w:tcPr>
            <w:tcW w:w="775" w:type="dxa"/>
            <w:noWrap w:val="0"/>
            <w:vAlign w:val="top"/>
          </w:tcPr>
          <w:p w14:paraId="5DB7EE7C">
            <w:pPr>
              <w:spacing w:line="360" w:lineRule="auto"/>
              <w:rPr>
                <w:rFonts w:hint="eastAsia" w:ascii="宋体" w:hAnsi="宋体" w:eastAsia="宋体" w:cs="宋体"/>
                <w:color w:val="auto"/>
                <w:sz w:val="24"/>
                <w:szCs w:val="24"/>
              </w:rPr>
            </w:pPr>
          </w:p>
        </w:tc>
        <w:tc>
          <w:tcPr>
            <w:tcW w:w="775" w:type="dxa"/>
            <w:noWrap w:val="0"/>
            <w:vAlign w:val="top"/>
          </w:tcPr>
          <w:p w14:paraId="6EDFC6C4">
            <w:pPr>
              <w:spacing w:line="360" w:lineRule="auto"/>
              <w:rPr>
                <w:rFonts w:hint="eastAsia" w:ascii="宋体" w:hAnsi="宋体" w:eastAsia="宋体" w:cs="宋体"/>
                <w:color w:val="auto"/>
                <w:sz w:val="24"/>
                <w:szCs w:val="24"/>
              </w:rPr>
            </w:pPr>
          </w:p>
        </w:tc>
        <w:tc>
          <w:tcPr>
            <w:tcW w:w="775" w:type="dxa"/>
            <w:noWrap w:val="0"/>
            <w:vAlign w:val="top"/>
          </w:tcPr>
          <w:p w14:paraId="0FEB3F08">
            <w:pPr>
              <w:spacing w:line="360" w:lineRule="auto"/>
              <w:rPr>
                <w:rFonts w:hint="eastAsia" w:ascii="宋体" w:hAnsi="宋体" w:eastAsia="宋体" w:cs="宋体"/>
                <w:color w:val="auto"/>
                <w:sz w:val="24"/>
                <w:szCs w:val="24"/>
              </w:rPr>
            </w:pPr>
          </w:p>
        </w:tc>
        <w:tc>
          <w:tcPr>
            <w:tcW w:w="1138" w:type="dxa"/>
            <w:noWrap w:val="0"/>
            <w:vAlign w:val="top"/>
          </w:tcPr>
          <w:p w14:paraId="2B16BEEE">
            <w:pPr>
              <w:spacing w:line="360" w:lineRule="auto"/>
              <w:rPr>
                <w:rFonts w:hint="eastAsia" w:ascii="宋体" w:hAnsi="宋体" w:eastAsia="宋体" w:cs="宋体"/>
                <w:color w:val="auto"/>
                <w:sz w:val="24"/>
                <w:szCs w:val="24"/>
              </w:rPr>
            </w:pPr>
          </w:p>
        </w:tc>
        <w:tc>
          <w:tcPr>
            <w:tcW w:w="1138" w:type="dxa"/>
            <w:noWrap w:val="0"/>
            <w:vAlign w:val="top"/>
          </w:tcPr>
          <w:p w14:paraId="72A7E691">
            <w:pPr>
              <w:spacing w:line="360" w:lineRule="auto"/>
              <w:rPr>
                <w:rFonts w:hint="eastAsia" w:ascii="宋体" w:hAnsi="宋体" w:eastAsia="宋体" w:cs="宋体"/>
                <w:color w:val="auto"/>
                <w:sz w:val="24"/>
                <w:szCs w:val="24"/>
              </w:rPr>
            </w:pPr>
          </w:p>
        </w:tc>
        <w:tc>
          <w:tcPr>
            <w:tcW w:w="1138" w:type="dxa"/>
            <w:noWrap w:val="0"/>
            <w:vAlign w:val="top"/>
          </w:tcPr>
          <w:p w14:paraId="5A974A93">
            <w:pPr>
              <w:spacing w:line="360" w:lineRule="auto"/>
              <w:rPr>
                <w:rFonts w:hint="eastAsia" w:ascii="宋体" w:hAnsi="宋体" w:eastAsia="宋体" w:cs="宋体"/>
                <w:color w:val="auto"/>
                <w:sz w:val="24"/>
                <w:szCs w:val="24"/>
              </w:rPr>
            </w:pPr>
          </w:p>
        </w:tc>
        <w:tc>
          <w:tcPr>
            <w:tcW w:w="1138" w:type="dxa"/>
            <w:noWrap w:val="0"/>
            <w:vAlign w:val="top"/>
          </w:tcPr>
          <w:p w14:paraId="5F32435A">
            <w:pPr>
              <w:spacing w:line="360" w:lineRule="auto"/>
              <w:rPr>
                <w:rFonts w:hint="eastAsia" w:ascii="宋体" w:hAnsi="宋体" w:eastAsia="宋体" w:cs="宋体"/>
                <w:color w:val="auto"/>
                <w:sz w:val="24"/>
                <w:szCs w:val="24"/>
              </w:rPr>
            </w:pPr>
          </w:p>
        </w:tc>
      </w:tr>
      <w:tr w14:paraId="5B869B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04FF535E">
            <w:pPr>
              <w:spacing w:line="360" w:lineRule="auto"/>
              <w:rPr>
                <w:rFonts w:hint="eastAsia" w:ascii="宋体" w:hAnsi="宋体" w:eastAsia="宋体" w:cs="宋体"/>
                <w:color w:val="auto"/>
                <w:sz w:val="24"/>
                <w:szCs w:val="24"/>
              </w:rPr>
            </w:pPr>
          </w:p>
        </w:tc>
        <w:tc>
          <w:tcPr>
            <w:tcW w:w="1485" w:type="dxa"/>
            <w:noWrap w:val="0"/>
            <w:vAlign w:val="top"/>
          </w:tcPr>
          <w:p w14:paraId="3A850EF1">
            <w:pPr>
              <w:spacing w:line="360" w:lineRule="auto"/>
              <w:rPr>
                <w:rFonts w:hint="eastAsia" w:ascii="宋体" w:hAnsi="宋体" w:eastAsia="宋体" w:cs="宋体"/>
                <w:color w:val="auto"/>
                <w:sz w:val="24"/>
                <w:szCs w:val="24"/>
              </w:rPr>
            </w:pPr>
          </w:p>
        </w:tc>
        <w:tc>
          <w:tcPr>
            <w:tcW w:w="1303" w:type="dxa"/>
            <w:noWrap w:val="0"/>
            <w:vAlign w:val="top"/>
          </w:tcPr>
          <w:p w14:paraId="5D7DC7AF">
            <w:pPr>
              <w:spacing w:line="360" w:lineRule="auto"/>
              <w:rPr>
                <w:rFonts w:hint="eastAsia" w:ascii="宋体" w:hAnsi="宋体" w:eastAsia="宋体" w:cs="宋体"/>
                <w:color w:val="auto"/>
                <w:sz w:val="24"/>
                <w:szCs w:val="24"/>
              </w:rPr>
            </w:pPr>
          </w:p>
        </w:tc>
        <w:tc>
          <w:tcPr>
            <w:tcW w:w="775" w:type="dxa"/>
            <w:noWrap w:val="0"/>
            <w:vAlign w:val="top"/>
          </w:tcPr>
          <w:p w14:paraId="2E786BB1">
            <w:pPr>
              <w:spacing w:line="360" w:lineRule="auto"/>
              <w:rPr>
                <w:rFonts w:hint="eastAsia" w:ascii="宋体" w:hAnsi="宋体" w:eastAsia="宋体" w:cs="宋体"/>
                <w:color w:val="auto"/>
                <w:sz w:val="24"/>
                <w:szCs w:val="24"/>
              </w:rPr>
            </w:pPr>
          </w:p>
        </w:tc>
        <w:tc>
          <w:tcPr>
            <w:tcW w:w="775" w:type="dxa"/>
            <w:noWrap w:val="0"/>
            <w:vAlign w:val="top"/>
          </w:tcPr>
          <w:p w14:paraId="28CD05F9">
            <w:pPr>
              <w:spacing w:line="360" w:lineRule="auto"/>
              <w:rPr>
                <w:rFonts w:hint="eastAsia" w:ascii="宋体" w:hAnsi="宋体" w:eastAsia="宋体" w:cs="宋体"/>
                <w:color w:val="auto"/>
                <w:sz w:val="24"/>
                <w:szCs w:val="24"/>
              </w:rPr>
            </w:pPr>
          </w:p>
        </w:tc>
        <w:tc>
          <w:tcPr>
            <w:tcW w:w="775" w:type="dxa"/>
            <w:noWrap w:val="0"/>
            <w:vAlign w:val="top"/>
          </w:tcPr>
          <w:p w14:paraId="2D54DA73">
            <w:pPr>
              <w:spacing w:line="360" w:lineRule="auto"/>
              <w:rPr>
                <w:rFonts w:hint="eastAsia" w:ascii="宋体" w:hAnsi="宋体" w:eastAsia="宋体" w:cs="宋体"/>
                <w:color w:val="auto"/>
                <w:sz w:val="24"/>
                <w:szCs w:val="24"/>
              </w:rPr>
            </w:pPr>
          </w:p>
        </w:tc>
        <w:tc>
          <w:tcPr>
            <w:tcW w:w="1138" w:type="dxa"/>
            <w:noWrap w:val="0"/>
            <w:vAlign w:val="top"/>
          </w:tcPr>
          <w:p w14:paraId="76410A27">
            <w:pPr>
              <w:spacing w:line="360" w:lineRule="auto"/>
              <w:rPr>
                <w:rFonts w:hint="eastAsia" w:ascii="宋体" w:hAnsi="宋体" w:eastAsia="宋体" w:cs="宋体"/>
                <w:color w:val="auto"/>
                <w:sz w:val="24"/>
                <w:szCs w:val="24"/>
              </w:rPr>
            </w:pPr>
          </w:p>
        </w:tc>
        <w:tc>
          <w:tcPr>
            <w:tcW w:w="1138" w:type="dxa"/>
            <w:noWrap w:val="0"/>
            <w:vAlign w:val="top"/>
          </w:tcPr>
          <w:p w14:paraId="6DFF63E1">
            <w:pPr>
              <w:spacing w:line="360" w:lineRule="auto"/>
              <w:rPr>
                <w:rFonts w:hint="eastAsia" w:ascii="宋体" w:hAnsi="宋体" w:eastAsia="宋体" w:cs="宋体"/>
                <w:color w:val="auto"/>
                <w:sz w:val="24"/>
                <w:szCs w:val="24"/>
              </w:rPr>
            </w:pPr>
          </w:p>
        </w:tc>
        <w:tc>
          <w:tcPr>
            <w:tcW w:w="1138" w:type="dxa"/>
            <w:noWrap w:val="0"/>
            <w:vAlign w:val="top"/>
          </w:tcPr>
          <w:p w14:paraId="2B63E63B">
            <w:pPr>
              <w:spacing w:line="360" w:lineRule="auto"/>
              <w:rPr>
                <w:rFonts w:hint="eastAsia" w:ascii="宋体" w:hAnsi="宋体" w:eastAsia="宋体" w:cs="宋体"/>
                <w:color w:val="auto"/>
                <w:sz w:val="24"/>
                <w:szCs w:val="24"/>
              </w:rPr>
            </w:pPr>
          </w:p>
        </w:tc>
        <w:tc>
          <w:tcPr>
            <w:tcW w:w="1138" w:type="dxa"/>
            <w:noWrap w:val="0"/>
            <w:vAlign w:val="top"/>
          </w:tcPr>
          <w:p w14:paraId="19F5E0F4">
            <w:pPr>
              <w:spacing w:line="360" w:lineRule="auto"/>
              <w:rPr>
                <w:rFonts w:hint="eastAsia" w:ascii="宋体" w:hAnsi="宋体" w:eastAsia="宋体" w:cs="宋体"/>
                <w:color w:val="auto"/>
                <w:sz w:val="24"/>
                <w:szCs w:val="24"/>
              </w:rPr>
            </w:pPr>
          </w:p>
        </w:tc>
      </w:tr>
      <w:tr w14:paraId="45CCAA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71F96C74">
            <w:pPr>
              <w:spacing w:line="360" w:lineRule="auto"/>
              <w:rPr>
                <w:rFonts w:hint="eastAsia" w:ascii="宋体" w:hAnsi="宋体" w:eastAsia="宋体" w:cs="宋体"/>
                <w:color w:val="auto"/>
                <w:sz w:val="24"/>
                <w:szCs w:val="24"/>
              </w:rPr>
            </w:pPr>
          </w:p>
        </w:tc>
        <w:tc>
          <w:tcPr>
            <w:tcW w:w="1485" w:type="dxa"/>
            <w:noWrap w:val="0"/>
            <w:vAlign w:val="top"/>
          </w:tcPr>
          <w:p w14:paraId="1D02F0DA">
            <w:pPr>
              <w:spacing w:line="360" w:lineRule="auto"/>
              <w:rPr>
                <w:rFonts w:hint="eastAsia" w:ascii="宋体" w:hAnsi="宋体" w:eastAsia="宋体" w:cs="宋体"/>
                <w:color w:val="auto"/>
                <w:sz w:val="24"/>
                <w:szCs w:val="24"/>
              </w:rPr>
            </w:pPr>
          </w:p>
        </w:tc>
        <w:tc>
          <w:tcPr>
            <w:tcW w:w="1303" w:type="dxa"/>
            <w:noWrap w:val="0"/>
            <w:vAlign w:val="top"/>
          </w:tcPr>
          <w:p w14:paraId="41A62789">
            <w:pPr>
              <w:spacing w:line="360" w:lineRule="auto"/>
              <w:rPr>
                <w:rFonts w:hint="eastAsia" w:ascii="宋体" w:hAnsi="宋体" w:eastAsia="宋体" w:cs="宋体"/>
                <w:color w:val="auto"/>
                <w:sz w:val="24"/>
                <w:szCs w:val="24"/>
              </w:rPr>
            </w:pPr>
          </w:p>
        </w:tc>
        <w:tc>
          <w:tcPr>
            <w:tcW w:w="775" w:type="dxa"/>
            <w:noWrap w:val="0"/>
            <w:vAlign w:val="top"/>
          </w:tcPr>
          <w:p w14:paraId="6B5F7293">
            <w:pPr>
              <w:spacing w:line="360" w:lineRule="auto"/>
              <w:rPr>
                <w:rFonts w:hint="eastAsia" w:ascii="宋体" w:hAnsi="宋体" w:eastAsia="宋体" w:cs="宋体"/>
                <w:color w:val="auto"/>
                <w:sz w:val="24"/>
                <w:szCs w:val="24"/>
              </w:rPr>
            </w:pPr>
          </w:p>
        </w:tc>
        <w:tc>
          <w:tcPr>
            <w:tcW w:w="775" w:type="dxa"/>
            <w:noWrap w:val="0"/>
            <w:vAlign w:val="top"/>
          </w:tcPr>
          <w:p w14:paraId="76261051">
            <w:pPr>
              <w:spacing w:line="360" w:lineRule="auto"/>
              <w:rPr>
                <w:rFonts w:hint="eastAsia" w:ascii="宋体" w:hAnsi="宋体" w:eastAsia="宋体" w:cs="宋体"/>
                <w:color w:val="auto"/>
                <w:sz w:val="24"/>
                <w:szCs w:val="24"/>
              </w:rPr>
            </w:pPr>
          </w:p>
        </w:tc>
        <w:tc>
          <w:tcPr>
            <w:tcW w:w="775" w:type="dxa"/>
            <w:noWrap w:val="0"/>
            <w:vAlign w:val="top"/>
          </w:tcPr>
          <w:p w14:paraId="62EF5D16">
            <w:pPr>
              <w:spacing w:line="360" w:lineRule="auto"/>
              <w:rPr>
                <w:rFonts w:hint="eastAsia" w:ascii="宋体" w:hAnsi="宋体" w:eastAsia="宋体" w:cs="宋体"/>
                <w:color w:val="auto"/>
                <w:sz w:val="24"/>
                <w:szCs w:val="24"/>
              </w:rPr>
            </w:pPr>
          </w:p>
        </w:tc>
        <w:tc>
          <w:tcPr>
            <w:tcW w:w="1138" w:type="dxa"/>
            <w:noWrap w:val="0"/>
            <w:vAlign w:val="top"/>
          </w:tcPr>
          <w:p w14:paraId="23A1C6F3">
            <w:pPr>
              <w:spacing w:line="360" w:lineRule="auto"/>
              <w:rPr>
                <w:rFonts w:hint="eastAsia" w:ascii="宋体" w:hAnsi="宋体" w:eastAsia="宋体" w:cs="宋体"/>
                <w:color w:val="auto"/>
                <w:sz w:val="24"/>
                <w:szCs w:val="24"/>
              </w:rPr>
            </w:pPr>
          </w:p>
        </w:tc>
        <w:tc>
          <w:tcPr>
            <w:tcW w:w="1138" w:type="dxa"/>
            <w:noWrap w:val="0"/>
            <w:vAlign w:val="top"/>
          </w:tcPr>
          <w:p w14:paraId="39FAF3E3">
            <w:pPr>
              <w:spacing w:line="360" w:lineRule="auto"/>
              <w:rPr>
                <w:rFonts w:hint="eastAsia" w:ascii="宋体" w:hAnsi="宋体" w:eastAsia="宋体" w:cs="宋体"/>
                <w:color w:val="auto"/>
                <w:sz w:val="24"/>
                <w:szCs w:val="24"/>
              </w:rPr>
            </w:pPr>
          </w:p>
        </w:tc>
        <w:tc>
          <w:tcPr>
            <w:tcW w:w="1138" w:type="dxa"/>
            <w:noWrap w:val="0"/>
            <w:vAlign w:val="top"/>
          </w:tcPr>
          <w:p w14:paraId="16220974">
            <w:pPr>
              <w:spacing w:line="360" w:lineRule="auto"/>
              <w:rPr>
                <w:rFonts w:hint="eastAsia" w:ascii="宋体" w:hAnsi="宋体" w:eastAsia="宋体" w:cs="宋体"/>
                <w:color w:val="auto"/>
                <w:sz w:val="24"/>
                <w:szCs w:val="24"/>
              </w:rPr>
            </w:pPr>
          </w:p>
        </w:tc>
        <w:tc>
          <w:tcPr>
            <w:tcW w:w="1138" w:type="dxa"/>
            <w:noWrap w:val="0"/>
            <w:vAlign w:val="top"/>
          </w:tcPr>
          <w:p w14:paraId="5ADEC7C6">
            <w:pPr>
              <w:spacing w:line="360" w:lineRule="auto"/>
              <w:rPr>
                <w:rFonts w:hint="eastAsia" w:ascii="宋体" w:hAnsi="宋体" w:eastAsia="宋体" w:cs="宋体"/>
                <w:color w:val="auto"/>
                <w:sz w:val="24"/>
                <w:szCs w:val="24"/>
              </w:rPr>
            </w:pPr>
          </w:p>
        </w:tc>
      </w:tr>
      <w:tr w14:paraId="653F92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393E04F4">
            <w:pPr>
              <w:spacing w:line="360" w:lineRule="auto"/>
              <w:rPr>
                <w:rFonts w:hint="eastAsia" w:ascii="宋体" w:hAnsi="宋体" w:eastAsia="宋体" w:cs="宋体"/>
                <w:color w:val="auto"/>
                <w:sz w:val="24"/>
                <w:szCs w:val="24"/>
              </w:rPr>
            </w:pPr>
          </w:p>
        </w:tc>
        <w:tc>
          <w:tcPr>
            <w:tcW w:w="1485" w:type="dxa"/>
            <w:noWrap w:val="0"/>
            <w:vAlign w:val="top"/>
          </w:tcPr>
          <w:p w14:paraId="0C634F81">
            <w:pPr>
              <w:spacing w:line="360" w:lineRule="auto"/>
              <w:rPr>
                <w:rFonts w:hint="eastAsia" w:ascii="宋体" w:hAnsi="宋体" w:eastAsia="宋体" w:cs="宋体"/>
                <w:color w:val="auto"/>
                <w:sz w:val="24"/>
                <w:szCs w:val="24"/>
              </w:rPr>
            </w:pPr>
          </w:p>
        </w:tc>
        <w:tc>
          <w:tcPr>
            <w:tcW w:w="1303" w:type="dxa"/>
            <w:noWrap w:val="0"/>
            <w:vAlign w:val="top"/>
          </w:tcPr>
          <w:p w14:paraId="76995A5A">
            <w:pPr>
              <w:spacing w:line="360" w:lineRule="auto"/>
              <w:rPr>
                <w:rFonts w:hint="eastAsia" w:ascii="宋体" w:hAnsi="宋体" w:eastAsia="宋体" w:cs="宋体"/>
                <w:color w:val="auto"/>
                <w:sz w:val="24"/>
                <w:szCs w:val="24"/>
              </w:rPr>
            </w:pPr>
          </w:p>
        </w:tc>
        <w:tc>
          <w:tcPr>
            <w:tcW w:w="775" w:type="dxa"/>
            <w:noWrap w:val="0"/>
            <w:vAlign w:val="top"/>
          </w:tcPr>
          <w:p w14:paraId="451ECF8E">
            <w:pPr>
              <w:spacing w:line="360" w:lineRule="auto"/>
              <w:rPr>
                <w:rFonts w:hint="eastAsia" w:ascii="宋体" w:hAnsi="宋体" w:eastAsia="宋体" w:cs="宋体"/>
                <w:color w:val="auto"/>
                <w:sz w:val="24"/>
                <w:szCs w:val="24"/>
              </w:rPr>
            </w:pPr>
          </w:p>
        </w:tc>
        <w:tc>
          <w:tcPr>
            <w:tcW w:w="775" w:type="dxa"/>
            <w:noWrap w:val="0"/>
            <w:vAlign w:val="top"/>
          </w:tcPr>
          <w:p w14:paraId="3D8D77BD">
            <w:pPr>
              <w:spacing w:line="360" w:lineRule="auto"/>
              <w:rPr>
                <w:rFonts w:hint="eastAsia" w:ascii="宋体" w:hAnsi="宋体" w:eastAsia="宋体" w:cs="宋体"/>
                <w:color w:val="auto"/>
                <w:sz w:val="24"/>
                <w:szCs w:val="24"/>
              </w:rPr>
            </w:pPr>
          </w:p>
        </w:tc>
        <w:tc>
          <w:tcPr>
            <w:tcW w:w="775" w:type="dxa"/>
            <w:noWrap w:val="0"/>
            <w:vAlign w:val="top"/>
          </w:tcPr>
          <w:p w14:paraId="24D258CC">
            <w:pPr>
              <w:spacing w:line="360" w:lineRule="auto"/>
              <w:rPr>
                <w:rFonts w:hint="eastAsia" w:ascii="宋体" w:hAnsi="宋体" w:eastAsia="宋体" w:cs="宋体"/>
                <w:color w:val="auto"/>
                <w:sz w:val="24"/>
                <w:szCs w:val="24"/>
              </w:rPr>
            </w:pPr>
          </w:p>
        </w:tc>
        <w:tc>
          <w:tcPr>
            <w:tcW w:w="1138" w:type="dxa"/>
            <w:noWrap w:val="0"/>
            <w:vAlign w:val="top"/>
          </w:tcPr>
          <w:p w14:paraId="7797B5E8">
            <w:pPr>
              <w:spacing w:line="360" w:lineRule="auto"/>
              <w:rPr>
                <w:rFonts w:hint="eastAsia" w:ascii="宋体" w:hAnsi="宋体" w:eastAsia="宋体" w:cs="宋体"/>
                <w:color w:val="auto"/>
                <w:sz w:val="24"/>
                <w:szCs w:val="24"/>
              </w:rPr>
            </w:pPr>
          </w:p>
        </w:tc>
        <w:tc>
          <w:tcPr>
            <w:tcW w:w="1138" w:type="dxa"/>
            <w:noWrap w:val="0"/>
            <w:vAlign w:val="top"/>
          </w:tcPr>
          <w:p w14:paraId="5BDC1B0D">
            <w:pPr>
              <w:spacing w:line="360" w:lineRule="auto"/>
              <w:rPr>
                <w:rFonts w:hint="eastAsia" w:ascii="宋体" w:hAnsi="宋体" w:eastAsia="宋体" w:cs="宋体"/>
                <w:color w:val="auto"/>
                <w:sz w:val="24"/>
                <w:szCs w:val="24"/>
              </w:rPr>
            </w:pPr>
          </w:p>
        </w:tc>
        <w:tc>
          <w:tcPr>
            <w:tcW w:w="1138" w:type="dxa"/>
            <w:noWrap w:val="0"/>
            <w:vAlign w:val="top"/>
          </w:tcPr>
          <w:p w14:paraId="451CA641">
            <w:pPr>
              <w:spacing w:line="360" w:lineRule="auto"/>
              <w:rPr>
                <w:rFonts w:hint="eastAsia" w:ascii="宋体" w:hAnsi="宋体" w:eastAsia="宋体" w:cs="宋体"/>
                <w:color w:val="auto"/>
                <w:sz w:val="24"/>
                <w:szCs w:val="24"/>
              </w:rPr>
            </w:pPr>
          </w:p>
        </w:tc>
        <w:tc>
          <w:tcPr>
            <w:tcW w:w="1138" w:type="dxa"/>
            <w:noWrap w:val="0"/>
            <w:vAlign w:val="top"/>
          </w:tcPr>
          <w:p w14:paraId="4BFB98D3">
            <w:pPr>
              <w:spacing w:line="360" w:lineRule="auto"/>
              <w:rPr>
                <w:rFonts w:hint="eastAsia" w:ascii="宋体" w:hAnsi="宋体" w:eastAsia="宋体" w:cs="宋体"/>
                <w:color w:val="auto"/>
                <w:sz w:val="24"/>
                <w:szCs w:val="24"/>
              </w:rPr>
            </w:pPr>
          </w:p>
        </w:tc>
      </w:tr>
      <w:tr w14:paraId="1FDAC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15BED711">
            <w:pPr>
              <w:spacing w:line="360" w:lineRule="auto"/>
              <w:rPr>
                <w:rFonts w:hint="eastAsia" w:ascii="宋体" w:hAnsi="宋体" w:eastAsia="宋体" w:cs="宋体"/>
                <w:color w:val="auto"/>
                <w:sz w:val="24"/>
                <w:szCs w:val="24"/>
              </w:rPr>
            </w:pPr>
          </w:p>
        </w:tc>
        <w:tc>
          <w:tcPr>
            <w:tcW w:w="1485" w:type="dxa"/>
            <w:noWrap w:val="0"/>
            <w:vAlign w:val="top"/>
          </w:tcPr>
          <w:p w14:paraId="42CA702F">
            <w:pPr>
              <w:spacing w:line="360" w:lineRule="auto"/>
              <w:rPr>
                <w:rFonts w:hint="eastAsia" w:ascii="宋体" w:hAnsi="宋体" w:eastAsia="宋体" w:cs="宋体"/>
                <w:color w:val="auto"/>
                <w:sz w:val="24"/>
                <w:szCs w:val="24"/>
              </w:rPr>
            </w:pPr>
          </w:p>
        </w:tc>
        <w:tc>
          <w:tcPr>
            <w:tcW w:w="1303" w:type="dxa"/>
            <w:noWrap w:val="0"/>
            <w:vAlign w:val="top"/>
          </w:tcPr>
          <w:p w14:paraId="7319B6B5">
            <w:pPr>
              <w:spacing w:line="360" w:lineRule="auto"/>
              <w:rPr>
                <w:rFonts w:hint="eastAsia" w:ascii="宋体" w:hAnsi="宋体" w:eastAsia="宋体" w:cs="宋体"/>
                <w:color w:val="auto"/>
                <w:sz w:val="24"/>
                <w:szCs w:val="24"/>
              </w:rPr>
            </w:pPr>
          </w:p>
        </w:tc>
        <w:tc>
          <w:tcPr>
            <w:tcW w:w="775" w:type="dxa"/>
            <w:noWrap w:val="0"/>
            <w:vAlign w:val="top"/>
          </w:tcPr>
          <w:p w14:paraId="1B03E651">
            <w:pPr>
              <w:spacing w:line="360" w:lineRule="auto"/>
              <w:rPr>
                <w:rFonts w:hint="eastAsia" w:ascii="宋体" w:hAnsi="宋体" w:eastAsia="宋体" w:cs="宋体"/>
                <w:color w:val="auto"/>
                <w:sz w:val="24"/>
                <w:szCs w:val="24"/>
              </w:rPr>
            </w:pPr>
          </w:p>
        </w:tc>
        <w:tc>
          <w:tcPr>
            <w:tcW w:w="775" w:type="dxa"/>
            <w:noWrap w:val="0"/>
            <w:vAlign w:val="top"/>
          </w:tcPr>
          <w:p w14:paraId="4856A7DA">
            <w:pPr>
              <w:spacing w:line="360" w:lineRule="auto"/>
              <w:rPr>
                <w:rFonts w:hint="eastAsia" w:ascii="宋体" w:hAnsi="宋体" w:eastAsia="宋体" w:cs="宋体"/>
                <w:color w:val="auto"/>
                <w:sz w:val="24"/>
                <w:szCs w:val="24"/>
              </w:rPr>
            </w:pPr>
          </w:p>
        </w:tc>
        <w:tc>
          <w:tcPr>
            <w:tcW w:w="775" w:type="dxa"/>
            <w:noWrap w:val="0"/>
            <w:vAlign w:val="top"/>
          </w:tcPr>
          <w:p w14:paraId="0C1666D3">
            <w:pPr>
              <w:spacing w:line="360" w:lineRule="auto"/>
              <w:rPr>
                <w:rFonts w:hint="eastAsia" w:ascii="宋体" w:hAnsi="宋体" w:eastAsia="宋体" w:cs="宋体"/>
                <w:color w:val="auto"/>
                <w:sz w:val="24"/>
                <w:szCs w:val="24"/>
              </w:rPr>
            </w:pPr>
          </w:p>
        </w:tc>
        <w:tc>
          <w:tcPr>
            <w:tcW w:w="1138" w:type="dxa"/>
            <w:noWrap w:val="0"/>
            <w:vAlign w:val="top"/>
          </w:tcPr>
          <w:p w14:paraId="41F2B014">
            <w:pPr>
              <w:spacing w:line="360" w:lineRule="auto"/>
              <w:rPr>
                <w:rFonts w:hint="eastAsia" w:ascii="宋体" w:hAnsi="宋体" w:eastAsia="宋体" w:cs="宋体"/>
                <w:color w:val="auto"/>
                <w:sz w:val="24"/>
                <w:szCs w:val="24"/>
              </w:rPr>
            </w:pPr>
          </w:p>
        </w:tc>
        <w:tc>
          <w:tcPr>
            <w:tcW w:w="1138" w:type="dxa"/>
            <w:noWrap w:val="0"/>
            <w:vAlign w:val="top"/>
          </w:tcPr>
          <w:p w14:paraId="6B1A81FB">
            <w:pPr>
              <w:spacing w:line="360" w:lineRule="auto"/>
              <w:rPr>
                <w:rFonts w:hint="eastAsia" w:ascii="宋体" w:hAnsi="宋体" w:eastAsia="宋体" w:cs="宋体"/>
                <w:color w:val="auto"/>
                <w:sz w:val="24"/>
                <w:szCs w:val="24"/>
              </w:rPr>
            </w:pPr>
          </w:p>
        </w:tc>
        <w:tc>
          <w:tcPr>
            <w:tcW w:w="1138" w:type="dxa"/>
            <w:noWrap w:val="0"/>
            <w:vAlign w:val="top"/>
          </w:tcPr>
          <w:p w14:paraId="28C00EE6">
            <w:pPr>
              <w:spacing w:line="360" w:lineRule="auto"/>
              <w:rPr>
                <w:rFonts w:hint="eastAsia" w:ascii="宋体" w:hAnsi="宋体" w:eastAsia="宋体" w:cs="宋体"/>
                <w:color w:val="auto"/>
                <w:sz w:val="24"/>
                <w:szCs w:val="24"/>
              </w:rPr>
            </w:pPr>
          </w:p>
        </w:tc>
        <w:tc>
          <w:tcPr>
            <w:tcW w:w="1138" w:type="dxa"/>
            <w:noWrap w:val="0"/>
            <w:vAlign w:val="top"/>
          </w:tcPr>
          <w:p w14:paraId="3B7AD9E9">
            <w:pPr>
              <w:spacing w:line="360" w:lineRule="auto"/>
              <w:rPr>
                <w:rFonts w:hint="eastAsia" w:ascii="宋体" w:hAnsi="宋体" w:eastAsia="宋体" w:cs="宋体"/>
                <w:color w:val="auto"/>
                <w:sz w:val="24"/>
                <w:szCs w:val="24"/>
              </w:rPr>
            </w:pPr>
          </w:p>
        </w:tc>
      </w:tr>
      <w:tr w14:paraId="47872C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exact"/>
          <w:jc w:val="center"/>
        </w:trPr>
        <w:tc>
          <w:tcPr>
            <w:tcW w:w="538" w:type="dxa"/>
            <w:noWrap w:val="0"/>
            <w:vAlign w:val="top"/>
          </w:tcPr>
          <w:p w14:paraId="3CB7996E">
            <w:pPr>
              <w:spacing w:line="360" w:lineRule="auto"/>
              <w:rPr>
                <w:rFonts w:hint="eastAsia" w:ascii="宋体" w:hAnsi="宋体" w:eastAsia="宋体" w:cs="宋体"/>
                <w:color w:val="auto"/>
                <w:sz w:val="24"/>
                <w:szCs w:val="24"/>
              </w:rPr>
            </w:pPr>
          </w:p>
        </w:tc>
        <w:tc>
          <w:tcPr>
            <w:tcW w:w="1485" w:type="dxa"/>
            <w:noWrap w:val="0"/>
            <w:vAlign w:val="top"/>
          </w:tcPr>
          <w:p w14:paraId="2AF4406C">
            <w:pPr>
              <w:spacing w:line="360" w:lineRule="auto"/>
              <w:rPr>
                <w:rFonts w:hint="eastAsia" w:ascii="宋体" w:hAnsi="宋体" w:eastAsia="宋体" w:cs="宋体"/>
                <w:color w:val="auto"/>
                <w:sz w:val="24"/>
                <w:szCs w:val="24"/>
              </w:rPr>
            </w:pPr>
          </w:p>
        </w:tc>
        <w:tc>
          <w:tcPr>
            <w:tcW w:w="1303" w:type="dxa"/>
            <w:noWrap w:val="0"/>
            <w:vAlign w:val="top"/>
          </w:tcPr>
          <w:p w14:paraId="3C892819">
            <w:pPr>
              <w:spacing w:line="360" w:lineRule="auto"/>
              <w:rPr>
                <w:rFonts w:hint="eastAsia" w:ascii="宋体" w:hAnsi="宋体" w:eastAsia="宋体" w:cs="宋体"/>
                <w:color w:val="auto"/>
                <w:sz w:val="24"/>
                <w:szCs w:val="24"/>
              </w:rPr>
            </w:pPr>
          </w:p>
        </w:tc>
        <w:tc>
          <w:tcPr>
            <w:tcW w:w="775" w:type="dxa"/>
            <w:noWrap w:val="0"/>
            <w:vAlign w:val="top"/>
          </w:tcPr>
          <w:p w14:paraId="31F07F57">
            <w:pPr>
              <w:spacing w:line="360" w:lineRule="auto"/>
              <w:rPr>
                <w:rFonts w:hint="eastAsia" w:ascii="宋体" w:hAnsi="宋体" w:eastAsia="宋体" w:cs="宋体"/>
                <w:color w:val="auto"/>
                <w:sz w:val="24"/>
                <w:szCs w:val="24"/>
              </w:rPr>
            </w:pPr>
          </w:p>
        </w:tc>
        <w:tc>
          <w:tcPr>
            <w:tcW w:w="775" w:type="dxa"/>
            <w:noWrap w:val="0"/>
            <w:vAlign w:val="top"/>
          </w:tcPr>
          <w:p w14:paraId="13D33B3A">
            <w:pPr>
              <w:spacing w:line="360" w:lineRule="auto"/>
              <w:rPr>
                <w:rFonts w:hint="eastAsia" w:ascii="宋体" w:hAnsi="宋体" w:eastAsia="宋体" w:cs="宋体"/>
                <w:color w:val="auto"/>
                <w:sz w:val="24"/>
                <w:szCs w:val="24"/>
              </w:rPr>
            </w:pPr>
          </w:p>
        </w:tc>
        <w:tc>
          <w:tcPr>
            <w:tcW w:w="775" w:type="dxa"/>
            <w:noWrap w:val="0"/>
            <w:vAlign w:val="top"/>
          </w:tcPr>
          <w:p w14:paraId="7E18C9FB">
            <w:pPr>
              <w:spacing w:line="360" w:lineRule="auto"/>
              <w:rPr>
                <w:rFonts w:hint="eastAsia" w:ascii="宋体" w:hAnsi="宋体" w:eastAsia="宋体" w:cs="宋体"/>
                <w:color w:val="auto"/>
                <w:sz w:val="24"/>
                <w:szCs w:val="24"/>
              </w:rPr>
            </w:pPr>
          </w:p>
        </w:tc>
        <w:tc>
          <w:tcPr>
            <w:tcW w:w="1138" w:type="dxa"/>
            <w:noWrap w:val="0"/>
            <w:vAlign w:val="top"/>
          </w:tcPr>
          <w:p w14:paraId="7184FCD1">
            <w:pPr>
              <w:spacing w:line="360" w:lineRule="auto"/>
              <w:rPr>
                <w:rFonts w:hint="eastAsia" w:ascii="宋体" w:hAnsi="宋体" w:eastAsia="宋体" w:cs="宋体"/>
                <w:color w:val="auto"/>
                <w:sz w:val="24"/>
                <w:szCs w:val="24"/>
              </w:rPr>
            </w:pPr>
          </w:p>
        </w:tc>
        <w:tc>
          <w:tcPr>
            <w:tcW w:w="1138" w:type="dxa"/>
            <w:noWrap w:val="0"/>
            <w:vAlign w:val="top"/>
          </w:tcPr>
          <w:p w14:paraId="0C4E2FB6">
            <w:pPr>
              <w:spacing w:line="360" w:lineRule="auto"/>
              <w:rPr>
                <w:rFonts w:hint="eastAsia" w:ascii="宋体" w:hAnsi="宋体" w:eastAsia="宋体" w:cs="宋体"/>
                <w:color w:val="auto"/>
                <w:sz w:val="24"/>
                <w:szCs w:val="24"/>
              </w:rPr>
            </w:pPr>
          </w:p>
        </w:tc>
        <w:tc>
          <w:tcPr>
            <w:tcW w:w="1138" w:type="dxa"/>
            <w:noWrap w:val="0"/>
            <w:vAlign w:val="top"/>
          </w:tcPr>
          <w:p w14:paraId="640B7BB5">
            <w:pPr>
              <w:spacing w:line="360" w:lineRule="auto"/>
              <w:rPr>
                <w:rFonts w:hint="eastAsia" w:ascii="宋体" w:hAnsi="宋体" w:eastAsia="宋体" w:cs="宋体"/>
                <w:color w:val="auto"/>
                <w:sz w:val="24"/>
                <w:szCs w:val="24"/>
              </w:rPr>
            </w:pPr>
          </w:p>
        </w:tc>
        <w:tc>
          <w:tcPr>
            <w:tcW w:w="1138" w:type="dxa"/>
            <w:noWrap w:val="0"/>
            <w:vAlign w:val="top"/>
          </w:tcPr>
          <w:p w14:paraId="301F1074">
            <w:pPr>
              <w:spacing w:line="360" w:lineRule="auto"/>
              <w:rPr>
                <w:rFonts w:hint="eastAsia" w:ascii="宋体" w:hAnsi="宋体" w:eastAsia="宋体" w:cs="宋体"/>
                <w:color w:val="auto"/>
                <w:sz w:val="24"/>
                <w:szCs w:val="24"/>
              </w:rPr>
            </w:pPr>
          </w:p>
        </w:tc>
      </w:tr>
    </w:tbl>
    <w:p w14:paraId="2BCAD90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备注：除合同另有约定外，本表所列发包人供应材料和工程设备的数量不考虑施工损耗，施工损耗被认为已经包括在承包人的报价中。</w:t>
      </w:r>
    </w:p>
    <w:p w14:paraId="4A26E48D">
      <w:pPr>
        <w:keepNext/>
        <w:keepLines/>
        <w:spacing w:line="360" w:lineRule="auto"/>
        <w:jc w:val="left"/>
        <w:outlineLvl w:val="9"/>
        <w:rPr>
          <w:rFonts w:hint="eastAsia" w:ascii="宋体" w:hAnsi="宋体" w:eastAsia="宋体" w:cs="宋体"/>
          <w:b/>
          <w:bCs/>
          <w:color w:val="auto"/>
          <w:sz w:val="24"/>
          <w:szCs w:val="24"/>
        </w:rPr>
      </w:pPr>
    </w:p>
    <w:p w14:paraId="419F163D">
      <w:pPr>
        <w:keepNext/>
        <w:keepLines/>
        <w:spacing w:line="360" w:lineRule="auto"/>
        <w:jc w:val="left"/>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附件三：质量保修书格式</w:t>
      </w:r>
    </w:p>
    <w:p w14:paraId="0BBDC433">
      <w:pPr>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工程质量保修书</w:t>
      </w:r>
    </w:p>
    <w:p w14:paraId="2B9857B7">
      <w:pPr>
        <w:spacing w:line="360" w:lineRule="auto"/>
        <w:ind w:firstLine="600" w:firstLineChars="250"/>
        <w:rPr>
          <w:rFonts w:hint="eastAsia" w:ascii="宋体" w:hAnsi="宋体" w:eastAsia="宋体" w:cs="宋体"/>
          <w:color w:val="auto"/>
          <w:sz w:val="24"/>
          <w:szCs w:val="24"/>
          <w:u w:val="single"/>
        </w:rPr>
      </w:pPr>
      <w:r>
        <w:rPr>
          <w:rFonts w:hint="eastAsia" w:ascii="宋体" w:hAnsi="宋体" w:eastAsia="宋体" w:cs="宋体"/>
          <w:color w:val="auto"/>
          <w:sz w:val="24"/>
          <w:szCs w:val="24"/>
        </w:rPr>
        <w:t>发包人：</w:t>
      </w:r>
      <w:r>
        <w:rPr>
          <w:rFonts w:hint="eastAsia" w:ascii="宋体" w:hAnsi="宋体" w:cs="宋体"/>
          <w:color w:val="auto"/>
          <w:sz w:val="24"/>
          <w:szCs w:val="24"/>
          <w:u w:val="single"/>
          <w:lang w:eastAsia="zh-CN"/>
        </w:rPr>
        <w:t>邹城市千泉街道郭庄社区居民委员会</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3BB3349C">
      <w:pPr>
        <w:spacing w:line="360" w:lineRule="auto"/>
        <w:ind w:firstLine="600" w:firstLineChars="250"/>
        <w:rPr>
          <w:rFonts w:hint="eastAsia" w:ascii="宋体" w:hAnsi="宋体" w:eastAsia="宋体" w:cs="宋体"/>
          <w:color w:val="auto"/>
          <w:sz w:val="24"/>
          <w:szCs w:val="24"/>
          <w:u w:val="single"/>
        </w:rPr>
      </w:pPr>
      <w:r>
        <w:rPr>
          <w:rFonts w:hint="eastAsia" w:ascii="宋体" w:hAnsi="宋体" w:eastAsia="宋体" w:cs="宋体"/>
          <w:color w:val="auto"/>
          <w:sz w:val="24"/>
          <w:szCs w:val="24"/>
        </w:rPr>
        <w:t>承包人：</w:t>
      </w:r>
      <w:r>
        <w:rPr>
          <w:rFonts w:hint="eastAsia" w:ascii="宋体" w:hAnsi="宋体" w:eastAsia="宋体" w:cs="宋体"/>
          <w:color w:val="auto"/>
          <w:sz w:val="24"/>
          <w:szCs w:val="24"/>
          <w:u w:val="single"/>
        </w:rPr>
        <w:t xml:space="preserve">                               </w:t>
      </w:r>
    </w:p>
    <w:p w14:paraId="4C011E2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发包人、承包人根据《中华人民共和国建筑法》、《建设工程质量管理条例》，经协商一致，对</w:t>
      </w:r>
      <w:r>
        <w:rPr>
          <w:rFonts w:hint="eastAsia" w:ascii="宋体" w:hAnsi="宋体" w:cs="宋体"/>
          <w:color w:val="auto"/>
          <w:sz w:val="24"/>
          <w:szCs w:val="24"/>
          <w:u w:val="single"/>
          <w:lang w:eastAsia="zh-CN"/>
        </w:rPr>
        <w:t>千泉街道郭庄社区低压线路升级改造工程</w:t>
      </w:r>
      <w:r>
        <w:rPr>
          <w:rFonts w:hint="eastAsia" w:ascii="宋体" w:hAnsi="宋体" w:eastAsia="宋体" w:cs="宋体"/>
          <w:color w:val="auto"/>
          <w:sz w:val="24"/>
          <w:szCs w:val="24"/>
        </w:rPr>
        <w:t>签订保修书。</w:t>
      </w:r>
    </w:p>
    <w:p w14:paraId="0993B10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一、工程保修范围和内容</w:t>
      </w:r>
    </w:p>
    <w:p w14:paraId="42B14BA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承包人在保修期内，按照有关法律、法规、规章的管理规定和双方约定，承担本工程保修责任。</w:t>
      </w:r>
    </w:p>
    <w:p w14:paraId="2DFC273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具体保修的内容，双方约定如下：</w:t>
      </w:r>
      <w:r>
        <w:rPr>
          <w:rFonts w:hint="eastAsia" w:ascii="宋体" w:hAnsi="宋体" w:eastAsia="宋体" w:cs="宋体"/>
          <w:color w:val="auto"/>
          <w:sz w:val="24"/>
          <w:szCs w:val="24"/>
          <w:highlight w:val="none"/>
          <w:u w:val="single"/>
        </w:rPr>
        <w:t>承包范围内的所有工程内容</w:t>
      </w:r>
      <w:r>
        <w:rPr>
          <w:rFonts w:hint="eastAsia" w:ascii="宋体" w:hAnsi="宋体" w:eastAsia="宋体" w:cs="宋体"/>
          <w:color w:val="auto"/>
          <w:sz w:val="24"/>
          <w:szCs w:val="24"/>
          <w:highlight w:val="none"/>
        </w:rPr>
        <w:t>。</w:t>
      </w:r>
    </w:p>
    <w:p w14:paraId="2FE5A77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二、保修期</w:t>
      </w:r>
    </w:p>
    <w:p w14:paraId="42046F1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rPr>
        <w:t>双方根据《建设工程质量管理条例》及有关规定，约定本工程的保修期如下：</w:t>
      </w:r>
      <w:r>
        <w:rPr>
          <w:rFonts w:hint="eastAsia" w:ascii="宋体" w:hAnsi="宋体" w:eastAsia="宋体" w:cs="宋体"/>
          <w:color w:val="auto"/>
          <w:sz w:val="24"/>
          <w:szCs w:val="24"/>
          <w:highlight w:val="none"/>
        </w:rPr>
        <w:t>全部工程施工为</w:t>
      </w:r>
      <w:r>
        <w:rPr>
          <w:rFonts w:hint="eastAsia" w:ascii="宋体" w:hAnsi="宋体" w:eastAsia="宋体" w:cs="宋体"/>
          <w:color w:val="auto"/>
          <w:sz w:val="24"/>
          <w:szCs w:val="24"/>
          <w:highlight w:val="none"/>
          <w:u w:val="single"/>
        </w:rPr>
        <w:t xml:space="preserve"> 二 </w:t>
      </w:r>
      <w:r>
        <w:rPr>
          <w:rFonts w:hint="eastAsia" w:ascii="宋体" w:hAnsi="宋体" w:eastAsia="宋体" w:cs="宋体"/>
          <w:color w:val="auto"/>
          <w:sz w:val="24"/>
          <w:szCs w:val="24"/>
          <w:highlight w:val="none"/>
        </w:rPr>
        <w:t>年；</w:t>
      </w:r>
    </w:p>
    <w:p w14:paraId="7F2DCFBB">
      <w:pPr>
        <w:spacing w:line="360" w:lineRule="auto"/>
        <w:ind w:firstLine="480" w:firstLineChars="200"/>
        <w:rPr>
          <w:rFonts w:hint="eastAsia" w:ascii="宋体" w:hAnsi="宋体" w:eastAsia="宋体" w:cs="宋体"/>
          <w:color w:val="auto"/>
          <w:sz w:val="24"/>
          <w:szCs w:val="24"/>
          <w:u w:val="single"/>
          <w:lang w:val="en-US" w:eastAsia="zh-CN"/>
        </w:rPr>
      </w:pPr>
      <w:r>
        <w:rPr>
          <w:rFonts w:hint="eastAsia" w:ascii="宋体" w:hAnsi="宋体" w:eastAsia="宋体" w:cs="宋体"/>
          <w:color w:val="auto"/>
          <w:sz w:val="24"/>
          <w:szCs w:val="24"/>
        </w:rPr>
        <w:t>其他项目保修期限约定如下：</w:t>
      </w:r>
      <w:r>
        <w:rPr>
          <w:rFonts w:hint="eastAsia" w:ascii="宋体" w:hAnsi="宋体" w:eastAsia="宋体" w:cs="宋体"/>
          <w:color w:val="auto"/>
          <w:sz w:val="24"/>
          <w:szCs w:val="24"/>
          <w:u w:val="single"/>
        </w:rPr>
        <w:t xml:space="preserve">  其他未尽事项执行国家相关规定。</w:t>
      </w:r>
    </w:p>
    <w:p w14:paraId="0304E54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三、保修责任</w:t>
      </w:r>
    </w:p>
    <w:p w14:paraId="39A59D8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1、属于责任范围、内容的项目，承包人应当在接到保修通知之日起7天内派人保修。承包人不在约定期限内派人保修的，发包人可以委托他人修理。</w:t>
      </w:r>
    </w:p>
    <w:p w14:paraId="4D0A89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2、发生紧急抢修事故的，承包人在接到事故通知后，应当立即到达事故现场抢修。</w:t>
      </w:r>
    </w:p>
    <w:p w14:paraId="5C9F6AA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14:paraId="23C9AED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4、质量保修完成后，由发包人组织验收。</w:t>
      </w:r>
    </w:p>
    <w:p w14:paraId="41D93F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四、保修费用</w:t>
      </w:r>
    </w:p>
    <w:p w14:paraId="0EA8B68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保修费用由造成质量缺陷的责任方承担。</w:t>
      </w:r>
    </w:p>
    <w:p w14:paraId="437ECFB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五、其他</w:t>
      </w:r>
    </w:p>
    <w:p w14:paraId="7628C4F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双方约定的其他工程保修责任事项：</w:t>
      </w:r>
    </w:p>
    <w:p w14:paraId="68B27679">
      <w:pPr>
        <w:spacing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 xml:space="preserve">                                                                                     </w:t>
      </w:r>
    </w:p>
    <w:p w14:paraId="4FD0116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本工程保修书，由施工合同发包人、承包人双方在竣工验收前共同签署，作为施工合同附件，其有效期限至保修期满。</w:t>
      </w:r>
    </w:p>
    <w:p w14:paraId="55478ABE">
      <w:pPr>
        <w:spacing w:line="360" w:lineRule="auto"/>
        <w:ind w:firstLine="480" w:firstLineChars="200"/>
        <w:rPr>
          <w:rFonts w:hint="eastAsia" w:ascii="宋体" w:hAnsi="宋体" w:eastAsia="宋体" w:cs="宋体"/>
          <w:color w:val="auto"/>
          <w:sz w:val="24"/>
          <w:szCs w:val="24"/>
        </w:rPr>
      </w:pPr>
    </w:p>
    <w:p w14:paraId="794786E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发包人：(公章)                                   承包人： (公章)</w:t>
      </w:r>
    </w:p>
    <w:p w14:paraId="14006569">
      <w:pPr>
        <w:spacing w:line="360" w:lineRule="auto"/>
        <w:ind w:firstLine="480" w:firstLineChars="200"/>
        <w:rPr>
          <w:rFonts w:hint="eastAsia" w:ascii="宋体" w:hAnsi="宋体" w:eastAsia="宋体" w:cs="宋体"/>
          <w:color w:val="auto"/>
          <w:sz w:val="24"/>
          <w:szCs w:val="24"/>
        </w:rPr>
      </w:pPr>
    </w:p>
    <w:p w14:paraId="1DBEF77D">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法定地址：                                       法定地址：</w:t>
      </w:r>
    </w:p>
    <w:p w14:paraId="4F24080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                                   法定代表人或其</w:t>
      </w:r>
    </w:p>
    <w:p w14:paraId="3BF38EC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授权委托人：(签字)                               授权委托人： (签字)</w:t>
      </w:r>
    </w:p>
    <w:p w14:paraId="461A9B2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电话：                                           电话：</w:t>
      </w:r>
    </w:p>
    <w:p w14:paraId="0A707F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传真：                                           传真：</w:t>
      </w:r>
    </w:p>
    <w:p w14:paraId="7947423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电子邮箱和微信：                                 电子邮箱和微信：</w:t>
      </w:r>
    </w:p>
    <w:p w14:paraId="36D77F1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开户银行：                                       开户银行： </w:t>
      </w:r>
    </w:p>
    <w:p w14:paraId="1AB2FE3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帐号：                                           帐号：</w:t>
      </w:r>
    </w:p>
    <w:p w14:paraId="323BA1D2">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邮政编码：                                       邮政编码：</w:t>
      </w:r>
      <w:r>
        <w:rPr>
          <w:rFonts w:hint="eastAsia" w:ascii="宋体" w:hAnsi="宋体" w:eastAsia="宋体" w:cs="宋体"/>
          <w:color w:val="auto"/>
          <w:sz w:val="24"/>
          <w:szCs w:val="24"/>
        </w:rPr>
        <w:br w:type="page"/>
      </w:r>
    </w:p>
    <w:p w14:paraId="2D41F8DF">
      <w:pPr>
        <w:keepNext/>
        <w:keepLines/>
        <w:spacing w:line="360" w:lineRule="auto"/>
        <w:jc w:val="left"/>
        <w:outlineLvl w:val="2"/>
        <w:rPr>
          <w:rFonts w:hint="eastAsia" w:ascii="宋体" w:hAnsi="宋体" w:eastAsia="宋体" w:cs="宋体"/>
          <w:b/>
          <w:bCs/>
          <w:color w:val="auto"/>
          <w:sz w:val="24"/>
          <w:szCs w:val="24"/>
        </w:rPr>
      </w:pPr>
      <w:r>
        <w:rPr>
          <w:rFonts w:hint="eastAsia" w:ascii="宋体" w:hAnsi="宋体" w:eastAsia="宋体" w:cs="宋体"/>
          <w:b/>
          <w:bCs/>
          <w:color w:val="auto"/>
          <w:sz w:val="24"/>
          <w:szCs w:val="24"/>
        </w:rPr>
        <w:t>附件四：廉政责任书格式</w:t>
      </w:r>
    </w:p>
    <w:p w14:paraId="4C946F66">
      <w:pPr>
        <w:spacing w:line="360" w:lineRule="auto"/>
        <w:ind w:firstLine="480" w:firstLineChars="200"/>
        <w:jc w:val="center"/>
        <w:rPr>
          <w:rFonts w:hint="eastAsia" w:ascii="宋体" w:hAnsi="宋体" w:eastAsia="宋体" w:cs="宋体"/>
          <w:color w:val="auto"/>
          <w:sz w:val="24"/>
          <w:szCs w:val="24"/>
        </w:rPr>
      </w:pPr>
      <w:r>
        <w:rPr>
          <w:rFonts w:hint="eastAsia" w:ascii="宋体" w:hAnsi="宋体" w:eastAsia="宋体" w:cs="宋体"/>
          <w:color w:val="auto"/>
          <w:sz w:val="24"/>
          <w:szCs w:val="24"/>
        </w:rPr>
        <w:t>建设工程廉政责任书</w:t>
      </w:r>
    </w:p>
    <w:p w14:paraId="0E7AFDCD">
      <w:pPr>
        <w:spacing w:line="360" w:lineRule="auto"/>
        <w:ind w:firstLine="600" w:firstLineChars="250"/>
        <w:rPr>
          <w:rFonts w:hint="eastAsia" w:ascii="宋体" w:hAnsi="宋体" w:eastAsia="宋体" w:cs="宋体"/>
          <w:color w:val="auto"/>
          <w:sz w:val="24"/>
          <w:szCs w:val="24"/>
          <w:u w:val="single"/>
        </w:rPr>
      </w:pPr>
      <w:r>
        <w:rPr>
          <w:rFonts w:hint="eastAsia" w:ascii="宋体" w:hAnsi="宋体" w:eastAsia="宋体" w:cs="宋体"/>
          <w:color w:val="auto"/>
          <w:sz w:val="24"/>
          <w:szCs w:val="24"/>
        </w:rPr>
        <w:t>发包人：</w:t>
      </w:r>
      <w:r>
        <w:rPr>
          <w:rFonts w:hint="eastAsia" w:ascii="宋体" w:hAnsi="宋体" w:eastAsia="宋体" w:cs="宋体"/>
          <w:color w:val="auto"/>
          <w:sz w:val="24"/>
          <w:szCs w:val="24"/>
          <w:u w:val="single"/>
          <w:lang w:val="en-US" w:eastAsia="zh-CN"/>
        </w:rPr>
        <w:t xml:space="preserve">  </w:t>
      </w:r>
      <w:r>
        <w:rPr>
          <w:rFonts w:hint="eastAsia" w:ascii="宋体" w:hAnsi="宋体" w:cs="宋体"/>
          <w:color w:val="auto"/>
          <w:sz w:val="24"/>
          <w:szCs w:val="24"/>
          <w:u w:val="single"/>
          <w:lang w:eastAsia="zh-CN"/>
        </w:rPr>
        <w:t>邹城市千泉街道郭庄社区居民委员会</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p>
    <w:p w14:paraId="032842AC">
      <w:pPr>
        <w:spacing w:line="360" w:lineRule="auto"/>
        <w:ind w:firstLine="600" w:firstLineChars="250"/>
        <w:rPr>
          <w:rFonts w:hint="eastAsia" w:ascii="宋体" w:hAnsi="宋体" w:eastAsia="宋体" w:cs="宋体"/>
          <w:color w:val="auto"/>
          <w:sz w:val="24"/>
          <w:szCs w:val="24"/>
          <w:u w:val="single"/>
        </w:rPr>
      </w:pPr>
      <w:r>
        <w:rPr>
          <w:rFonts w:hint="eastAsia" w:ascii="宋体" w:hAnsi="宋体" w:eastAsia="宋体" w:cs="宋体"/>
          <w:color w:val="auto"/>
          <w:sz w:val="24"/>
          <w:szCs w:val="24"/>
        </w:rPr>
        <w:t>承包人：</w:t>
      </w:r>
      <w:r>
        <w:rPr>
          <w:rFonts w:hint="eastAsia" w:ascii="宋体" w:hAnsi="宋体" w:eastAsia="宋体" w:cs="宋体"/>
          <w:color w:val="auto"/>
          <w:sz w:val="24"/>
          <w:szCs w:val="24"/>
          <w:u w:val="single"/>
        </w:rPr>
        <w:t xml:space="preserve">                            </w:t>
      </w:r>
    </w:p>
    <w:p w14:paraId="2ACC3F6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4D77AFA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一、双方的责任</w:t>
      </w:r>
    </w:p>
    <w:p w14:paraId="0887A67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1.1应严格遵守国家关于建设工程的有关法律、法规，相关政策，以及廉政建设的各项规定。</w:t>
      </w:r>
    </w:p>
    <w:p w14:paraId="096B8F9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1.2严格执行建设工程合同文件，自觉按合同办事。</w:t>
      </w:r>
    </w:p>
    <w:p w14:paraId="3086E03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1.3各项活动必须坚持公开、公平、公正、诚信、透明的原则(除法律法规另有规定者外)，不得为获取不正当的利益，损害国家、集体和对方利益，不得违反建设工程管理的规章制度。</w:t>
      </w:r>
    </w:p>
    <w:p w14:paraId="656E061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1.4发现对方在业务活动中有违规、违纪、违法行为的，应及时提醒对方，情节严重的，应向其上级主管部门或纪检监察、司法等有关机关举报。</w:t>
      </w:r>
    </w:p>
    <w:p w14:paraId="6DDEBFB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二、发包人责任</w:t>
      </w:r>
    </w:p>
    <w:p w14:paraId="5B2A7C5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发包人的领导和从事该建设工程项目的工作人员，在工程建设的事前、事中、事后应遵守以下规定：</w:t>
      </w:r>
    </w:p>
    <w:p w14:paraId="6BA5348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2.1不得向承包人和相关单位索要或接受回扣、礼金、有价证券、贵重物品和好处费、感谢费等。</w:t>
      </w:r>
    </w:p>
    <w:p w14:paraId="7BC2AD8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2.2不得在承包人和相关单位报销任何应由发包人或个人支付的费用。</w:t>
      </w:r>
    </w:p>
    <w:p w14:paraId="0267136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2.3不得要求、暗示或接受承包人和相关单位为个人装修住房、婚丧嫁娶、配偶子女的工作安排以及出国(境)、旅游等提供方便。</w:t>
      </w:r>
    </w:p>
    <w:p w14:paraId="5699174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2.4不得参加有可能影响公正执行公务的承包人和相关单位的宴请、健身、娱乐等活动。</w:t>
      </w:r>
    </w:p>
    <w:p w14:paraId="7EB896B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2.5不得向承包人和相关单位介绍或为配偶、子女、亲属参与同发包人工程建设管理合同有关的业务活动；不得以任何理由要求承包人和相关单位使用某种产品、材料和设备。</w:t>
      </w:r>
    </w:p>
    <w:p w14:paraId="17D711D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三、承包人责任</w:t>
      </w:r>
    </w:p>
    <w:p w14:paraId="7FCFC9F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应与发包人保持正常的业务交往，按照有关法律法规和程序开展业务工作，严格执行工程建设的有关方针、政策，执行工程建设强制性标准，并遵守以下规定：</w:t>
      </w:r>
    </w:p>
    <w:p w14:paraId="1778E9D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3.1不得以任何理由向发包人及其工作人员索要、接受或赠送礼金、有价证券、贵重物品及回扣、好处费、感谢费等。</w:t>
      </w:r>
    </w:p>
    <w:p w14:paraId="79DD7BD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3.2不得以任何理由为发包人和相关单位报销应由对方或个人支付的费用。</w:t>
      </w:r>
    </w:p>
    <w:p w14:paraId="5E3423E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3.3不得接受或暗示为发包人、相关单位或个人装修住房、婚丧嫁娶、配偶子女的工作安排以及出国(境)、旅游等提供方便。</w:t>
      </w:r>
    </w:p>
    <w:p w14:paraId="1996FF2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3.4不得以任何理由为发包人、相关单位或个人组织有可能影响公正执行公务的宴请、健身、娱乐等活动。</w:t>
      </w:r>
    </w:p>
    <w:p w14:paraId="12CC474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四、违约责任</w:t>
      </w:r>
    </w:p>
    <w:p w14:paraId="668C18F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4.1发包人工作人员有违反本责任书第一、二条责任行为的，依据有关法律、法规给予处理；涉嫌犯罪的，移交司法机关追究刑事责任；给承包人单位造成经济损失的，应予以赔偿。</w:t>
      </w:r>
    </w:p>
    <w:p w14:paraId="286D039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4.2承包人工作人员有违反本责任书第一、三条责任行为的，依据有关法律法规处理；涉嫌犯罪的，移交司法机关追究刑事责任；给发包人单位造成经济损失的，应予以赔偿。</w:t>
      </w:r>
    </w:p>
    <w:p w14:paraId="6DFFB23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4.3本责任书作为建设工程合同的组成部分，与建设工程合同具有同等法律效力。经双方签署后立即生效。</w:t>
      </w:r>
    </w:p>
    <w:p w14:paraId="40C3E8B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五、责任书有效期</w:t>
      </w:r>
    </w:p>
    <w:p w14:paraId="20AF777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本责任书的有效期为双方签署之日起至该工程项目竣工验收合格时止。</w:t>
      </w:r>
    </w:p>
    <w:p w14:paraId="063399B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六、责任书份数</w:t>
      </w:r>
    </w:p>
    <w:p w14:paraId="790FCFE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本责任书一式二份，发包人承包人各执一份，具有同等效力。</w:t>
      </w:r>
    </w:p>
    <w:p w14:paraId="52FB8B2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发包人：(公章)                                   承包人： (公章)</w:t>
      </w:r>
    </w:p>
    <w:p w14:paraId="512D142B">
      <w:pP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rPr>
        <w:t>法定地址：                                       法定地址：</w:t>
      </w:r>
    </w:p>
    <w:p w14:paraId="5311034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                                   法定代表人或其</w:t>
      </w:r>
    </w:p>
    <w:p w14:paraId="4E96708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授权委托人：(签字)                               授权委托人： (签字)</w:t>
      </w:r>
    </w:p>
    <w:p w14:paraId="50B0B10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电话：                                           电话：</w:t>
      </w:r>
    </w:p>
    <w:p w14:paraId="48CD24D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传真：                                           传真：</w:t>
      </w:r>
    </w:p>
    <w:p w14:paraId="19E5B9F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电子邮箱和微信：                                 电子邮箱和微信：</w:t>
      </w:r>
    </w:p>
    <w:p w14:paraId="2A25D2F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开户银行：                                       开户银行： </w:t>
      </w:r>
    </w:p>
    <w:p w14:paraId="592CF17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帐号：                                           帐号：</w:t>
      </w:r>
    </w:p>
    <w:p w14:paraId="1AA82EC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邮政编码：                                       邮政编码：</w:t>
      </w:r>
    </w:p>
    <w:p w14:paraId="5D1B20CE">
      <w:pPr>
        <w:spacing w:line="360" w:lineRule="auto"/>
        <w:rPr>
          <w:rFonts w:ascii="宋体" w:hAnsi="宋体" w:cs="宋体"/>
          <w:b/>
          <w:bCs/>
          <w:color w:val="auto"/>
          <w:szCs w:val="21"/>
        </w:rPr>
      </w:pPr>
    </w:p>
    <w:p w14:paraId="42C9797B">
      <w:pPr>
        <w:spacing w:line="360" w:lineRule="auto"/>
        <w:rPr>
          <w:rFonts w:ascii="宋体" w:hAnsi="宋体" w:cs="宋体"/>
          <w:b/>
          <w:bCs/>
          <w:color w:val="auto"/>
          <w:szCs w:val="21"/>
        </w:rPr>
      </w:pPr>
    </w:p>
    <w:p w14:paraId="4AE039FC">
      <w:pPr>
        <w:spacing w:line="360" w:lineRule="auto"/>
        <w:rPr>
          <w:rFonts w:ascii="宋体" w:hAnsi="宋体" w:cs="宋体"/>
          <w:b/>
          <w:bCs/>
          <w:color w:val="auto"/>
          <w:szCs w:val="21"/>
        </w:rPr>
      </w:pPr>
    </w:p>
    <w:p w14:paraId="06A9376D">
      <w:pPr>
        <w:spacing w:line="360" w:lineRule="auto"/>
        <w:rPr>
          <w:rFonts w:ascii="宋体" w:hAnsi="宋体" w:cs="宋体"/>
          <w:b/>
          <w:bCs/>
          <w:color w:val="auto"/>
          <w:szCs w:val="21"/>
        </w:rPr>
      </w:pPr>
    </w:p>
    <w:p w14:paraId="146A3735">
      <w:pPr>
        <w:spacing w:line="360" w:lineRule="auto"/>
        <w:rPr>
          <w:rFonts w:ascii="宋体" w:hAnsi="宋体" w:cs="宋体"/>
          <w:b/>
          <w:bCs/>
          <w:color w:val="auto"/>
          <w:szCs w:val="21"/>
        </w:rPr>
      </w:pPr>
    </w:p>
    <w:p w14:paraId="17AD59B2">
      <w:pPr>
        <w:spacing w:line="360" w:lineRule="auto"/>
        <w:rPr>
          <w:rFonts w:hint="eastAsia" w:ascii="宋体" w:hAnsi="宋体" w:cs="宋体"/>
          <w:b/>
          <w:bCs/>
          <w:color w:val="auto"/>
          <w:szCs w:val="21"/>
        </w:rPr>
      </w:pPr>
    </w:p>
    <w:p w14:paraId="422E3C09">
      <w:pPr>
        <w:spacing w:line="560" w:lineRule="exact"/>
        <w:jc w:val="center"/>
        <w:outlineLvl w:val="9"/>
        <w:rPr>
          <w:rFonts w:hint="eastAsia" w:ascii="宋体" w:hAnsi="宋体" w:cs="宋体"/>
          <w:b/>
          <w:color w:val="auto"/>
          <w:sz w:val="48"/>
          <w:szCs w:val="32"/>
        </w:rPr>
      </w:pPr>
    </w:p>
    <w:p w14:paraId="6708A643">
      <w:pPr>
        <w:spacing w:line="560" w:lineRule="exact"/>
        <w:jc w:val="center"/>
        <w:outlineLvl w:val="9"/>
        <w:rPr>
          <w:rFonts w:hint="eastAsia" w:ascii="宋体" w:hAnsi="宋体" w:cs="宋体"/>
          <w:b/>
          <w:color w:val="auto"/>
          <w:sz w:val="48"/>
          <w:szCs w:val="32"/>
        </w:rPr>
      </w:pPr>
    </w:p>
    <w:p w14:paraId="7506E54A">
      <w:pPr>
        <w:spacing w:line="560" w:lineRule="exact"/>
        <w:jc w:val="center"/>
        <w:outlineLvl w:val="9"/>
        <w:rPr>
          <w:rFonts w:hint="eastAsia" w:ascii="宋体" w:hAnsi="宋体" w:cs="宋体"/>
          <w:b/>
          <w:color w:val="auto"/>
          <w:sz w:val="48"/>
          <w:szCs w:val="32"/>
        </w:rPr>
      </w:pPr>
    </w:p>
    <w:p w14:paraId="172E1280">
      <w:pPr>
        <w:spacing w:line="560" w:lineRule="exact"/>
        <w:jc w:val="center"/>
        <w:outlineLvl w:val="9"/>
        <w:rPr>
          <w:rFonts w:hint="eastAsia" w:ascii="宋体" w:hAnsi="宋体" w:cs="宋体"/>
          <w:b/>
          <w:color w:val="auto"/>
          <w:sz w:val="48"/>
          <w:szCs w:val="32"/>
        </w:rPr>
      </w:pPr>
    </w:p>
    <w:p w14:paraId="01244DA7">
      <w:pPr>
        <w:spacing w:line="560" w:lineRule="exact"/>
        <w:jc w:val="center"/>
        <w:outlineLvl w:val="9"/>
        <w:rPr>
          <w:rFonts w:hint="eastAsia" w:ascii="宋体" w:hAnsi="宋体" w:cs="宋体"/>
          <w:b/>
          <w:color w:val="auto"/>
          <w:sz w:val="48"/>
          <w:szCs w:val="32"/>
        </w:rPr>
      </w:pPr>
    </w:p>
    <w:p w14:paraId="04F66E9F">
      <w:pPr>
        <w:spacing w:line="560" w:lineRule="exact"/>
        <w:jc w:val="center"/>
        <w:outlineLvl w:val="9"/>
        <w:rPr>
          <w:rFonts w:hint="eastAsia" w:ascii="宋体" w:hAnsi="宋体" w:cs="宋体"/>
          <w:b/>
          <w:color w:val="auto"/>
          <w:sz w:val="48"/>
          <w:szCs w:val="32"/>
        </w:rPr>
      </w:pPr>
    </w:p>
    <w:p w14:paraId="0E20FBA9">
      <w:pPr>
        <w:spacing w:line="560" w:lineRule="exact"/>
        <w:jc w:val="center"/>
        <w:outlineLvl w:val="9"/>
        <w:rPr>
          <w:rFonts w:hint="eastAsia" w:ascii="宋体" w:hAnsi="宋体" w:cs="宋体"/>
          <w:b/>
          <w:color w:val="auto"/>
          <w:sz w:val="48"/>
          <w:szCs w:val="32"/>
        </w:rPr>
      </w:pPr>
    </w:p>
    <w:p w14:paraId="637DC714">
      <w:pPr>
        <w:spacing w:line="560" w:lineRule="exact"/>
        <w:jc w:val="center"/>
        <w:outlineLvl w:val="9"/>
        <w:rPr>
          <w:rFonts w:hint="eastAsia" w:ascii="宋体" w:hAnsi="宋体" w:cs="宋体"/>
          <w:b/>
          <w:color w:val="auto"/>
          <w:sz w:val="48"/>
          <w:szCs w:val="32"/>
        </w:rPr>
      </w:pPr>
    </w:p>
    <w:p w14:paraId="0A8C841C">
      <w:pPr>
        <w:spacing w:line="560" w:lineRule="exact"/>
        <w:jc w:val="center"/>
        <w:outlineLvl w:val="9"/>
        <w:rPr>
          <w:rFonts w:hint="eastAsia" w:ascii="宋体" w:hAnsi="宋体" w:cs="宋体"/>
          <w:b/>
          <w:color w:val="auto"/>
          <w:sz w:val="48"/>
          <w:szCs w:val="32"/>
        </w:rPr>
      </w:pPr>
    </w:p>
    <w:p w14:paraId="39857937">
      <w:pPr>
        <w:spacing w:line="560" w:lineRule="exact"/>
        <w:jc w:val="center"/>
        <w:outlineLvl w:val="9"/>
        <w:rPr>
          <w:rFonts w:hint="eastAsia" w:ascii="宋体" w:hAnsi="宋体" w:cs="宋体"/>
          <w:b/>
          <w:color w:val="auto"/>
          <w:sz w:val="48"/>
          <w:szCs w:val="32"/>
        </w:rPr>
      </w:pPr>
    </w:p>
    <w:p w14:paraId="4E3293B2">
      <w:pPr>
        <w:spacing w:line="560" w:lineRule="exact"/>
        <w:jc w:val="center"/>
        <w:outlineLvl w:val="9"/>
        <w:rPr>
          <w:rFonts w:hint="eastAsia" w:ascii="宋体" w:hAnsi="宋体" w:cs="宋体"/>
          <w:b/>
          <w:color w:val="auto"/>
          <w:sz w:val="48"/>
          <w:szCs w:val="32"/>
        </w:rPr>
      </w:pPr>
    </w:p>
    <w:p w14:paraId="52C39DA6">
      <w:pPr>
        <w:pStyle w:val="3"/>
        <w:bidi w:val="0"/>
        <w:jc w:val="center"/>
        <w:outlineLvl w:val="0"/>
        <w:rPr>
          <w:rFonts w:hint="eastAsia" w:ascii="宋体" w:hAnsi="宋体" w:eastAsia="宋体" w:cs="宋体"/>
          <w:color w:val="auto"/>
          <w:sz w:val="24"/>
          <w:szCs w:val="24"/>
        </w:rPr>
      </w:pPr>
      <w:bookmarkStart w:id="43" w:name="_Toc30486"/>
      <w:r>
        <w:rPr>
          <w:rFonts w:hint="eastAsia" w:ascii="宋体" w:hAnsi="宋体" w:eastAsia="宋体" w:cs="宋体"/>
          <w:color w:val="auto"/>
          <w:sz w:val="24"/>
          <w:szCs w:val="24"/>
        </w:rPr>
        <w:t>第六部分  响应文件格式</w:t>
      </w:r>
      <w:bookmarkEnd w:id="43"/>
    </w:p>
    <w:tbl>
      <w:tblPr>
        <w:tblStyle w:val="40"/>
        <w:tblpPr w:leftFromText="180" w:rightFromText="180" w:vertAnchor="text" w:tblpX="8140" w:tblpY="22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0"/>
      </w:tblGrid>
      <w:tr w14:paraId="7C1B2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800" w:type="dxa"/>
          </w:tcPr>
          <w:p w14:paraId="0487E93B">
            <w:pPr>
              <w:spacing w:line="560" w:lineRule="exact"/>
              <w:jc w:val="left"/>
              <w:rPr>
                <w:rFonts w:hint="default" w:ascii="宋体" w:hAnsi="宋体" w:eastAsia="宋体"/>
                <w:color w:val="auto"/>
                <w:vertAlign w:val="baseline"/>
                <w:lang w:val="en-US" w:eastAsia="zh-CN"/>
              </w:rPr>
            </w:pPr>
            <w:r>
              <w:rPr>
                <w:rFonts w:hint="eastAsia" w:ascii="宋体" w:hAnsi="宋体"/>
                <w:b/>
                <w:bCs/>
                <w:color w:val="auto"/>
                <w:sz w:val="44"/>
                <w:szCs w:val="44"/>
                <w:vertAlign w:val="baseline"/>
                <w:lang w:eastAsia="zh-CN"/>
              </w:rPr>
              <w:t>正</w:t>
            </w:r>
            <w:r>
              <w:rPr>
                <w:rFonts w:hint="eastAsia" w:ascii="宋体" w:hAnsi="宋体"/>
                <w:b/>
                <w:bCs/>
                <w:color w:val="auto"/>
                <w:sz w:val="44"/>
                <w:szCs w:val="44"/>
                <w:vertAlign w:val="baseline"/>
                <w:lang w:val="en-US" w:eastAsia="zh-CN"/>
              </w:rPr>
              <w:t>/副本</w:t>
            </w:r>
          </w:p>
        </w:tc>
      </w:tr>
    </w:tbl>
    <w:p w14:paraId="2B03D8B2">
      <w:pPr>
        <w:spacing w:line="560" w:lineRule="exact"/>
        <w:jc w:val="left"/>
        <w:rPr>
          <w:rFonts w:hint="eastAsia" w:ascii="宋体" w:hAnsi="宋体" w:eastAsia="宋体"/>
          <w:color w:val="auto"/>
          <w:lang w:eastAsia="zh-CN"/>
        </w:rPr>
      </w:pPr>
    </w:p>
    <w:p w14:paraId="196BA802">
      <w:pPr>
        <w:spacing w:line="360" w:lineRule="auto"/>
        <w:ind w:firstLine="1205" w:firstLineChars="300"/>
        <w:rPr>
          <w:rFonts w:hint="eastAsia" w:ascii="宋体" w:hAnsi="宋体"/>
          <w:b/>
          <w:color w:val="auto"/>
          <w:sz w:val="40"/>
          <w:u w:val="single"/>
        </w:rPr>
      </w:pPr>
    </w:p>
    <w:p w14:paraId="28FD7267">
      <w:pPr>
        <w:spacing w:line="360" w:lineRule="auto"/>
        <w:ind w:firstLine="1205" w:firstLineChars="300"/>
        <w:rPr>
          <w:rFonts w:ascii="宋体" w:hAnsi="宋体"/>
          <w:b/>
          <w:color w:val="auto"/>
          <w:sz w:val="40"/>
        </w:rPr>
      </w:pPr>
      <w:r>
        <w:rPr>
          <w:rFonts w:hint="eastAsia" w:ascii="宋体" w:hAnsi="宋体"/>
          <w:b/>
          <w:color w:val="auto"/>
          <w:sz w:val="40"/>
          <w:u w:val="single"/>
        </w:rPr>
        <w:t xml:space="preserve">                 </w:t>
      </w:r>
      <w:r>
        <w:rPr>
          <w:rFonts w:hint="eastAsia" w:ascii="宋体" w:hAnsi="宋体"/>
          <w:b/>
          <w:color w:val="auto"/>
          <w:sz w:val="40"/>
        </w:rPr>
        <w:t>（项目名称）竞争性磋商</w:t>
      </w:r>
    </w:p>
    <w:p w14:paraId="183DCAF7">
      <w:pPr>
        <w:spacing w:line="360" w:lineRule="auto"/>
        <w:ind w:firstLine="480" w:firstLineChars="200"/>
        <w:rPr>
          <w:rFonts w:ascii="宋体" w:hAnsi="宋体"/>
          <w:color w:val="auto"/>
          <w:sz w:val="24"/>
        </w:rPr>
      </w:pPr>
    </w:p>
    <w:p w14:paraId="5384C1CA">
      <w:pPr>
        <w:spacing w:line="360" w:lineRule="auto"/>
        <w:ind w:firstLine="482" w:firstLineChars="200"/>
        <w:rPr>
          <w:rFonts w:ascii="宋体" w:hAnsi="宋体"/>
          <w:b/>
          <w:bCs/>
          <w:color w:val="auto"/>
          <w:sz w:val="24"/>
        </w:rPr>
      </w:pPr>
    </w:p>
    <w:p w14:paraId="65920852">
      <w:pPr>
        <w:spacing w:line="360" w:lineRule="auto"/>
        <w:jc w:val="center"/>
        <w:rPr>
          <w:rFonts w:ascii="宋体" w:hAnsi="宋体"/>
          <w:b/>
          <w:color w:val="auto"/>
          <w:sz w:val="56"/>
        </w:rPr>
      </w:pPr>
      <w:r>
        <w:rPr>
          <w:rFonts w:hint="eastAsia" w:ascii="宋体" w:hAnsi="宋体"/>
          <w:b/>
          <w:bCs/>
          <w:color w:val="auto"/>
          <w:sz w:val="56"/>
        </w:rPr>
        <w:t>响应文件</w:t>
      </w:r>
    </w:p>
    <w:p w14:paraId="3BA28982">
      <w:pPr>
        <w:spacing w:line="360" w:lineRule="auto"/>
        <w:ind w:firstLine="480" w:firstLineChars="200"/>
        <w:rPr>
          <w:rFonts w:ascii="宋体" w:hAnsi="宋体"/>
          <w:color w:val="auto"/>
          <w:sz w:val="24"/>
        </w:rPr>
      </w:pPr>
    </w:p>
    <w:p w14:paraId="53BF4FF2">
      <w:pPr>
        <w:spacing w:line="360" w:lineRule="auto"/>
        <w:ind w:firstLine="480" w:firstLineChars="200"/>
        <w:rPr>
          <w:rFonts w:ascii="宋体" w:hAnsi="宋体"/>
          <w:color w:val="auto"/>
          <w:sz w:val="24"/>
        </w:rPr>
      </w:pPr>
    </w:p>
    <w:p w14:paraId="70EEC100">
      <w:pPr>
        <w:spacing w:line="360" w:lineRule="auto"/>
        <w:ind w:firstLine="480" w:firstLineChars="200"/>
        <w:rPr>
          <w:rFonts w:ascii="宋体" w:hAnsi="宋体"/>
          <w:color w:val="auto"/>
          <w:sz w:val="24"/>
        </w:rPr>
      </w:pPr>
    </w:p>
    <w:p w14:paraId="6825D452">
      <w:pPr>
        <w:spacing w:line="360" w:lineRule="auto"/>
        <w:ind w:firstLine="480" w:firstLineChars="200"/>
        <w:rPr>
          <w:rFonts w:ascii="宋体" w:hAnsi="宋体"/>
          <w:color w:val="auto"/>
          <w:sz w:val="24"/>
        </w:rPr>
      </w:pPr>
    </w:p>
    <w:p w14:paraId="6E6E69B5">
      <w:pPr>
        <w:spacing w:line="360" w:lineRule="auto"/>
        <w:ind w:firstLine="480" w:firstLineChars="200"/>
        <w:rPr>
          <w:rFonts w:ascii="宋体" w:hAnsi="宋体"/>
          <w:color w:val="auto"/>
          <w:sz w:val="24"/>
        </w:rPr>
      </w:pPr>
    </w:p>
    <w:p w14:paraId="56182B63">
      <w:pPr>
        <w:spacing w:line="360" w:lineRule="auto"/>
        <w:ind w:firstLine="480" w:firstLineChars="200"/>
        <w:rPr>
          <w:rFonts w:ascii="宋体" w:hAnsi="宋体"/>
          <w:color w:val="auto"/>
          <w:sz w:val="24"/>
        </w:rPr>
      </w:pPr>
    </w:p>
    <w:p w14:paraId="621FB863">
      <w:pPr>
        <w:spacing w:line="360" w:lineRule="auto"/>
        <w:ind w:firstLine="480" w:firstLineChars="200"/>
        <w:rPr>
          <w:rFonts w:ascii="宋体" w:hAnsi="宋体"/>
          <w:color w:val="auto"/>
          <w:sz w:val="24"/>
        </w:rPr>
      </w:pPr>
    </w:p>
    <w:p w14:paraId="012D4E8E">
      <w:pPr>
        <w:spacing w:line="360" w:lineRule="auto"/>
        <w:ind w:firstLine="480" w:firstLineChars="200"/>
        <w:rPr>
          <w:rFonts w:ascii="宋体" w:hAnsi="宋体"/>
          <w:color w:val="auto"/>
          <w:sz w:val="24"/>
        </w:rPr>
      </w:pPr>
    </w:p>
    <w:p w14:paraId="7CBACAF3">
      <w:pPr>
        <w:pStyle w:val="10"/>
        <w:rPr>
          <w:rFonts w:ascii="宋体" w:hAnsi="宋体"/>
          <w:color w:val="auto"/>
          <w:szCs w:val="21"/>
        </w:rPr>
      </w:pPr>
    </w:p>
    <w:p w14:paraId="19D15C46">
      <w:pPr>
        <w:rPr>
          <w:rFonts w:ascii="宋体" w:hAnsi="宋体"/>
          <w:color w:val="auto"/>
          <w:szCs w:val="21"/>
        </w:rPr>
      </w:pPr>
    </w:p>
    <w:p w14:paraId="65312F23">
      <w:pPr>
        <w:rPr>
          <w:rFonts w:ascii="宋体" w:hAnsi="宋体"/>
          <w:color w:val="auto"/>
          <w:szCs w:val="21"/>
        </w:rPr>
      </w:pPr>
    </w:p>
    <w:p w14:paraId="44A7CD3C">
      <w:pPr>
        <w:spacing w:line="360" w:lineRule="auto"/>
        <w:rPr>
          <w:rFonts w:ascii="宋体" w:hAnsi="宋体"/>
          <w:color w:val="auto"/>
          <w:sz w:val="24"/>
        </w:rPr>
      </w:pPr>
    </w:p>
    <w:p w14:paraId="6B23025C">
      <w:pPr>
        <w:spacing w:line="720" w:lineRule="auto"/>
        <w:jc w:val="center"/>
        <w:rPr>
          <w:rFonts w:ascii="宋体" w:hAnsi="宋体"/>
          <w:color w:val="auto"/>
          <w:sz w:val="32"/>
        </w:rPr>
      </w:pPr>
      <w:r>
        <w:rPr>
          <w:rFonts w:hint="eastAsia" w:ascii="宋体" w:hAnsi="宋体"/>
          <w:color w:val="auto"/>
          <w:sz w:val="32"/>
        </w:rPr>
        <w:t>供应商：</w:t>
      </w:r>
      <w:r>
        <w:rPr>
          <w:rFonts w:hint="eastAsia" w:ascii="宋体" w:hAnsi="宋体"/>
          <w:color w:val="auto"/>
          <w:sz w:val="32"/>
          <w:u w:val="single"/>
        </w:rPr>
        <w:t xml:space="preserve">                               </w:t>
      </w:r>
      <w:r>
        <w:rPr>
          <w:rFonts w:hint="eastAsia" w:ascii="宋体" w:hAnsi="宋体"/>
          <w:color w:val="auto"/>
          <w:sz w:val="32"/>
        </w:rPr>
        <w:t>（单位公章）</w:t>
      </w:r>
    </w:p>
    <w:p w14:paraId="004B7D68">
      <w:pPr>
        <w:spacing w:line="720" w:lineRule="auto"/>
        <w:jc w:val="center"/>
        <w:rPr>
          <w:rFonts w:ascii="宋体" w:hAnsi="宋体"/>
          <w:color w:val="auto"/>
          <w:sz w:val="32"/>
        </w:rPr>
      </w:pPr>
      <w:r>
        <w:rPr>
          <w:rFonts w:hint="eastAsia" w:ascii="宋体" w:hAnsi="宋体"/>
          <w:color w:val="auto"/>
          <w:sz w:val="32"/>
        </w:rPr>
        <w:t>法定代表人或其委托代理人：</w:t>
      </w:r>
      <w:r>
        <w:rPr>
          <w:rFonts w:hint="eastAsia" w:ascii="宋体" w:hAnsi="宋体"/>
          <w:color w:val="auto"/>
          <w:sz w:val="32"/>
          <w:u w:val="single"/>
        </w:rPr>
        <w:t xml:space="preserve">                 </w:t>
      </w:r>
      <w:r>
        <w:rPr>
          <w:rFonts w:hint="eastAsia" w:ascii="宋体" w:hAnsi="宋体"/>
          <w:color w:val="auto"/>
          <w:sz w:val="32"/>
        </w:rPr>
        <w:t>（签名或盖章）</w:t>
      </w:r>
    </w:p>
    <w:p w14:paraId="44CD7288">
      <w:pPr>
        <w:tabs>
          <w:tab w:val="left" w:pos="0"/>
          <w:tab w:val="left" w:pos="720"/>
          <w:tab w:val="left" w:pos="1440"/>
          <w:tab w:val="left" w:pos="2160"/>
          <w:tab w:val="left" w:pos="2880"/>
          <w:tab w:val="left" w:pos="3600"/>
          <w:tab w:val="left" w:pos="4320"/>
        </w:tabs>
        <w:autoSpaceDE w:val="0"/>
        <w:autoSpaceDN w:val="0"/>
        <w:adjustRightInd w:val="0"/>
        <w:spacing w:line="720" w:lineRule="auto"/>
        <w:jc w:val="center"/>
        <w:rPr>
          <w:rFonts w:ascii="宋体" w:hAnsi="宋体"/>
          <w:color w:val="auto"/>
          <w:sz w:val="32"/>
        </w:rPr>
      </w:pPr>
      <w:r>
        <w:rPr>
          <w:rFonts w:hint="eastAsia" w:ascii="宋体" w:hAnsi="宋体"/>
          <w:color w:val="auto"/>
          <w:sz w:val="32"/>
        </w:rPr>
        <w:t>日  期：</w:t>
      </w:r>
      <w:r>
        <w:rPr>
          <w:rFonts w:hint="eastAsia" w:ascii="宋体" w:hAnsi="宋体"/>
          <w:color w:val="auto"/>
          <w:sz w:val="32"/>
          <w:u w:val="single"/>
        </w:rPr>
        <w:t xml:space="preserve">         </w:t>
      </w:r>
      <w:r>
        <w:rPr>
          <w:rFonts w:hint="eastAsia" w:ascii="宋体" w:hAnsi="宋体"/>
          <w:color w:val="auto"/>
          <w:sz w:val="32"/>
        </w:rPr>
        <w:t>年</w:t>
      </w:r>
      <w:r>
        <w:rPr>
          <w:rFonts w:hint="eastAsia" w:ascii="宋体" w:hAnsi="宋体"/>
          <w:color w:val="auto"/>
          <w:sz w:val="32"/>
          <w:u w:val="single"/>
        </w:rPr>
        <w:t xml:space="preserve">    </w:t>
      </w:r>
      <w:r>
        <w:rPr>
          <w:rFonts w:hint="eastAsia" w:ascii="宋体" w:hAnsi="宋体"/>
          <w:color w:val="auto"/>
          <w:sz w:val="32"/>
        </w:rPr>
        <w:t>月</w:t>
      </w:r>
      <w:r>
        <w:rPr>
          <w:rFonts w:hint="eastAsia" w:ascii="宋体" w:hAnsi="宋体"/>
          <w:color w:val="auto"/>
          <w:sz w:val="32"/>
          <w:u w:val="single"/>
        </w:rPr>
        <w:t xml:space="preserve">    </w:t>
      </w:r>
      <w:r>
        <w:rPr>
          <w:rFonts w:hint="eastAsia" w:ascii="宋体" w:hAnsi="宋体"/>
          <w:color w:val="auto"/>
          <w:sz w:val="32"/>
        </w:rPr>
        <w:t>日</w:t>
      </w:r>
    </w:p>
    <w:p w14:paraId="16C049DB">
      <w:pPr>
        <w:pStyle w:val="36"/>
        <w:snapToGrid w:val="0"/>
        <w:spacing w:line="360" w:lineRule="auto"/>
        <w:ind w:left="578"/>
        <w:jc w:val="left"/>
        <w:rPr>
          <w:rFonts w:ascii="宋体" w:hAnsi="宋体" w:cs="宋体"/>
          <w:b/>
          <w:color w:val="auto"/>
          <w:sz w:val="30"/>
          <w:szCs w:val="30"/>
        </w:rPr>
        <w:sectPr>
          <w:headerReference r:id="rId9" w:type="first"/>
          <w:footerReference r:id="rId11" w:type="first"/>
          <w:footerReference r:id="rId10" w:type="default"/>
          <w:pgSz w:w="11906" w:h="16838"/>
          <w:pgMar w:top="1440" w:right="1080" w:bottom="1440" w:left="1080" w:header="851" w:footer="992" w:gutter="0"/>
          <w:pgNumType w:fmt="decimal"/>
          <w:cols w:space="720" w:num="1"/>
          <w:titlePg/>
          <w:docGrid w:type="lines" w:linePitch="286" w:charSpace="0"/>
        </w:sectPr>
      </w:pPr>
    </w:p>
    <w:p w14:paraId="15810189">
      <w:pPr>
        <w:pStyle w:val="36"/>
        <w:snapToGrid w:val="0"/>
        <w:spacing w:line="360" w:lineRule="auto"/>
        <w:ind w:left="578"/>
        <w:jc w:val="center"/>
        <w:rPr>
          <w:rFonts w:ascii="宋体" w:hAnsi="宋体" w:cs="宋体"/>
          <w:b/>
          <w:color w:val="auto"/>
          <w:sz w:val="30"/>
          <w:szCs w:val="30"/>
        </w:rPr>
      </w:pPr>
      <w:r>
        <w:rPr>
          <w:rFonts w:hint="eastAsia" w:ascii="宋体" w:hAnsi="宋体" w:cs="宋体"/>
          <w:b/>
          <w:color w:val="auto"/>
          <w:sz w:val="30"/>
          <w:szCs w:val="30"/>
        </w:rPr>
        <w:t>目    录</w:t>
      </w:r>
    </w:p>
    <w:p w14:paraId="67D20281">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1、磋商响应函</w:t>
      </w:r>
    </w:p>
    <w:p w14:paraId="7F539D0A">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2、法定代表人身份证明或授权委托人身份证明及法定代表人授权委托书</w:t>
      </w:r>
    </w:p>
    <w:p w14:paraId="63546E9C">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3、初次报价表</w:t>
      </w:r>
    </w:p>
    <w:p w14:paraId="197BE3F9">
      <w:pPr>
        <w:widowControl/>
        <w:shd w:val="clear" w:color="auto" w:fill="FFFFFF"/>
        <w:spacing w:line="360" w:lineRule="auto"/>
        <w:ind w:firstLine="480"/>
        <w:jc w:val="left"/>
        <w:rPr>
          <w:rFonts w:ascii="宋体" w:hAnsi="宋体" w:cs="黑体"/>
          <w:color w:val="auto"/>
          <w:kern w:val="0"/>
          <w:sz w:val="24"/>
        </w:rPr>
      </w:pPr>
      <w:r>
        <w:rPr>
          <w:rFonts w:hint="eastAsia" w:ascii="宋体" w:hAnsi="宋体" w:cs="黑体"/>
          <w:color w:val="auto"/>
          <w:kern w:val="0"/>
          <w:sz w:val="24"/>
        </w:rPr>
        <w:t xml:space="preserve"> 4、初次报价的已标价工程量清单</w:t>
      </w:r>
    </w:p>
    <w:p w14:paraId="2FFCB2BF">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rPr>
        <w:t>5、技术部分（施工组织设计）</w:t>
      </w:r>
    </w:p>
    <w:p w14:paraId="0A63ADC5">
      <w:pPr>
        <w:widowControl/>
        <w:shd w:val="clear" w:color="auto" w:fill="FFFFFF"/>
        <w:spacing w:line="360" w:lineRule="auto"/>
        <w:ind w:firstLine="600" w:firstLineChars="250"/>
        <w:jc w:val="left"/>
        <w:rPr>
          <w:rFonts w:hint="eastAsia" w:ascii="宋体" w:hAnsi="宋体" w:eastAsia="宋体" w:cs="黑体"/>
          <w:color w:val="auto"/>
          <w:kern w:val="0"/>
          <w:sz w:val="24"/>
          <w:lang w:eastAsia="zh-CN"/>
        </w:rPr>
      </w:pPr>
      <w:r>
        <w:rPr>
          <w:rFonts w:hint="eastAsia" w:ascii="宋体" w:hAnsi="宋体" w:cs="黑体"/>
          <w:color w:val="auto"/>
          <w:kern w:val="0"/>
          <w:sz w:val="24"/>
          <w:lang w:val="en-US" w:eastAsia="zh-CN"/>
        </w:rPr>
        <w:t>6</w:t>
      </w:r>
      <w:r>
        <w:rPr>
          <w:rFonts w:hint="eastAsia" w:ascii="宋体" w:hAnsi="宋体" w:cs="黑体"/>
          <w:color w:val="auto"/>
          <w:kern w:val="0"/>
          <w:sz w:val="24"/>
        </w:rPr>
        <w:t>、</w:t>
      </w:r>
      <w:r>
        <w:rPr>
          <w:rFonts w:hint="eastAsia" w:ascii="宋体" w:hAnsi="宋体" w:cs="黑体"/>
          <w:color w:val="auto"/>
          <w:kern w:val="0"/>
          <w:sz w:val="24"/>
          <w:lang w:eastAsia="zh-CN"/>
        </w:rPr>
        <w:t>项目管理机构</w:t>
      </w:r>
    </w:p>
    <w:p w14:paraId="666A42FF">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7、</w:t>
      </w:r>
      <w:r>
        <w:rPr>
          <w:rFonts w:hint="eastAsia" w:ascii="宋体" w:hAnsi="宋体" w:cs="黑体"/>
          <w:color w:val="auto"/>
          <w:kern w:val="0"/>
          <w:sz w:val="24"/>
        </w:rPr>
        <w:t>资格审查资料</w:t>
      </w:r>
    </w:p>
    <w:p w14:paraId="10A87EBC">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8</w:t>
      </w:r>
      <w:r>
        <w:rPr>
          <w:rFonts w:hint="eastAsia" w:ascii="宋体" w:hAnsi="宋体" w:cs="黑体"/>
          <w:color w:val="auto"/>
          <w:kern w:val="0"/>
          <w:sz w:val="24"/>
        </w:rPr>
        <w:t>、建设工程扬尘治理工作承诺书</w:t>
      </w:r>
    </w:p>
    <w:p w14:paraId="6FCB4DAC">
      <w:pPr>
        <w:widowControl/>
        <w:shd w:val="clear" w:color="auto" w:fill="FFFFFF"/>
        <w:spacing w:line="360" w:lineRule="auto"/>
        <w:ind w:firstLine="600" w:firstLineChars="250"/>
        <w:jc w:val="left"/>
        <w:rPr>
          <w:rFonts w:ascii="宋体" w:hAnsi="宋体" w:cs="黑体"/>
          <w:color w:val="auto"/>
          <w:kern w:val="0"/>
          <w:sz w:val="24"/>
        </w:rPr>
      </w:pPr>
      <w:r>
        <w:rPr>
          <w:rFonts w:hint="eastAsia" w:ascii="宋体" w:hAnsi="宋体" w:cs="黑体"/>
          <w:color w:val="auto"/>
          <w:kern w:val="0"/>
          <w:sz w:val="24"/>
          <w:lang w:val="en-US" w:eastAsia="zh-CN"/>
        </w:rPr>
        <w:t>9</w:t>
      </w:r>
      <w:r>
        <w:rPr>
          <w:rFonts w:hint="eastAsia" w:ascii="宋体" w:hAnsi="宋体" w:cs="黑体"/>
          <w:color w:val="auto"/>
          <w:kern w:val="0"/>
          <w:sz w:val="24"/>
        </w:rPr>
        <w:t>、其他资料</w:t>
      </w:r>
    </w:p>
    <w:p w14:paraId="5AB1DDDA">
      <w:pPr>
        <w:spacing w:line="360" w:lineRule="auto"/>
        <w:jc w:val="left"/>
        <w:outlineLvl w:val="9"/>
        <w:rPr>
          <w:rFonts w:ascii="宋体" w:hAnsi="宋体"/>
          <w:b/>
          <w:color w:val="auto"/>
          <w:sz w:val="24"/>
        </w:rPr>
      </w:pPr>
    </w:p>
    <w:p w14:paraId="5C902257">
      <w:pPr>
        <w:spacing w:line="360" w:lineRule="auto"/>
        <w:jc w:val="left"/>
        <w:outlineLvl w:val="9"/>
        <w:rPr>
          <w:rFonts w:ascii="宋体" w:hAnsi="宋体"/>
          <w:b/>
          <w:color w:val="auto"/>
          <w:sz w:val="24"/>
        </w:rPr>
      </w:pPr>
    </w:p>
    <w:p w14:paraId="49DEEBB8">
      <w:pPr>
        <w:widowControl/>
        <w:shd w:val="clear" w:color="auto" w:fill="FFFFFF"/>
        <w:spacing w:line="560" w:lineRule="exact"/>
        <w:jc w:val="left"/>
        <w:rPr>
          <w:rFonts w:hint="eastAsia" w:ascii="宋体" w:hAnsi="宋体"/>
          <w:color w:val="auto"/>
          <w:sz w:val="24"/>
        </w:rPr>
      </w:pPr>
      <w:bookmarkStart w:id="44" w:name="_Toc300901193"/>
      <w:bookmarkStart w:id="45" w:name="_Toc374107067"/>
      <w:bookmarkStart w:id="46" w:name="_Toc323641999"/>
    </w:p>
    <w:p w14:paraId="0B1746E7">
      <w:pPr>
        <w:pStyle w:val="10"/>
        <w:rPr>
          <w:rFonts w:hint="eastAsia" w:ascii="宋体" w:hAnsi="宋体"/>
          <w:color w:val="auto"/>
          <w:sz w:val="24"/>
        </w:rPr>
      </w:pPr>
    </w:p>
    <w:p w14:paraId="2D09E7D4">
      <w:pPr>
        <w:rPr>
          <w:rFonts w:hint="eastAsia" w:ascii="宋体" w:hAnsi="宋体"/>
          <w:color w:val="auto"/>
          <w:sz w:val="24"/>
        </w:rPr>
      </w:pPr>
    </w:p>
    <w:p w14:paraId="2A49587C">
      <w:pPr>
        <w:pStyle w:val="10"/>
        <w:rPr>
          <w:rFonts w:hint="eastAsia"/>
          <w:color w:val="auto"/>
        </w:rPr>
      </w:pPr>
    </w:p>
    <w:p w14:paraId="128F007C">
      <w:pPr>
        <w:widowControl/>
        <w:shd w:val="clear" w:color="auto" w:fill="FFFFFF"/>
        <w:spacing w:line="560" w:lineRule="exact"/>
        <w:jc w:val="left"/>
        <w:rPr>
          <w:rFonts w:hint="eastAsia" w:ascii="宋体" w:hAnsi="宋体"/>
          <w:color w:val="auto"/>
          <w:sz w:val="24"/>
        </w:rPr>
      </w:pPr>
    </w:p>
    <w:p w14:paraId="5ED3C45E">
      <w:pPr>
        <w:widowControl/>
        <w:shd w:val="clear" w:color="auto" w:fill="FFFFFF"/>
        <w:spacing w:line="560" w:lineRule="exact"/>
        <w:jc w:val="left"/>
        <w:rPr>
          <w:rFonts w:hint="eastAsia" w:ascii="宋体" w:hAnsi="宋体"/>
          <w:color w:val="auto"/>
          <w:sz w:val="24"/>
        </w:rPr>
      </w:pPr>
    </w:p>
    <w:p w14:paraId="51C5035C">
      <w:pPr>
        <w:widowControl/>
        <w:shd w:val="clear" w:color="auto" w:fill="FFFFFF"/>
        <w:spacing w:line="560" w:lineRule="exact"/>
        <w:jc w:val="left"/>
        <w:rPr>
          <w:rFonts w:hint="eastAsia" w:ascii="宋体" w:hAnsi="宋体" w:eastAsia="宋体"/>
          <w:color w:val="auto"/>
          <w:sz w:val="24"/>
          <w:szCs w:val="24"/>
        </w:rPr>
      </w:pPr>
    </w:p>
    <w:p w14:paraId="447A61FE">
      <w:pPr>
        <w:widowControl/>
        <w:shd w:val="clear" w:color="auto" w:fill="FFFFFF"/>
        <w:spacing w:line="560" w:lineRule="exact"/>
        <w:jc w:val="left"/>
        <w:rPr>
          <w:rFonts w:hint="eastAsia" w:ascii="宋体" w:hAnsi="宋体" w:eastAsia="宋体"/>
          <w:color w:val="auto"/>
          <w:sz w:val="24"/>
          <w:szCs w:val="24"/>
        </w:rPr>
      </w:pPr>
    </w:p>
    <w:p w14:paraId="1DC76944">
      <w:pPr>
        <w:widowControl/>
        <w:shd w:val="clear" w:color="auto" w:fill="FFFFFF"/>
        <w:spacing w:line="560" w:lineRule="exact"/>
        <w:jc w:val="left"/>
        <w:rPr>
          <w:rFonts w:hint="eastAsia" w:ascii="宋体" w:hAnsi="宋体" w:eastAsia="宋体"/>
          <w:color w:val="auto"/>
          <w:sz w:val="24"/>
          <w:szCs w:val="24"/>
        </w:rPr>
      </w:pPr>
    </w:p>
    <w:p w14:paraId="695B18D9">
      <w:pPr>
        <w:widowControl/>
        <w:shd w:val="clear" w:color="auto" w:fill="FFFFFF"/>
        <w:spacing w:line="560" w:lineRule="exact"/>
        <w:jc w:val="left"/>
        <w:rPr>
          <w:rFonts w:hint="eastAsia" w:ascii="宋体" w:hAnsi="宋体" w:eastAsia="宋体"/>
          <w:color w:val="auto"/>
          <w:sz w:val="24"/>
          <w:szCs w:val="24"/>
        </w:rPr>
      </w:pPr>
    </w:p>
    <w:p w14:paraId="0DD71649">
      <w:pPr>
        <w:pStyle w:val="54"/>
        <w:rPr>
          <w:rFonts w:hint="eastAsia" w:ascii="宋体" w:hAnsi="宋体" w:eastAsia="宋体"/>
          <w:color w:val="auto"/>
          <w:sz w:val="24"/>
          <w:szCs w:val="24"/>
        </w:rPr>
      </w:pPr>
    </w:p>
    <w:p w14:paraId="355AB8B2">
      <w:pPr>
        <w:pStyle w:val="54"/>
        <w:rPr>
          <w:rFonts w:hint="eastAsia" w:ascii="宋体" w:hAnsi="宋体" w:eastAsia="宋体"/>
          <w:color w:val="auto"/>
          <w:sz w:val="24"/>
          <w:szCs w:val="24"/>
        </w:rPr>
      </w:pPr>
    </w:p>
    <w:p w14:paraId="1EEEF5E2">
      <w:pPr>
        <w:spacing w:line="360" w:lineRule="auto"/>
        <w:jc w:val="both"/>
        <w:rPr>
          <w:rFonts w:hint="eastAsia" w:ascii="宋体" w:hAnsi="宋体" w:cs="宋体"/>
          <w:b/>
          <w:color w:val="auto"/>
          <w:kern w:val="0"/>
          <w:sz w:val="24"/>
        </w:rPr>
      </w:pPr>
    </w:p>
    <w:p w14:paraId="6D25FD1F">
      <w:pPr>
        <w:pStyle w:val="10"/>
        <w:rPr>
          <w:rFonts w:hint="eastAsia"/>
          <w:color w:val="auto"/>
        </w:rPr>
      </w:pPr>
    </w:p>
    <w:p w14:paraId="39A93CF5">
      <w:pPr>
        <w:spacing w:line="360" w:lineRule="auto"/>
        <w:jc w:val="center"/>
        <w:rPr>
          <w:rFonts w:ascii="宋体" w:hAnsi="宋体"/>
          <w:b/>
          <w:bCs/>
          <w:color w:val="auto"/>
          <w:sz w:val="24"/>
          <w:szCs w:val="24"/>
        </w:rPr>
      </w:pPr>
      <w:r>
        <w:rPr>
          <w:rFonts w:hint="eastAsia" w:ascii="宋体" w:hAnsi="宋体" w:cs="宋体"/>
          <w:b/>
          <w:color w:val="auto"/>
          <w:kern w:val="0"/>
          <w:sz w:val="24"/>
          <w:szCs w:val="24"/>
        </w:rPr>
        <w:t>一、磋商</w:t>
      </w:r>
      <w:r>
        <w:rPr>
          <w:rFonts w:hint="eastAsia" w:ascii="宋体" w:hAnsi="宋体"/>
          <w:b/>
          <w:bCs/>
          <w:color w:val="auto"/>
          <w:sz w:val="24"/>
          <w:szCs w:val="24"/>
        </w:rPr>
        <w:t>响应函</w:t>
      </w:r>
    </w:p>
    <w:p w14:paraId="620D6F1D">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经研究，我方决定参加项目编号为</w:t>
      </w:r>
      <w:r>
        <w:rPr>
          <w:rFonts w:hint="eastAsia" w:ascii="宋体" w:hAnsi="宋体" w:cs="宋体"/>
          <w:color w:val="auto"/>
          <w:kern w:val="0"/>
          <w:sz w:val="24"/>
          <w:szCs w:val="24"/>
          <w:u w:val="single"/>
        </w:rPr>
        <w:t xml:space="preserve">  </w:t>
      </w:r>
      <w:r>
        <w:rPr>
          <w:rFonts w:ascii="宋体" w:hAnsi="宋体" w:cs="宋体"/>
          <w:color w:val="auto"/>
          <w:kern w:val="0"/>
          <w:sz w:val="24"/>
          <w:szCs w:val="24"/>
          <w:u w:val="single"/>
        </w:rPr>
        <w:t xml:space="preserve">    </w:t>
      </w:r>
      <w:r>
        <w:rPr>
          <w:rFonts w:hint="eastAsia" w:ascii="宋体" w:hAnsi="宋体" w:cs="宋体"/>
          <w:color w:val="auto"/>
          <w:kern w:val="0"/>
          <w:sz w:val="24"/>
          <w:szCs w:val="24"/>
          <w:u w:val="single"/>
        </w:rPr>
        <w:t xml:space="preserve">     </w:t>
      </w:r>
      <w:r>
        <w:rPr>
          <w:rFonts w:hint="eastAsia" w:ascii="宋体" w:hAnsi="宋体" w:cs="宋体"/>
          <w:color w:val="auto"/>
          <w:kern w:val="0"/>
          <w:sz w:val="24"/>
          <w:szCs w:val="24"/>
        </w:rPr>
        <w:t>的政府采购活动并提交磋商响应文件。为此，我方郑重声明如下:</w:t>
      </w:r>
    </w:p>
    <w:p w14:paraId="6BAC8A6B">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1、我方提交的磋商响应文件，正本一份，副本</w:t>
      </w:r>
      <w:r>
        <w:rPr>
          <w:rFonts w:hint="eastAsia" w:ascii="宋体" w:hAnsi="宋体" w:cs="宋体"/>
          <w:color w:val="auto"/>
          <w:kern w:val="0"/>
          <w:sz w:val="24"/>
          <w:szCs w:val="24"/>
          <w:lang w:eastAsia="zh-CN"/>
        </w:rPr>
        <w:t>四</w:t>
      </w:r>
      <w:r>
        <w:rPr>
          <w:rFonts w:hint="eastAsia" w:ascii="宋体" w:hAnsi="宋体" w:cs="宋体"/>
          <w:color w:val="auto"/>
          <w:kern w:val="0"/>
          <w:sz w:val="24"/>
          <w:szCs w:val="24"/>
        </w:rPr>
        <w:t>份。</w:t>
      </w:r>
    </w:p>
    <w:p w14:paraId="28833B5F">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2、如果我方的磋商响应文件被接受，我方将履行磋商文件中规定的每一项要求，并按我方磋商响应文件中的承诺按期、保质、保量完成项目的实施。</w:t>
      </w:r>
    </w:p>
    <w:p w14:paraId="315AD81E">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3、我方理解，最低报价不是入选成交候选人的唯一条件。</w:t>
      </w:r>
    </w:p>
    <w:p w14:paraId="3D3C3D59">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4、我方愿按《中华人民共和国</w:t>
      </w:r>
      <w:r>
        <w:rPr>
          <w:rFonts w:hint="eastAsia" w:ascii="宋体" w:hAnsi="宋体" w:cs="宋体"/>
          <w:color w:val="auto"/>
          <w:kern w:val="0"/>
          <w:sz w:val="24"/>
          <w:szCs w:val="24"/>
          <w:lang w:eastAsia="zh-CN"/>
        </w:rPr>
        <w:t>民法典</w:t>
      </w:r>
      <w:r>
        <w:rPr>
          <w:rFonts w:hint="eastAsia" w:ascii="宋体" w:hAnsi="宋体" w:cs="宋体"/>
          <w:color w:val="auto"/>
          <w:kern w:val="0"/>
          <w:sz w:val="24"/>
          <w:szCs w:val="24"/>
        </w:rPr>
        <w:t>》履行自己的全部责任。</w:t>
      </w:r>
    </w:p>
    <w:p w14:paraId="6E9A3B42">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5、我方已详细检查所有磋商文件、附件以及所提供的参考文件，因模糊和误解产生的一切后果，由我方自负。</w:t>
      </w:r>
    </w:p>
    <w:p w14:paraId="1043C172">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6、我方的磋商响应文件自递交截止之日起60个日历日内有效。</w:t>
      </w:r>
    </w:p>
    <w:p w14:paraId="2C9144D9">
      <w:pPr>
        <w:widowControl/>
        <w:spacing w:line="480" w:lineRule="auto"/>
        <w:ind w:firstLine="480" w:firstLineChars="200"/>
        <w:rPr>
          <w:rFonts w:hint="eastAsia" w:ascii="宋体" w:hAnsi="宋体" w:cs="宋体"/>
          <w:color w:val="auto"/>
          <w:kern w:val="0"/>
          <w:sz w:val="24"/>
          <w:szCs w:val="24"/>
        </w:rPr>
      </w:pPr>
      <w:r>
        <w:rPr>
          <w:rFonts w:hint="eastAsia" w:ascii="宋体" w:hAnsi="宋体" w:cs="宋体"/>
          <w:color w:val="auto"/>
          <w:kern w:val="0"/>
          <w:sz w:val="24"/>
          <w:szCs w:val="24"/>
        </w:rPr>
        <w:t>7、我方同意按文件要求，提交与递交磋商响应文件有关的数据和资料。</w:t>
      </w:r>
    </w:p>
    <w:p w14:paraId="425F37BF">
      <w:pPr>
        <w:widowControl/>
        <w:spacing w:line="480" w:lineRule="auto"/>
        <w:ind w:firstLine="480" w:firstLineChars="200"/>
        <w:rPr>
          <w:rFonts w:hint="eastAsia" w:ascii="宋体" w:hAnsi="宋体" w:cs="宋体"/>
          <w:color w:val="auto"/>
          <w:kern w:val="0"/>
          <w:sz w:val="24"/>
          <w:szCs w:val="24"/>
        </w:rPr>
      </w:pPr>
    </w:p>
    <w:p w14:paraId="16D546E1">
      <w:pPr>
        <w:widowControl/>
        <w:spacing w:line="360" w:lineRule="auto"/>
        <w:ind w:firstLine="480" w:firstLineChars="200"/>
        <w:rPr>
          <w:rFonts w:hint="eastAsia" w:ascii="宋体" w:hAnsi="宋体" w:cs="宋体"/>
          <w:color w:val="auto"/>
          <w:kern w:val="0"/>
          <w:sz w:val="24"/>
          <w:szCs w:val="24"/>
        </w:rPr>
      </w:pPr>
    </w:p>
    <w:p w14:paraId="07F0BF04">
      <w:pPr>
        <w:spacing w:line="48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供应商（盖章）：</w:t>
      </w:r>
    </w:p>
    <w:p w14:paraId="490D5588">
      <w:pPr>
        <w:spacing w:line="48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法人代表或委托代理人（签字或盖章）：</w:t>
      </w:r>
    </w:p>
    <w:p w14:paraId="406F4B76">
      <w:pPr>
        <w:spacing w:line="480" w:lineRule="auto"/>
        <w:ind w:firstLine="480" w:firstLineChars="200"/>
        <w:rPr>
          <w:rFonts w:hint="eastAsia" w:ascii="宋体" w:hAnsi="宋体" w:cs="宋体"/>
          <w:bCs/>
          <w:color w:val="auto"/>
          <w:sz w:val="24"/>
          <w:szCs w:val="24"/>
        </w:rPr>
      </w:pPr>
      <w:r>
        <w:rPr>
          <w:rFonts w:hint="eastAsia" w:ascii="宋体" w:hAnsi="宋体" w:cs="宋体"/>
          <w:color w:val="auto"/>
          <w:sz w:val="24"/>
          <w:szCs w:val="24"/>
        </w:rPr>
        <w:t>日期：</w:t>
      </w:r>
      <w:r>
        <w:rPr>
          <w:rFonts w:hint="eastAsia" w:ascii="宋体" w:hAnsi="宋体" w:cs="宋体"/>
          <w:color w:val="auto"/>
          <w:sz w:val="24"/>
          <w:szCs w:val="24"/>
          <w:u w:val="single"/>
        </w:rPr>
        <w:t xml:space="preserve">         </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w:t>
      </w:r>
    </w:p>
    <w:p w14:paraId="1732DDD2">
      <w:pPr>
        <w:widowControl/>
        <w:jc w:val="left"/>
        <w:rPr>
          <w:rFonts w:ascii="宋体" w:hAnsi="宋体"/>
          <w:b/>
          <w:bCs/>
          <w:color w:val="auto"/>
          <w:sz w:val="24"/>
        </w:rPr>
      </w:pPr>
      <w:r>
        <w:rPr>
          <w:rFonts w:ascii="宋体" w:hAnsi="宋体"/>
          <w:color w:val="auto"/>
          <w:sz w:val="24"/>
        </w:rPr>
        <w:br w:type="page"/>
      </w:r>
    </w:p>
    <w:p w14:paraId="3ED43085">
      <w:pPr>
        <w:pStyle w:val="3"/>
        <w:spacing w:line="360" w:lineRule="auto"/>
        <w:jc w:val="center"/>
        <w:rPr>
          <w:rFonts w:ascii="宋体" w:hAnsi="宋体" w:eastAsia="宋体"/>
          <w:color w:val="auto"/>
          <w:sz w:val="24"/>
          <w:szCs w:val="24"/>
        </w:rPr>
      </w:pPr>
      <w:r>
        <w:rPr>
          <w:rFonts w:hint="eastAsia" w:ascii="宋体" w:hAnsi="宋体" w:eastAsia="宋体"/>
          <w:color w:val="auto"/>
          <w:sz w:val="24"/>
          <w:szCs w:val="24"/>
        </w:rPr>
        <w:t>二、法定代表人身份证明</w:t>
      </w:r>
      <w:bookmarkEnd w:id="44"/>
      <w:bookmarkEnd w:id="45"/>
      <w:bookmarkEnd w:id="46"/>
    </w:p>
    <w:p w14:paraId="0864E8C8">
      <w:pPr>
        <w:spacing w:line="360" w:lineRule="auto"/>
        <w:rPr>
          <w:rFonts w:ascii="宋体" w:hAnsi="宋体"/>
          <w:color w:val="auto"/>
          <w:sz w:val="24"/>
        </w:rPr>
      </w:pPr>
      <w:r>
        <w:rPr>
          <w:rFonts w:hint="eastAsia" w:ascii="宋体" w:hAnsi="宋体"/>
          <w:color w:val="auto"/>
          <w:sz w:val="24"/>
        </w:rPr>
        <w:t>供应商名称：</w:t>
      </w:r>
      <w:r>
        <w:rPr>
          <w:rFonts w:hint="eastAsia" w:ascii="宋体" w:hAnsi="宋体"/>
          <w:color w:val="auto"/>
          <w:sz w:val="24"/>
          <w:u w:val="single"/>
        </w:rPr>
        <w:t xml:space="preserve">                                                       </w:t>
      </w:r>
      <w:r>
        <w:rPr>
          <w:rFonts w:hint="eastAsia" w:ascii="宋体" w:hAnsi="宋体"/>
          <w:color w:val="auto"/>
          <w:sz w:val="24"/>
        </w:rPr>
        <w:t xml:space="preserve"> </w:t>
      </w:r>
    </w:p>
    <w:p w14:paraId="4A5A3BA2">
      <w:pPr>
        <w:spacing w:line="360" w:lineRule="auto"/>
        <w:rPr>
          <w:rFonts w:ascii="宋体" w:hAnsi="宋体"/>
          <w:color w:val="auto"/>
          <w:sz w:val="24"/>
        </w:rPr>
      </w:pPr>
      <w:r>
        <w:rPr>
          <w:rFonts w:hint="eastAsia" w:ascii="宋体" w:hAnsi="宋体"/>
          <w:color w:val="auto"/>
          <w:sz w:val="24"/>
        </w:rPr>
        <w:t>单位性质：</w:t>
      </w:r>
      <w:r>
        <w:rPr>
          <w:rFonts w:hint="eastAsia" w:ascii="宋体" w:hAnsi="宋体"/>
          <w:color w:val="auto"/>
          <w:sz w:val="24"/>
          <w:u w:val="single"/>
        </w:rPr>
        <w:t xml:space="preserve">                                                        </w:t>
      </w:r>
    </w:p>
    <w:p w14:paraId="14E840DD">
      <w:pPr>
        <w:spacing w:line="360" w:lineRule="auto"/>
        <w:rPr>
          <w:rFonts w:ascii="宋体" w:hAnsi="宋体"/>
          <w:color w:val="auto"/>
          <w:sz w:val="24"/>
        </w:rPr>
      </w:pPr>
      <w:r>
        <w:rPr>
          <w:rFonts w:hint="eastAsia" w:ascii="宋体" w:hAnsi="宋体"/>
          <w:color w:val="auto"/>
          <w:sz w:val="24"/>
        </w:rPr>
        <w:t>地    址：</w:t>
      </w:r>
      <w:r>
        <w:rPr>
          <w:rFonts w:hint="eastAsia" w:ascii="宋体" w:hAnsi="宋体"/>
          <w:color w:val="auto"/>
          <w:sz w:val="24"/>
          <w:u w:val="single"/>
        </w:rPr>
        <w:t xml:space="preserve">                                                        </w:t>
      </w:r>
    </w:p>
    <w:p w14:paraId="41BE2733">
      <w:pPr>
        <w:spacing w:line="360" w:lineRule="auto"/>
        <w:rPr>
          <w:rFonts w:ascii="宋体" w:hAnsi="宋体"/>
          <w:color w:val="auto"/>
          <w:sz w:val="24"/>
        </w:rPr>
      </w:pPr>
      <w:r>
        <w:rPr>
          <w:rFonts w:hint="eastAsia" w:ascii="宋体" w:hAnsi="宋体"/>
          <w:color w:val="auto"/>
          <w:sz w:val="24"/>
        </w:rPr>
        <w:t>成立时间：</w:t>
      </w:r>
      <w:r>
        <w:rPr>
          <w:rFonts w:hint="eastAsia" w:ascii="宋体" w:hAnsi="宋体"/>
          <w:color w:val="auto"/>
          <w:sz w:val="24"/>
          <w:u w:val="single"/>
        </w:rPr>
        <w:t xml:space="preserve">                 </w:t>
      </w:r>
      <w:r>
        <w:rPr>
          <w:rFonts w:hint="eastAsia" w:ascii="宋体" w:hAnsi="宋体"/>
          <w:color w:val="auto"/>
          <w:sz w:val="24"/>
        </w:rPr>
        <w:t>年</w:t>
      </w:r>
      <w:r>
        <w:rPr>
          <w:rFonts w:hint="eastAsia" w:ascii="宋体" w:hAnsi="宋体"/>
          <w:color w:val="auto"/>
          <w:sz w:val="24"/>
          <w:u w:val="single"/>
        </w:rPr>
        <w:t xml:space="preserve">              </w:t>
      </w:r>
      <w:r>
        <w:rPr>
          <w:rFonts w:hint="eastAsia" w:ascii="宋体" w:hAnsi="宋体"/>
          <w:color w:val="auto"/>
          <w:sz w:val="24"/>
        </w:rPr>
        <w:t>月</w:t>
      </w:r>
      <w:r>
        <w:rPr>
          <w:rFonts w:hint="eastAsia" w:ascii="宋体" w:hAnsi="宋体"/>
          <w:color w:val="auto"/>
          <w:sz w:val="24"/>
          <w:u w:val="single"/>
        </w:rPr>
        <w:t xml:space="preserve">              </w:t>
      </w:r>
      <w:r>
        <w:rPr>
          <w:rFonts w:hint="eastAsia" w:ascii="宋体" w:hAnsi="宋体"/>
          <w:color w:val="auto"/>
          <w:sz w:val="24"/>
        </w:rPr>
        <w:t>日</w:t>
      </w:r>
    </w:p>
    <w:p w14:paraId="67BEAF4B">
      <w:pPr>
        <w:spacing w:line="360" w:lineRule="auto"/>
        <w:rPr>
          <w:rFonts w:ascii="宋体" w:hAnsi="宋体"/>
          <w:color w:val="auto"/>
          <w:sz w:val="24"/>
        </w:rPr>
      </w:pPr>
      <w:r>
        <w:rPr>
          <w:rFonts w:hint="eastAsia" w:ascii="宋体" w:hAnsi="宋体"/>
          <w:color w:val="auto"/>
          <w:sz w:val="24"/>
        </w:rPr>
        <w:t>经营期限：</w:t>
      </w:r>
      <w:r>
        <w:rPr>
          <w:rFonts w:hint="eastAsia" w:ascii="宋体" w:hAnsi="宋体"/>
          <w:color w:val="auto"/>
          <w:sz w:val="24"/>
          <w:u w:val="single"/>
        </w:rPr>
        <w:t xml:space="preserve">                                                        </w:t>
      </w:r>
    </w:p>
    <w:p w14:paraId="3E41DE3A">
      <w:pPr>
        <w:spacing w:line="360" w:lineRule="auto"/>
        <w:rPr>
          <w:rFonts w:ascii="宋体" w:hAnsi="宋体"/>
          <w:color w:val="auto"/>
          <w:sz w:val="24"/>
        </w:rPr>
      </w:pPr>
      <w:r>
        <w:rPr>
          <w:rFonts w:hint="eastAsia" w:ascii="宋体" w:hAnsi="宋体"/>
          <w:color w:val="auto"/>
          <w:sz w:val="24"/>
        </w:rPr>
        <w:t>姓    名：</w:t>
      </w:r>
      <w:r>
        <w:rPr>
          <w:rFonts w:hint="eastAsia" w:ascii="宋体" w:hAnsi="宋体"/>
          <w:color w:val="auto"/>
          <w:sz w:val="24"/>
          <w:u w:val="single"/>
        </w:rPr>
        <w:t xml:space="preserve">                          </w:t>
      </w:r>
      <w:r>
        <w:rPr>
          <w:rFonts w:hint="eastAsia" w:ascii="宋体" w:hAnsi="宋体"/>
          <w:color w:val="auto"/>
          <w:sz w:val="24"/>
        </w:rPr>
        <w:t>性        别：</w:t>
      </w:r>
      <w:r>
        <w:rPr>
          <w:rFonts w:hint="eastAsia" w:ascii="宋体" w:hAnsi="宋体"/>
          <w:color w:val="auto"/>
          <w:sz w:val="24"/>
          <w:u w:val="single"/>
        </w:rPr>
        <w:t xml:space="preserve">                </w:t>
      </w:r>
    </w:p>
    <w:p w14:paraId="71289AEF">
      <w:pPr>
        <w:spacing w:line="360" w:lineRule="auto"/>
        <w:rPr>
          <w:rFonts w:ascii="宋体" w:hAnsi="宋体"/>
          <w:color w:val="auto"/>
          <w:sz w:val="24"/>
          <w:u w:val="single"/>
        </w:rPr>
      </w:pPr>
      <w:r>
        <w:rPr>
          <w:rFonts w:hint="eastAsia" w:ascii="宋体" w:hAnsi="宋体"/>
          <w:color w:val="auto"/>
          <w:sz w:val="24"/>
        </w:rPr>
        <w:t>年    龄：</w:t>
      </w:r>
      <w:r>
        <w:rPr>
          <w:rFonts w:hint="eastAsia" w:ascii="宋体" w:hAnsi="宋体"/>
          <w:color w:val="auto"/>
          <w:sz w:val="24"/>
          <w:u w:val="single"/>
        </w:rPr>
        <w:t xml:space="preserve">                          </w:t>
      </w:r>
      <w:r>
        <w:rPr>
          <w:rFonts w:hint="eastAsia" w:ascii="宋体" w:hAnsi="宋体"/>
          <w:color w:val="auto"/>
          <w:sz w:val="24"/>
        </w:rPr>
        <w:t>职        务：</w:t>
      </w:r>
      <w:r>
        <w:rPr>
          <w:rFonts w:hint="eastAsia" w:ascii="宋体" w:hAnsi="宋体"/>
          <w:color w:val="auto"/>
          <w:sz w:val="24"/>
          <w:u w:val="single"/>
        </w:rPr>
        <w:t xml:space="preserve">                </w:t>
      </w:r>
    </w:p>
    <w:p w14:paraId="513D2E0D">
      <w:pPr>
        <w:spacing w:line="360" w:lineRule="auto"/>
        <w:rPr>
          <w:rFonts w:ascii="宋体" w:hAnsi="宋体"/>
          <w:color w:val="auto"/>
          <w:sz w:val="24"/>
        </w:rPr>
      </w:pPr>
      <w:r>
        <w:rPr>
          <w:rFonts w:hint="eastAsia" w:ascii="宋体" w:hAnsi="宋体"/>
          <w:color w:val="auto"/>
          <w:sz w:val="24"/>
        </w:rPr>
        <w:t>系</w:t>
      </w:r>
      <w:r>
        <w:rPr>
          <w:rFonts w:hint="eastAsia" w:ascii="宋体" w:hAnsi="宋体"/>
          <w:color w:val="auto"/>
          <w:sz w:val="24"/>
          <w:u w:val="single"/>
        </w:rPr>
        <w:t xml:space="preserve">                                     </w:t>
      </w:r>
      <w:r>
        <w:rPr>
          <w:rFonts w:hint="eastAsia" w:ascii="宋体" w:hAnsi="宋体"/>
          <w:color w:val="auto"/>
          <w:sz w:val="24"/>
        </w:rPr>
        <w:t>（供应商名称）的法定代表人。</w:t>
      </w:r>
    </w:p>
    <w:p w14:paraId="049FBC87">
      <w:pPr>
        <w:spacing w:line="360" w:lineRule="auto"/>
        <w:rPr>
          <w:rFonts w:ascii="宋体" w:hAnsi="宋体"/>
          <w:color w:val="auto"/>
          <w:sz w:val="24"/>
        </w:rPr>
      </w:pPr>
      <w:r>
        <w:rPr>
          <w:rFonts w:hint="eastAsia" w:ascii="宋体" w:hAnsi="宋体"/>
          <w:color w:val="auto"/>
          <w:sz w:val="24"/>
        </w:rPr>
        <w:t>特此证明。</w:t>
      </w:r>
    </w:p>
    <w:p w14:paraId="414A1863">
      <w:pPr>
        <w:spacing w:line="500" w:lineRule="exact"/>
        <w:jc w:val="left"/>
        <w:rPr>
          <w:rFonts w:ascii="宋体" w:hAnsi="宋体"/>
          <w:color w:val="auto"/>
          <w:sz w:val="24"/>
        </w:rPr>
      </w:pPr>
      <w:r>
        <w:rPr>
          <w:rFonts w:hint="eastAsia" w:ascii="宋体" w:hAnsi="宋体"/>
          <w:color w:val="auto"/>
          <w:sz w:val="24"/>
        </w:rPr>
        <w:t>附：法定代表人身份证明</w:t>
      </w:r>
    </w:p>
    <w:p w14:paraId="15379628">
      <w:pPr>
        <w:spacing w:line="500" w:lineRule="exact"/>
        <w:jc w:val="right"/>
        <w:rPr>
          <w:rFonts w:ascii="宋体" w:hAnsi="宋体"/>
          <w:color w:val="auto"/>
          <w:sz w:val="24"/>
        </w:rPr>
      </w:pPr>
    </w:p>
    <w:p w14:paraId="6871852D">
      <w:pPr>
        <w:pStyle w:val="10"/>
        <w:rPr>
          <w:rFonts w:ascii="宋体" w:hAnsi="宋体"/>
          <w:color w:val="auto"/>
          <w:sz w:val="24"/>
        </w:rPr>
      </w:pPr>
    </w:p>
    <w:p w14:paraId="41F0E0A0">
      <w:pPr>
        <w:rPr>
          <w:rFonts w:ascii="宋体" w:hAnsi="宋体"/>
          <w:color w:val="auto"/>
          <w:sz w:val="24"/>
        </w:rPr>
      </w:pPr>
    </w:p>
    <w:p w14:paraId="51BDD566">
      <w:pPr>
        <w:pStyle w:val="10"/>
        <w:rPr>
          <w:rFonts w:ascii="宋体" w:hAnsi="宋体"/>
          <w:color w:val="auto"/>
          <w:sz w:val="24"/>
        </w:rPr>
      </w:pPr>
    </w:p>
    <w:p w14:paraId="3B4843D8">
      <w:pPr>
        <w:rPr>
          <w:rFonts w:ascii="宋体" w:hAnsi="宋体"/>
          <w:color w:val="auto"/>
          <w:sz w:val="24"/>
        </w:rPr>
      </w:pPr>
    </w:p>
    <w:p w14:paraId="0675192D">
      <w:pPr>
        <w:pStyle w:val="10"/>
        <w:rPr>
          <w:color w:val="auto"/>
        </w:rPr>
      </w:pPr>
    </w:p>
    <w:p w14:paraId="463EE314">
      <w:pPr>
        <w:spacing w:line="500" w:lineRule="exact"/>
        <w:jc w:val="right"/>
        <w:rPr>
          <w:rFonts w:ascii="宋体" w:hAnsi="宋体"/>
          <w:color w:val="auto"/>
          <w:sz w:val="24"/>
        </w:rPr>
      </w:pPr>
      <w:r>
        <w:rPr>
          <w:rFonts w:hint="eastAsia" w:ascii="宋体" w:hAnsi="宋体"/>
          <w:color w:val="auto"/>
          <w:sz w:val="24"/>
        </w:rPr>
        <w:t>供应商</w:t>
      </w:r>
      <w:r>
        <w:rPr>
          <w:rFonts w:hint="eastAsia" w:ascii="宋体" w:hAnsi="宋体"/>
          <w:color w:val="auto"/>
          <w:sz w:val="24"/>
          <w:lang w:eastAsia="zh-CN"/>
        </w:rPr>
        <w:t>名称</w:t>
      </w:r>
      <w:r>
        <w:rPr>
          <w:rFonts w:hint="eastAsia" w:ascii="宋体" w:hAnsi="宋体"/>
          <w:color w:val="auto"/>
          <w:sz w:val="24"/>
        </w:rPr>
        <w:t>：</w:t>
      </w:r>
      <w:r>
        <w:rPr>
          <w:rFonts w:hint="eastAsia" w:ascii="宋体" w:hAnsi="宋体"/>
          <w:color w:val="auto"/>
          <w:sz w:val="24"/>
          <w:u w:val="single"/>
        </w:rPr>
        <w:t xml:space="preserve">          </w:t>
      </w:r>
      <w:r>
        <w:rPr>
          <w:rFonts w:ascii="宋体" w:hAnsi="宋体"/>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rPr>
        <w:t>（盖单位章）</w:t>
      </w:r>
    </w:p>
    <w:p w14:paraId="501ECCB2">
      <w:pPr>
        <w:widowControl/>
        <w:jc w:val="right"/>
        <w:rPr>
          <w:rFonts w:ascii="宋体" w:hAnsi="宋体"/>
          <w:color w:val="auto"/>
          <w:sz w:val="24"/>
        </w:rPr>
      </w:pPr>
      <w:r>
        <w:rPr>
          <w:rFonts w:hint="eastAsia" w:ascii="宋体" w:hAnsi="宋体"/>
          <w:color w:val="auto"/>
          <w:sz w:val="24"/>
        </w:rPr>
        <w:t xml:space="preserve">         </w:t>
      </w:r>
    </w:p>
    <w:p w14:paraId="0D8E91B9">
      <w:pPr>
        <w:widowControl/>
        <w:jc w:val="right"/>
        <w:rPr>
          <w:rFonts w:ascii="宋体" w:hAnsi="宋体"/>
          <w:color w:val="auto"/>
          <w:sz w:val="24"/>
        </w:rPr>
      </w:pPr>
      <w:r>
        <w:rPr>
          <w:rFonts w:hint="eastAsia" w:ascii="宋体" w:hAnsi="宋体"/>
          <w:color w:val="auto"/>
          <w:sz w:val="24"/>
        </w:rPr>
        <w:t xml:space="preserve">年        月       日  </w:t>
      </w:r>
    </w:p>
    <w:p w14:paraId="0E0CE39C">
      <w:pPr>
        <w:spacing w:line="360" w:lineRule="auto"/>
        <w:jc w:val="right"/>
        <w:rPr>
          <w:rFonts w:ascii="宋体" w:hAnsi="宋体"/>
          <w:color w:val="auto"/>
          <w:sz w:val="24"/>
        </w:rPr>
      </w:pPr>
    </w:p>
    <w:p w14:paraId="01C9F247">
      <w:pPr>
        <w:wordWrap w:val="0"/>
        <w:spacing w:line="500" w:lineRule="exact"/>
        <w:jc w:val="right"/>
        <w:rPr>
          <w:rFonts w:ascii="宋体" w:hAnsi="宋体" w:cs="黑体"/>
          <w:b/>
          <w:color w:val="auto"/>
          <w:kern w:val="0"/>
          <w:sz w:val="24"/>
        </w:rPr>
      </w:pPr>
      <w:r>
        <w:rPr>
          <w:rFonts w:ascii="宋体" w:hAnsi="宋体" w:cs="黑体"/>
          <w:b/>
          <w:color w:val="auto"/>
          <w:kern w:val="0"/>
          <w:sz w:val="24"/>
        </w:rPr>
        <w:br w:type="page"/>
      </w:r>
    </w:p>
    <w:p w14:paraId="32F31E90">
      <w:pPr>
        <w:widowControl/>
        <w:shd w:val="clear" w:color="auto" w:fill="FFFFFF"/>
        <w:spacing w:line="360" w:lineRule="auto"/>
        <w:ind w:firstLine="480"/>
        <w:jc w:val="center"/>
        <w:rPr>
          <w:rFonts w:ascii="宋体" w:hAnsi="宋体" w:cs="黑体"/>
          <w:b/>
          <w:color w:val="auto"/>
          <w:kern w:val="0"/>
          <w:sz w:val="24"/>
        </w:rPr>
      </w:pPr>
      <w:r>
        <w:rPr>
          <w:rFonts w:hint="eastAsia" w:ascii="宋体" w:hAnsi="宋体" w:cs="黑体"/>
          <w:b/>
          <w:color w:val="auto"/>
          <w:kern w:val="0"/>
          <w:sz w:val="24"/>
        </w:rPr>
        <w:t>授权委托人身份证明及法定代表人授权委托书</w:t>
      </w:r>
    </w:p>
    <w:p w14:paraId="38B67609">
      <w:pPr>
        <w:tabs>
          <w:tab w:val="left" w:pos="0"/>
          <w:tab w:val="left" w:pos="720"/>
          <w:tab w:val="left" w:pos="1440"/>
          <w:tab w:val="left" w:pos="2160"/>
          <w:tab w:val="left" w:pos="2880"/>
          <w:tab w:val="left" w:pos="3600"/>
          <w:tab w:val="left" w:pos="4320"/>
        </w:tabs>
        <w:autoSpaceDE w:val="0"/>
        <w:autoSpaceDN w:val="0"/>
        <w:snapToGrid w:val="0"/>
        <w:spacing w:line="360" w:lineRule="auto"/>
        <w:ind w:firstLine="645"/>
        <w:rPr>
          <w:rFonts w:ascii="宋体" w:hAnsi="宋体"/>
          <w:color w:val="auto"/>
          <w:sz w:val="24"/>
        </w:rPr>
      </w:pPr>
    </w:p>
    <w:p w14:paraId="0A3100EB">
      <w:pPr>
        <w:widowControl/>
        <w:spacing w:line="360" w:lineRule="auto"/>
        <w:ind w:left="315" w:leftChars="150" w:firstLine="120" w:firstLineChars="50"/>
        <w:rPr>
          <w:rFonts w:ascii="宋体" w:hAnsi="宋体" w:cs="宋体"/>
          <w:color w:val="auto"/>
          <w:kern w:val="0"/>
          <w:sz w:val="24"/>
        </w:rPr>
      </w:pPr>
      <w:r>
        <w:rPr>
          <w:rFonts w:hint="eastAsia" w:ascii="宋体" w:hAnsi="宋体" w:cs="宋体"/>
          <w:color w:val="auto"/>
          <w:kern w:val="0"/>
          <w:sz w:val="24"/>
          <w:u w:val="single"/>
        </w:rPr>
        <w:t xml:space="preserve">                    </w:t>
      </w:r>
      <w:r>
        <w:rPr>
          <w:rFonts w:hint="eastAsia" w:ascii="宋体" w:hAnsi="宋体" w:cs="宋体"/>
          <w:color w:val="auto"/>
          <w:kern w:val="0"/>
          <w:sz w:val="24"/>
        </w:rPr>
        <w:t>（供应商名称）法定代表人</w:t>
      </w:r>
      <w:r>
        <w:rPr>
          <w:rFonts w:hint="eastAsia" w:ascii="宋体" w:hAnsi="宋体" w:cs="宋体"/>
          <w:color w:val="auto"/>
          <w:kern w:val="0"/>
          <w:sz w:val="24"/>
          <w:u w:val="single"/>
        </w:rPr>
        <w:t xml:space="preserve">            </w:t>
      </w:r>
      <w:r>
        <w:rPr>
          <w:rFonts w:hint="eastAsia" w:ascii="宋体" w:hAnsi="宋体" w:cs="宋体"/>
          <w:color w:val="auto"/>
          <w:kern w:val="0"/>
          <w:sz w:val="24"/>
        </w:rPr>
        <w:t>，现授权委托</w:t>
      </w:r>
      <w:r>
        <w:rPr>
          <w:rFonts w:hint="eastAsia" w:ascii="宋体" w:hAnsi="宋体" w:cs="宋体"/>
          <w:color w:val="auto"/>
          <w:kern w:val="0"/>
          <w:sz w:val="24"/>
          <w:u w:val="single"/>
        </w:rPr>
        <w:t xml:space="preserve">                  (单位名称）   </w:t>
      </w:r>
      <w:r>
        <w:rPr>
          <w:rFonts w:hint="eastAsia" w:ascii="宋体" w:hAnsi="宋体" w:cs="宋体"/>
          <w:color w:val="auto"/>
          <w:kern w:val="0"/>
          <w:sz w:val="24"/>
        </w:rPr>
        <w:t xml:space="preserve">的 </w:t>
      </w:r>
      <w:r>
        <w:rPr>
          <w:rFonts w:hint="eastAsia" w:ascii="宋体" w:hAnsi="宋体" w:cs="宋体"/>
          <w:color w:val="auto"/>
          <w:kern w:val="0"/>
          <w:sz w:val="24"/>
          <w:u w:val="single"/>
        </w:rPr>
        <w:t xml:space="preserve">             </w:t>
      </w:r>
      <w:r>
        <w:rPr>
          <w:rFonts w:hint="eastAsia" w:ascii="宋体" w:hAnsi="宋体" w:cs="宋体"/>
          <w:color w:val="auto"/>
          <w:kern w:val="0"/>
          <w:sz w:val="24"/>
        </w:rPr>
        <w:t>（姓名、职务或职称）为我单位本次项目的全权代表，以本公司的名义参加</w:t>
      </w:r>
      <w:r>
        <w:rPr>
          <w:rFonts w:hint="eastAsia" w:ascii="宋体" w:hAnsi="宋体" w:cs="宋体"/>
          <w:color w:val="auto"/>
          <w:kern w:val="0"/>
          <w:sz w:val="24"/>
          <w:u w:val="single"/>
        </w:rPr>
        <w:t xml:space="preserve">         </w:t>
      </w:r>
      <w:r>
        <w:rPr>
          <w:rFonts w:hint="eastAsia" w:ascii="宋体" w:hAnsi="宋体" w:cs="宋体"/>
          <w:color w:val="auto"/>
          <w:kern w:val="0"/>
          <w:sz w:val="24"/>
        </w:rPr>
        <w:t>项目竞争性磋商，全权处理磋商过程中所签署的一切文件和有关的一切事务。</w:t>
      </w:r>
    </w:p>
    <w:p w14:paraId="52389754">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特此授权。</w:t>
      </w:r>
    </w:p>
    <w:p w14:paraId="3E22270C">
      <w:pPr>
        <w:spacing w:line="560" w:lineRule="exact"/>
        <w:ind w:firstLine="480" w:firstLineChars="200"/>
        <w:rPr>
          <w:rFonts w:hint="eastAsia" w:ascii="宋体" w:hAnsi="宋体"/>
          <w:color w:val="auto"/>
          <w:sz w:val="24"/>
        </w:rPr>
      </w:pPr>
      <w:r>
        <w:rPr>
          <w:rFonts w:hint="eastAsia" w:ascii="宋体" w:hAnsi="宋体"/>
          <w:color w:val="auto"/>
          <w:sz w:val="24"/>
        </w:rPr>
        <w:t>附：授权委托人身份证明</w:t>
      </w:r>
    </w:p>
    <w:p w14:paraId="7584717D">
      <w:pPr>
        <w:pStyle w:val="10"/>
        <w:rPr>
          <w:rFonts w:hint="eastAsia" w:ascii="宋体" w:hAnsi="宋体"/>
          <w:color w:val="auto"/>
          <w:sz w:val="24"/>
        </w:rPr>
      </w:pPr>
    </w:p>
    <w:p w14:paraId="0BEB8A57">
      <w:pPr>
        <w:rPr>
          <w:rFonts w:hint="eastAsia" w:ascii="宋体" w:hAnsi="宋体"/>
          <w:color w:val="auto"/>
          <w:sz w:val="24"/>
        </w:rPr>
      </w:pPr>
    </w:p>
    <w:p w14:paraId="249B9855">
      <w:pPr>
        <w:pStyle w:val="10"/>
        <w:rPr>
          <w:color w:val="auto"/>
        </w:rPr>
      </w:pPr>
    </w:p>
    <w:p w14:paraId="0DA29ABA">
      <w:pPr>
        <w:rPr>
          <w:color w:val="auto"/>
        </w:rPr>
      </w:pPr>
    </w:p>
    <w:p w14:paraId="6F8C9937">
      <w:pPr>
        <w:pStyle w:val="10"/>
        <w:rPr>
          <w:color w:val="auto"/>
        </w:rPr>
      </w:pPr>
    </w:p>
    <w:p w14:paraId="651D1514">
      <w:pPr>
        <w:rPr>
          <w:color w:val="auto"/>
        </w:rPr>
      </w:pPr>
    </w:p>
    <w:p w14:paraId="779CD84C">
      <w:pPr>
        <w:pStyle w:val="10"/>
        <w:rPr>
          <w:color w:val="auto"/>
        </w:rPr>
      </w:pPr>
    </w:p>
    <w:p w14:paraId="780D01F3">
      <w:pPr>
        <w:rPr>
          <w:color w:val="auto"/>
        </w:rPr>
      </w:pPr>
    </w:p>
    <w:p w14:paraId="3CFE923D">
      <w:pPr>
        <w:spacing w:line="560" w:lineRule="exact"/>
        <w:rPr>
          <w:rFonts w:ascii="宋体" w:hAnsi="宋体"/>
          <w:color w:val="auto"/>
          <w:sz w:val="24"/>
        </w:rPr>
      </w:pPr>
    </w:p>
    <w:p w14:paraId="4B4DC22D">
      <w:pPr>
        <w:spacing w:line="400" w:lineRule="exact"/>
        <w:ind w:firstLine="3960" w:firstLineChars="1650"/>
        <w:jc w:val="left"/>
        <w:rPr>
          <w:rFonts w:ascii="宋体" w:hAnsi="宋体" w:cs="宋体"/>
          <w:color w:val="auto"/>
          <w:sz w:val="24"/>
        </w:rPr>
      </w:pPr>
      <w:r>
        <w:rPr>
          <w:rFonts w:hint="eastAsia" w:ascii="宋体" w:hAnsi="宋体" w:cs="宋体"/>
          <w:color w:val="auto"/>
          <w:sz w:val="24"/>
        </w:rPr>
        <w:t>供应商</w:t>
      </w:r>
      <w:r>
        <w:rPr>
          <w:rFonts w:hint="eastAsia" w:ascii="宋体" w:hAnsi="宋体" w:cs="宋体"/>
          <w:color w:val="auto"/>
          <w:sz w:val="24"/>
          <w:lang w:eastAsia="zh-CN"/>
        </w:rPr>
        <w:t>名称</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（盖单位章）</w:t>
      </w:r>
    </w:p>
    <w:p w14:paraId="7BFD7EC7">
      <w:pPr>
        <w:spacing w:line="400" w:lineRule="exact"/>
        <w:ind w:firstLine="4080" w:firstLineChars="1700"/>
        <w:jc w:val="left"/>
        <w:rPr>
          <w:rFonts w:ascii="宋体" w:hAnsi="宋体" w:cs="宋体"/>
          <w:color w:val="auto"/>
          <w:sz w:val="24"/>
        </w:rPr>
      </w:pPr>
    </w:p>
    <w:p w14:paraId="5E411C4A">
      <w:pPr>
        <w:spacing w:line="400" w:lineRule="exact"/>
        <w:ind w:firstLine="3960" w:firstLineChars="1650"/>
        <w:jc w:val="left"/>
        <w:rPr>
          <w:rFonts w:ascii="宋体" w:hAnsi="宋体" w:cs="宋体"/>
          <w:color w:val="auto"/>
          <w:sz w:val="24"/>
        </w:rPr>
      </w:pPr>
      <w:r>
        <w:rPr>
          <w:rFonts w:hint="eastAsia" w:ascii="宋体" w:hAnsi="宋体" w:cs="宋体"/>
          <w:color w:val="auto"/>
          <w:sz w:val="24"/>
        </w:rPr>
        <w:t>法定代表人：</w:t>
      </w:r>
      <w:r>
        <w:rPr>
          <w:rFonts w:hint="eastAsia" w:ascii="宋体" w:hAnsi="宋体" w:cs="宋体"/>
          <w:color w:val="auto"/>
          <w:sz w:val="24"/>
          <w:u w:val="single"/>
        </w:rPr>
        <w:t xml:space="preserve">                         </w:t>
      </w:r>
      <w:r>
        <w:rPr>
          <w:rFonts w:hint="eastAsia" w:ascii="宋体" w:hAnsi="宋体" w:cs="宋体"/>
          <w:color w:val="auto"/>
          <w:sz w:val="24"/>
        </w:rPr>
        <w:t>（签字或盖章）</w:t>
      </w:r>
    </w:p>
    <w:p w14:paraId="4C48453C">
      <w:pPr>
        <w:spacing w:line="400" w:lineRule="exact"/>
        <w:ind w:firstLine="4080" w:firstLineChars="1700"/>
        <w:jc w:val="left"/>
        <w:rPr>
          <w:rFonts w:ascii="宋体" w:hAnsi="宋体" w:cs="宋体"/>
          <w:color w:val="auto"/>
          <w:sz w:val="24"/>
        </w:rPr>
      </w:pPr>
    </w:p>
    <w:p w14:paraId="42760EA5">
      <w:pPr>
        <w:spacing w:line="400" w:lineRule="exact"/>
        <w:ind w:firstLine="3960" w:firstLineChars="1650"/>
        <w:jc w:val="left"/>
        <w:rPr>
          <w:rFonts w:ascii="宋体" w:hAnsi="宋体" w:cs="宋体"/>
          <w:color w:val="auto"/>
          <w:sz w:val="24"/>
        </w:rPr>
      </w:pPr>
      <w:r>
        <w:rPr>
          <w:rFonts w:hint="eastAsia" w:ascii="宋体" w:hAnsi="宋体" w:cs="宋体"/>
          <w:color w:val="auto"/>
          <w:sz w:val="24"/>
        </w:rPr>
        <w:t>委托代理人：</w:t>
      </w:r>
      <w:r>
        <w:rPr>
          <w:rFonts w:hint="eastAsia" w:ascii="宋体" w:hAnsi="宋体" w:cs="宋体"/>
          <w:color w:val="auto"/>
          <w:sz w:val="24"/>
          <w:u w:val="single"/>
        </w:rPr>
        <w:t xml:space="preserve">                        </w:t>
      </w:r>
      <w:r>
        <w:rPr>
          <w:rFonts w:hint="eastAsia" w:ascii="宋体" w:hAnsi="宋体" w:cs="宋体"/>
          <w:color w:val="auto"/>
          <w:sz w:val="24"/>
        </w:rPr>
        <w:t>（签字或盖章）</w:t>
      </w:r>
    </w:p>
    <w:p w14:paraId="152A40BB">
      <w:pPr>
        <w:spacing w:line="400" w:lineRule="exact"/>
        <w:ind w:firstLine="4080" w:firstLineChars="1700"/>
        <w:jc w:val="left"/>
        <w:rPr>
          <w:rFonts w:ascii="宋体" w:hAnsi="宋体" w:cs="宋体"/>
          <w:color w:val="auto"/>
          <w:sz w:val="24"/>
        </w:rPr>
      </w:pPr>
    </w:p>
    <w:p w14:paraId="52D32FF3">
      <w:pPr>
        <w:spacing w:line="400" w:lineRule="exact"/>
        <w:ind w:firstLine="6000" w:firstLineChars="2500"/>
        <w:jc w:val="left"/>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06DB4E48">
      <w:pPr>
        <w:tabs>
          <w:tab w:val="left" w:pos="0"/>
          <w:tab w:val="left" w:pos="720"/>
          <w:tab w:val="left" w:pos="1440"/>
          <w:tab w:val="left" w:pos="2160"/>
          <w:tab w:val="left" w:pos="2880"/>
          <w:tab w:val="left" w:pos="3600"/>
          <w:tab w:val="left" w:pos="4320"/>
        </w:tabs>
        <w:autoSpaceDE w:val="0"/>
        <w:autoSpaceDN w:val="0"/>
        <w:snapToGrid w:val="0"/>
        <w:spacing w:line="360" w:lineRule="auto"/>
        <w:rPr>
          <w:rFonts w:ascii="宋体" w:hAnsi="宋体"/>
          <w:color w:val="auto"/>
          <w:sz w:val="24"/>
        </w:rPr>
      </w:pPr>
    </w:p>
    <w:p w14:paraId="24FD3161">
      <w:pPr>
        <w:pStyle w:val="10"/>
        <w:tabs>
          <w:tab w:val="left" w:pos="0"/>
          <w:tab w:val="left" w:pos="720"/>
          <w:tab w:val="left" w:pos="1440"/>
          <w:tab w:val="left" w:pos="2160"/>
          <w:tab w:val="left" w:pos="2880"/>
          <w:tab w:val="left" w:pos="3600"/>
          <w:tab w:val="left" w:pos="4320"/>
        </w:tabs>
        <w:autoSpaceDE w:val="0"/>
        <w:autoSpaceDN w:val="0"/>
        <w:adjustRightInd w:val="0"/>
        <w:spacing w:before="0" w:line="360" w:lineRule="auto"/>
        <w:jc w:val="center"/>
        <w:rPr>
          <w:rFonts w:ascii="宋体" w:hAnsi="宋体"/>
          <w:b/>
          <w:bCs/>
          <w:color w:val="auto"/>
        </w:rPr>
      </w:pPr>
      <w:r>
        <w:rPr>
          <w:rFonts w:ascii="宋体" w:hAnsi="宋体"/>
          <w:color w:val="auto"/>
          <w:szCs w:val="24"/>
        </w:rPr>
        <w:br w:type="page"/>
      </w:r>
      <w:r>
        <w:rPr>
          <w:rFonts w:hint="eastAsia" w:ascii="宋体" w:hAnsi="宋体"/>
          <w:b/>
          <w:bCs/>
          <w:color w:val="auto"/>
        </w:rPr>
        <w:t>三、初次报价表</w:t>
      </w:r>
    </w:p>
    <w:p w14:paraId="48DE3DBD">
      <w:pPr>
        <w:spacing w:line="360" w:lineRule="auto"/>
        <w:ind w:left="206" w:right="555"/>
        <w:jc w:val="right"/>
        <w:rPr>
          <w:rFonts w:ascii="宋体" w:hAnsi="宋体"/>
          <w:color w:val="auto"/>
          <w:sz w:val="24"/>
        </w:rPr>
      </w:pPr>
      <w:r>
        <w:rPr>
          <w:rFonts w:hint="eastAsia" w:ascii="宋体" w:hAnsi="宋体"/>
          <w:color w:val="auto"/>
          <w:sz w:val="24"/>
        </w:rPr>
        <w:t>货币单位：元</w:t>
      </w:r>
    </w:p>
    <w:tbl>
      <w:tblPr>
        <w:tblStyle w:val="39"/>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4"/>
        <w:gridCol w:w="6715"/>
      </w:tblGrid>
      <w:tr w14:paraId="7BD56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2804" w:type="dxa"/>
            <w:vAlign w:val="center"/>
          </w:tcPr>
          <w:p w14:paraId="0F951E7A">
            <w:pPr>
              <w:spacing w:line="360" w:lineRule="auto"/>
              <w:jc w:val="center"/>
              <w:rPr>
                <w:rFonts w:ascii="宋体" w:hAnsi="宋体"/>
                <w:color w:val="auto"/>
                <w:sz w:val="24"/>
              </w:rPr>
            </w:pPr>
            <w:r>
              <w:rPr>
                <w:rFonts w:hint="eastAsia" w:ascii="宋体" w:hAnsi="宋体"/>
                <w:color w:val="auto"/>
                <w:sz w:val="24"/>
              </w:rPr>
              <w:t>响应方（供应商名称）</w:t>
            </w:r>
          </w:p>
        </w:tc>
        <w:tc>
          <w:tcPr>
            <w:tcW w:w="6715" w:type="dxa"/>
            <w:vAlign w:val="center"/>
          </w:tcPr>
          <w:p w14:paraId="511F2B3B">
            <w:pPr>
              <w:spacing w:line="360" w:lineRule="auto"/>
              <w:jc w:val="center"/>
              <w:rPr>
                <w:rFonts w:ascii="宋体" w:hAnsi="宋体"/>
                <w:color w:val="auto"/>
                <w:sz w:val="24"/>
              </w:rPr>
            </w:pPr>
          </w:p>
        </w:tc>
      </w:tr>
      <w:tr w14:paraId="2C3BD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2804" w:type="dxa"/>
            <w:vAlign w:val="center"/>
          </w:tcPr>
          <w:p w14:paraId="7E58A5D8">
            <w:pPr>
              <w:spacing w:line="360" w:lineRule="auto"/>
              <w:jc w:val="center"/>
              <w:rPr>
                <w:rFonts w:ascii="宋体" w:hAnsi="宋体"/>
                <w:color w:val="auto"/>
                <w:sz w:val="24"/>
              </w:rPr>
            </w:pPr>
            <w:r>
              <w:rPr>
                <w:rFonts w:hint="eastAsia" w:ascii="宋体" w:hAnsi="宋体"/>
                <w:color w:val="auto"/>
                <w:sz w:val="24"/>
              </w:rPr>
              <w:t>项目名称</w:t>
            </w:r>
          </w:p>
        </w:tc>
        <w:tc>
          <w:tcPr>
            <w:tcW w:w="6715" w:type="dxa"/>
            <w:vAlign w:val="center"/>
          </w:tcPr>
          <w:p w14:paraId="3216C260">
            <w:pPr>
              <w:spacing w:line="360" w:lineRule="auto"/>
              <w:jc w:val="center"/>
              <w:rPr>
                <w:rFonts w:ascii="宋体" w:hAnsi="宋体"/>
                <w:color w:val="auto"/>
                <w:sz w:val="24"/>
              </w:rPr>
            </w:pPr>
          </w:p>
        </w:tc>
      </w:tr>
      <w:tr w14:paraId="0883B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jc w:val="center"/>
        </w:trPr>
        <w:tc>
          <w:tcPr>
            <w:tcW w:w="2804" w:type="dxa"/>
            <w:vAlign w:val="center"/>
          </w:tcPr>
          <w:p w14:paraId="784E1685">
            <w:pPr>
              <w:spacing w:line="360" w:lineRule="auto"/>
              <w:jc w:val="center"/>
              <w:rPr>
                <w:rFonts w:ascii="宋体" w:hAnsi="宋体"/>
                <w:color w:val="auto"/>
                <w:sz w:val="24"/>
              </w:rPr>
            </w:pPr>
            <w:r>
              <w:rPr>
                <w:rFonts w:hint="eastAsia" w:ascii="宋体" w:hAnsi="宋体"/>
                <w:color w:val="auto"/>
                <w:sz w:val="24"/>
              </w:rPr>
              <w:t>初次报价</w:t>
            </w:r>
            <w:r>
              <w:rPr>
                <w:rFonts w:ascii="宋体" w:hAnsi="宋体"/>
                <w:color w:val="auto"/>
                <w:sz w:val="24"/>
              </w:rPr>
              <w:t xml:space="preserve">       </w:t>
            </w:r>
          </w:p>
        </w:tc>
        <w:tc>
          <w:tcPr>
            <w:tcW w:w="6715" w:type="dxa"/>
            <w:vAlign w:val="center"/>
          </w:tcPr>
          <w:p w14:paraId="794B5989">
            <w:pPr>
              <w:spacing w:line="360" w:lineRule="auto"/>
              <w:ind w:firstLine="480" w:firstLineChars="200"/>
              <w:jc w:val="both"/>
              <w:rPr>
                <w:rFonts w:hint="eastAsia" w:ascii="宋体" w:hAnsi="宋体"/>
                <w:color w:val="auto"/>
                <w:sz w:val="24"/>
                <w:lang w:eastAsia="zh-CN"/>
              </w:rPr>
            </w:pPr>
            <w:r>
              <w:rPr>
                <w:rFonts w:hint="eastAsia" w:ascii="宋体" w:hAnsi="宋体"/>
                <w:color w:val="auto"/>
                <w:sz w:val="24"/>
                <w:lang w:eastAsia="zh-CN"/>
              </w:rPr>
              <w:t>大写：</w:t>
            </w:r>
          </w:p>
          <w:p w14:paraId="10AE5A40">
            <w:pPr>
              <w:pStyle w:val="54"/>
              <w:rPr>
                <w:rFonts w:hint="eastAsia"/>
                <w:color w:val="auto"/>
                <w:lang w:eastAsia="zh-CN"/>
              </w:rPr>
            </w:pPr>
          </w:p>
          <w:p w14:paraId="6B108067">
            <w:pPr>
              <w:spacing w:line="360" w:lineRule="auto"/>
              <w:ind w:firstLine="480" w:firstLineChars="200"/>
              <w:jc w:val="both"/>
              <w:rPr>
                <w:rFonts w:ascii="宋体" w:hAnsi="宋体"/>
                <w:color w:val="auto"/>
                <w:sz w:val="24"/>
              </w:rPr>
            </w:pPr>
            <w:r>
              <w:rPr>
                <w:rFonts w:hint="eastAsia" w:ascii="宋体" w:hAnsi="宋体"/>
                <w:color w:val="auto"/>
                <w:sz w:val="24"/>
                <w:lang w:eastAsia="zh-CN"/>
              </w:rPr>
              <w:t>小写：</w:t>
            </w:r>
          </w:p>
        </w:tc>
      </w:tr>
      <w:tr w14:paraId="3C7C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2804" w:type="dxa"/>
            <w:vAlign w:val="center"/>
          </w:tcPr>
          <w:p w14:paraId="25BA0001">
            <w:pPr>
              <w:spacing w:line="360" w:lineRule="auto"/>
              <w:jc w:val="center"/>
              <w:rPr>
                <w:rFonts w:ascii="宋体" w:hAnsi="宋体"/>
                <w:color w:val="auto"/>
                <w:sz w:val="24"/>
              </w:rPr>
            </w:pPr>
            <w:r>
              <w:rPr>
                <w:rFonts w:hint="eastAsia" w:ascii="宋体" w:hAnsi="宋体"/>
                <w:color w:val="auto"/>
                <w:w w:val="110"/>
                <w:sz w:val="24"/>
              </w:rPr>
              <w:t>工期（日历日）</w:t>
            </w:r>
          </w:p>
        </w:tc>
        <w:tc>
          <w:tcPr>
            <w:tcW w:w="6715" w:type="dxa"/>
            <w:vAlign w:val="center"/>
          </w:tcPr>
          <w:p w14:paraId="4CADF70B">
            <w:pPr>
              <w:spacing w:line="360" w:lineRule="auto"/>
              <w:jc w:val="center"/>
              <w:rPr>
                <w:rFonts w:ascii="宋体" w:hAnsi="宋体"/>
                <w:color w:val="auto"/>
                <w:sz w:val="24"/>
              </w:rPr>
            </w:pPr>
          </w:p>
        </w:tc>
      </w:tr>
      <w:tr w14:paraId="7548C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2804" w:type="dxa"/>
            <w:vAlign w:val="center"/>
          </w:tcPr>
          <w:p w14:paraId="2A044E08">
            <w:pPr>
              <w:spacing w:line="360" w:lineRule="auto"/>
              <w:jc w:val="center"/>
              <w:rPr>
                <w:rFonts w:ascii="宋体" w:hAnsi="宋体"/>
                <w:color w:val="auto"/>
                <w:w w:val="110"/>
                <w:sz w:val="24"/>
                <w:szCs w:val="24"/>
              </w:rPr>
            </w:pPr>
            <w:r>
              <w:rPr>
                <w:rFonts w:hint="eastAsia" w:ascii="宋体" w:hAnsi="宋体"/>
                <w:color w:val="auto"/>
                <w:w w:val="110"/>
                <w:sz w:val="24"/>
                <w:szCs w:val="24"/>
              </w:rPr>
              <w:t>质量标准</w:t>
            </w:r>
          </w:p>
        </w:tc>
        <w:tc>
          <w:tcPr>
            <w:tcW w:w="6715" w:type="dxa"/>
            <w:vAlign w:val="center"/>
          </w:tcPr>
          <w:p w14:paraId="143A9634">
            <w:pPr>
              <w:spacing w:line="360" w:lineRule="auto"/>
              <w:jc w:val="center"/>
              <w:rPr>
                <w:rFonts w:ascii="宋体" w:hAnsi="宋体"/>
                <w:color w:val="auto"/>
                <w:w w:val="110"/>
                <w:sz w:val="24"/>
                <w:szCs w:val="24"/>
              </w:rPr>
            </w:pPr>
          </w:p>
        </w:tc>
      </w:tr>
      <w:tr w14:paraId="54C9B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804" w:type="dxa"/>
            <w:vAlign w:val="center"/>
          </w:tcPr>
          <w:p w14:paraId="52E7F6AE">
            <w:pPr>
              <w:spacing w:line="360" w:lineRule="auto"/>
              <w:jc w:val="center"/>
              <w:rPr>
                <w:rFonts w:hint="eastAsia" w:ascii="宋体" w:hAnsi="宋体" w:eastAsia="宋体"/>
                <w:color w:val="auto"/>
                <w:w w:val="110"/>
                <w:sz w:val="24"/>
                <w:szCs w:val="24"/>
                <w:lang w:eastAsia="zh-CN"/>
              </w:rPr>
            </w:pPr>
            <w:r>
              <w:rPr>
                <w:rFonts w:hint="eastAsia" w:ascii="宋体" w:hAnsi="宋体"/>
                <w:color w:val="auto"/>
                <w:w w:val="110"/>
                <w:sz w:val="24"/>
                <w:szCs w:val="24"/>
                <w:lang w:eastAsia="zh-CN"/>
              </w:rPr>
              <w:t>质保期（年）</w:t>
            </w:r>
          </w:p>
        </w:tc>
        <w:tc>
          <w:tcPr>
            <w:tcW w:w="6715" w:type="dxa"/>
            <w:vAlign w:val="center"/>
          </w:tcPr>
          <w:p w14:paraId="5C403E19">
            <w:pPr>
              <w:spacing w:line="360" w:lineRule="auto"/>
              <w:jc w:val="center"/>
              <w:rPr>
                <w:rFonts w:ascii="宋体" w:hAnsi="宋体"/>
                <w:color w:val="auto"/>
                <w:w w:val="110"/>
                <w:sz w:val="24"/>
                <w:szCs w:val="24"/>
              </w:rPr>
            </w:pPr>
          </w:p>
        </w:tc>
      </w:tr>
      <w:tr w14:paraId="34212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2804" w:type="dxa"/>
            <w:vAlign w:val="center"/>
          </w:tcPr>
          <w:p w14:paraId="35F22793">
            <w:pPr>
              <w:spacing w:line="360" w:lineRule="auto"/>
              <w:jc w:val="center"/>
              <w:rPr>
                <w:rFonts w:hint="eastAsia" w:ascii="宋体" w:hAnsi="宋体"/>
                <w:color w:val="auto"/>
                <w:w w:val="110"/>
                <w:sz w:val="24"/>
                <w:szCs w:val="24"/>
                <w:lang w:eastAsia="zh-CN"/>
              </w:rPr>
            </w:pPr>
            <w:r>
              <w:rPr>
                <w:rFonts w:hint="eastAsia" w:ascii="宋体" w:hAnsi="宋体"/>
                <w:color w:val="auto"/>
                <w:w w:val="110"/>
                <w:sz w:val="24"/>
                <w:szCs w:val="24"/>
                <w:lang w:eastAsia="zh-CN"/>
              </w:rPr>
              <w:t>项目经理</w:t>
            </w:r>
          </w:p>
        </w:tc>
        <w:tc>
          <w:tcPr>
            <w:tcW w:w="6715" w:type="dxa"/>
            <w:vAlign w:val="center"/>
          </w:tcPr>
          <w:p w14:paraId="5F1E4E9E">
            <w:pPr>
              <w:spacing w:line="360" w:lineRule="auto"/>
              <w:jc w:val="left"/>
              <w:rPr>
                <w:rFonts w:hint="eastAsia" w:ascii="宋体"/>
                <w:color w:val="auto"/>
                <w:sz w:val="24"/>
                <w:szCs w:val="24"/>
                <w:highlight w:val="none"/>
              </w:rPr>
            </w:pPr>
            <w:r>
              <w:rPr>
                <w:rFonts w:hint="eastAsia" w:ascii="宋体"/>
                <w:color w:val="auto"/>
                <w:sz w:val="24"/>
                <w:szCs w:val="24"/>
                <w:highlight w:val="none"/>
              </w:rPr>
              <w:t>姓名：</w:t>
            </w:r>
            <w:r>
              <w:rPr>
                <w:rFonts w:hint="eastAsia" w:ascii="宋体"/>
                <w:color w:val="auto"/>
                <w:sz w:val="24"/>
                <w:szCs w:val="24"/>
                <w:highlight w:val="none"/>
                <w:u w:val="single"/>
              </w:rPr>
              <w:t xml:space="preserve">                 </w:t>
            </w:r>
            <w:r>
              <w:rPr>
                <w:rFonts w:hint="eastAsia" w:ascii="宋体"/>
                <w:color w:val="auto"/>
                <w:sz w:val="24"/>
                <w:szCs w:val="24"/>
                <w:highlight w:val="none"/>
              </w:rPr>
              <w:t>，</w:t>
            </w:r>
          </w:p>
          <w:p w14:paraId="43261B08">
            <w:pPr>
              <w:spacing w:line="360" w:lineRule="auto"/>
              <w:jc w:val="left"/>
              <w:rPr>
                <w:rFonts w:hint="eastAsia" w:ascii="宋体"/>
                <w:color w:val="auto"/>
                <w:sz w:val="24"/>
                <w:szCs w:val="24"/>
                <w:highlight w:val="none"/>
              </w:rPr>
            </w:pPr>
            <w:r>
              <w:rPr>
                <w:rFonts w:hint="eastAsia" w:ascii="宋体"/>
                <w:color w:val="auto"/>
                <w:sz w:val="24"/>
                <w:szCs w:val="24"/>
                <w:highlight w:val="none"/>
              </w:rPr>
              <w:t>证书等级：</w:t>
            </w:r>
            <w:r>
              <w:rPr>
                <w:rFonts w:hint="eastAsia" w:ascii="宋体"/>
                <w:color w:val="auto"/>
                <w:sz w:val="24"/>
                <w:szCs w:val="24"/>
                <w:highlight w:val="none"/>
                <w:u w:val="single"/>
              </w:rPr>
              <w:t xml:space="preserve">             </w:t>
            </w:r>
            <w:r>
              <w:rPr>
                <w:rFonts w:hint="eastAsia" w:ascii="宋体"/>
                <w:color w:val="auto"/>
                <w:sz w:val="24"/>
                <w:szCs w:val="24"/>
                <w:highlight w:val="none"/>
              </w:rPr>
              <w:t>，</w:t>
            </w:r>
          </w:p>
          <w:p w14:paraId="324F4972">
            <w:pPr>
              <w:spacing w:line="360" w:lineRule="auto"/>
              <w:jc w:val="both"/>
              <w:rPr>
                <w:rFonts w:ascii="宋体" w:hAnsi="宋体"/>
                <w:color w:val="auto"/>
                <w:w w:val="110"/>
                <w:sz w:val="24"/>
                <w:szCs w:val="24"/>
              </w:rPr>
            </w:pPr>
            <w:r>
              <w:rPr>
                <w:rFonts w:hint="eastAsia" w:ascii="宋体"/>
                <w:color w:val="auto"/>
                <w:sz w:val="24"/>
                <w:szCs w:val="24"/>
                <w:highlight w:val="none"/>
              </w:rPr>
              <w:t>证书注册编号：</w:t>
            </w:r>
            <w:r>
              <w:rPr>
                <w:rFonts w:hint="eastAsia" w:ascii="宋体"/>
                <w:color w:val="auto"/>
                <w:sz w:val="24"/>
                <w:szCs w:val="24"/>
                <w:highlight w:val="none"/>
                <w:u w:val="single"/>
              </w:rPr>
              <w:t xml:space="preserve">              </w:t>
            </w:r>
            <w:r>
              <w:rPr>
                <w:rFonts w:hint="eastAsia" w:ascii="宋体"/>
                <w:color w:val="auto"/>
                <w:sz w:val="24"/>
                <w:szCs w:val="24"/>
                <w:highlight w:val="none"/>
              </w:rPr>
              <w:t>。</w:t>
            </w:r>
          </w:p>
        </w:tc>
      </w:tr>
    </w:tbl>
    <w:p w14:paraId="44D16139">
      <w:pPr>
        <w:spacing w:line="360" w:lineRule="auto"/>
        <w:ind w:right="420"/>
        <w:rPr>
          <w:rFonts w:hint="eastAsia" w:ascii="宋体" w:hAnsi="宋体"/>
          <w:color w:val="auto"/>
          <w:sz w:val="24"/>
        </w:rPr>
      </w:pPr>
      <w:r>
        <w:rPr>
          <w:rFonts w:hint="eastAsia" w:ascii="宋体" w:hAnsi="宋体"/>
          <w:color w:val="auto"/>
          <w:sz w:val="24"/>
        </w:rPr>
        <w:t xml:space="preserve">     </w:t>
      </w:r>
    </w:p>
    <w:p w14:paraId="40785632">
      <w:pPr>
        <w:spacing w:line="360" w:lineRule="auto"/>
        <w:ind w:right="420"/>
        <w:rPr>
          <w:rFonts w:ascii="宋体" w:hAnsi="宋体"/>
          <w:color w:val="auto"/>
          <w:sz w:val="24"/>
        </w:rPr>
      </w:pPr>
      <w:r>
        <w:rPr>
          <w:rFonts w:hint="eastAsia" w:ascii="宋体" w:hAnsi="宋体"/>
          <w:color w:val="auto"/>
          <w:sz w:val="24"/>
        </w:rPr>
        <w:t xml:space="preserve">                                                     </w:t>
      </w:r>
    </w:p>
    <w:p w14:paraId="70F4CC29">
      <w:pPr>
        <w:spacing w:line="360" w:lineRule="auto"/>
        <w:ind w:right="420"/>
        <w:rPr>
          <w:rFonts w:ascii="宋体" w:hAnsi="宋体"/>
          <w:color w:val="auto"/>
          <w:sz w:val="24"/>
        </w:rPr>
      </w:pPr>
      <w:r>
        <w:rPr>
          <w:rFonts w:hint="eastAsia" w:ascii="宋体" w:hAnsi="宋体" w:cs="宋体"/>
          <w:color w:val="auto"/>
          <w:sz w:val="24"/>
        </w:rPr>
        <w:t>供应商</w:t>
      </w:r>
      <w:r>
        <w:rPr>
          <w:rFonts w:hint="eastAsia" w:ascii="宋体" w:hAnsi="宋体" w:cs="宋体"/>
          <w:color w:val="auto"/>
          <w:sz w:val="24"/>
          <w:lang w:eastAsia="zh-CN"/>
        </w:rPr>
        <w:t>名称</w:t>
      </w:r>
      <w:r>
        <w:rPr>
          <w:rFonts w:hint="eastAsia" w:ascii="宋体" w:hAnsi="宋体" w:cs="宋体"/>
          <w:color w:val="auto"/>
          <w:sz w:val="24"/>
        </w:rPr>
        <w:t>（盖章）：</w:t>
      </w:r>
    </w:p>
    <w:p w14:paraId="27C36968">
      <w:pPr>
        <w:spacing w:line="480" w:lineRule="exact"/>
        <w:jc w:val="left"/>
        <w:rPr>
          <w:rFonts w:ascii="宋体" w:hAnsi="宋体" w:cs="宋体"/>
          <w:color w:val="auto"/>
          <w:sz w:val="24"/>
        </w:rPr>
      </w:pPr>
      <w:r>
        <w:rPr>
          <w:rFonts w:hint="eastAsia" w:ascii="宋体" w:hAnsi="宋体" w:cs="宋体"/>
          <w:color w:val="auto"/>
          <w:sz w:val="24"/>
        </w:rPr>
        <w:t>法人代表或委托代理人（签字或盖章）：</w:t>
      </w:r>
    </w:p>
    <w:p w14:paraId="29B23A30">
      <w:pPr>
        <w:spacing w:line="480" w:lineRule="exact"/>
        <w:jc w:val="left"/>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E73750E">
      <w:pPr>
        <w:pStyle w:val="54"/>
        <w:rPr>
          <w:rFonts w:hint="eastAsia" w:ascii="宋体" w:hAnsi="宋体" w:cs="宋体"/>
          <w:color w:val="auto"/>
          <w:sz w:val="24"/>
        </w:rPr>
      </w:pPr>
    </w:p>
    <w:p w14:paraId="70932990">
      <w:pPr>
        <w:pStyle w:val="54"/>
        <w:rPr>
          <w:rFonts w:hint="eastAsia" w:ascii="宋体" w:hAnsi="宋体" w:cs="宋体"/>
          <w:color w:val="auto"/>
          <w:sz w:val="24"/>
        </w:rPr>
      </w:pPr>
    </w:p>
    <w:p w14:paraId="2E05BF97">
      <w:pPr>
        <w:pStyle w:val="54"/>
        <w:rPr>
          <w:rFonts w:hint="eastAsia" w:ascii="宋体" w:hAnsi="宋体" w:cs="宋体"/>
          <w:color w:val="auto"/>
          <w:sz w:val="24"/>
        </w:rPr>
      </w:pPr>
    </w:p>
    <w:p w14:paraId="09D3EB41">
      <w:pPr>
        <w:pStyle w:val="54"/>
        <w:rPr>
          <w:rFonts w:hint="eastAsia" w:ascii="宋体" w:hAnsi="宋体" w:cs="宋体"/>
          <w:color w:val="auto"/>
          <w:sz w:val="24"/>
        </w:rPr>
      </w:pPr>
    </w:p>
    <w:p w14:paraId="7F24A608">
      <w:pPr>
        <w:pStyle w:val="54"/>
        <w:rPr>
          <w:rFonts w:hint="eastAsia" w:ascii="宋体" w:hAnsi="宋体" w:cs="宋体"/>
          <w:color w:val="auto"/>
          <w:sz w:val="24"/>
        </w:rPr>
      </w:pPr>
    </w:p>
    <w:p w14:paraId="0C9EB773">
      <w:pPr>
        <w:pStyle w:val="54"/>
        <w:ind w:left="0" w:leftChars="0" w:firstLine="0" w:firstLineChars="0"/>
        <w:rPr>
          <w:rFonts w:hint="eastAsia" w:ascii="宋体" w:hAnsi="宋体" w:cs="宋体"/>
          <w:color w:val="auto"/>
          <w:sz w:val="24"/>
        </w:rPr>
      </w:pPr>
    </w:p>
    <w:p w14:paraId="4A384C0C">
      <w:pPr>
        <w:pStyle w:val="10"/>
        <w:jc w:val="center"/>
        <w:rPr>
          <w:rFonts w:hint="eastAsia" w:eastAsia="宋体"/>
          <w:b/>
          <w:bCs/>
          <w:color w:val="auto"/>
          <w:lang w:eastAsia="zh-CN"/>
        </w:rPr>
      </w:pPr>
      <w:r>
        <w:rPr>
          <w:rFonts w:hint="eastAsia" w:ascii="宋体" w:hAnsi="宋体" w:cs="宋体"/>
          <w:b/>
          <w:bCs/>
          <w:color w:val="auto"/>
          <w:sz w:val="24"/>
          <w:lang w:eastAsia="zh-CN"/>
        </w:rPr>
        <w:t>四、初次报价的已标价工程量清单</w:t>
      </w:r>
    </w:p>
    <w:p w14:paraId="0165B406">
      <w:pPr>
        <w:spacing w:line="360" w:lineRule="auto"/>
        <w:ind w:firstLine="480" w:firstLineChars="200"/>
        <w:rPr>
          <w:rFonts w:ascii="宋体" w:hAnsi="宋体"/>
          <w:color w:val="auto"/>
          <w:sz w:val="24"/>
        </w:rPr>
      </w:pPr>
    </w:p>
    <w:p w14:paraId="04F172E5">
      <w:pPr>
        <w:pStyle w:val="10"/>
        <w:rPr>
          <w:rFonts w:ascii="宋体" w:hAnsi="宋体"/>
          <w:color w:val="auto"/>
          <w:sz w:val="24"/>
        </w:rPr>
      </w:pPr>
    </w:p>
    <w:p w14:paraId="0E1A9A9C">
      <w:pPr>
        <w:rPr>
          <w:rFonts w:ascii="宋体" w:hAnsi="宋体"/>
          <w:color w:val="auto"/>
          <w:sz w:val="24"/>
        </w:rPr>
      </w:pPr>
    </w:p>
    <w:p w14:paraId="3B3E64D7">
      <w:pPr>
        <w:pStyle w:val="10"/>
        <w:rPr>
          <w:rFonts w:ascii="宋体" w:hAnsi="宋体"/>
          <w:color w:val="auto"/>
          <w:sz w:val="24"/>
        </w:rPr>
      </w:pPr>
    </w:p>
    <w:p w14:paraId="344015A8">
      <w:pPr>
        <w:rPr>
          <w:rFonts w:ascii="宋体" w:hAnsi="宋体"/>
          <w:color w:val="auto"/>
          <w:sz w:val="24"/>
        </w:rPr>
      </w:pPr>
    </w:p>
    <w:p w14:paraId="13449F4B">
      <w:pPr>
        <w:pStyle w:val="10"/>
        <w:rPr>
          <w:rFonts w:ascii="宋体" w:hAnsi="宋体"/>
          <w:color w:val="auto"/>
          <w:sz w:val="24"/>
        </w:rPr>
      </w:pPr>
    </w:p>
    <w:p w14:paraId="63ED131E">
      <w:pPr>
        <w:rPr>
          <w:rFonts w:ascii="宋体" w:hAnsi="宋体"/>
          <w:color w:val="auto"/>
          <w:sz w:val="24"/>
        </w:rPr>
      </w:pPr>
    </w:p>
    <w:p w14:paraId="68E248BA">
      <w:pPr>
        <w:pStyle w:val="10"/>
        <w:rPr>
          <w:rFonts w:ascii="宋体" w:hAnsi="宋体"/>
          <w:color w:val="auto"/>
          <w:sz w:val="24"/>
        </w:rPr>
      </w:pPr>
    </w:p>
    <w:p w14:paraId="4347638B">
      <w:pPr>
        <w:rPr>
          <w:rFonts w:ascii="宋体" w:hAnsi="宋体"/>
          <w:color w:val="auto"/>
          <w:sz w:val="24"/>
        </w:rPr>
      </w:pPr>
    </w:p>
    <w:p w14:paraId="31A7C0D0">
      <w:pPr>
        <w:pStyle w:val="10"/>
        <w:rPr>
          <w:rFonts w:ascii="宋体" w:hAnsi="宋体"/>
          <w:color w:val="auto"/>
          <w:sz w:val="24"/>
        </w:rPr>
      </w:pPr>
    </w:p>
    <w:p w14:paraId="5BCB753C">
      <w:pPr>
        <w:rPr>
          <w:rFonts w:ascii="宋体" w:hAnsi="宋体"/>
          <w:color w:val="auto"/>
          <w:sz w:val="24"/>
        </w:rPr>
      </w:pPr>
    </w:p>
    <w:p w14:paraId="51B5F9EC">
      <w:pPr>
        <w:pStyle w:val="10"/>
        <w:rPr>
          <w:rFonts w:ascii="宋体" w:hAnsi="宋体"/>
          <w:color w:val="auto"/>
          <w:sz w:val="24"/>
        </w:rPr>
      </w:pPr>
    </w:p>
    <w:p w14:paraId="111C23CB">
      <w:pPr>
        <w:rPr>
          <w:rFonts w:ascii="宋体" w:hAnsi="宋体"/>
          <w:color w:val="auto"/>
          <w:sz w:val="24"/>
        </w:rPr>
      </w:pPr>
    </w:p>
    <w:p w14:paraId="006B292E">
      <w:pPr>
        <w:pStyle w:val="10"/>
        <w:rPr>
          <w:rFonts w:ascii="宋体" w:hAnsi="宋体"/>
          <w:color w:val="auto"/>
          <w:sz w:val="24"/>
        </w:rPr>
      </w:pPr>
    </w:p>
    <w:p w14:paraId="29632747">
      <w:pPr>
        <w:rPr>
          <w:rFonts w:ascii="宋体" w:hAnsi="宋体"/>
          <w:color w:val="auto"/>
          <w:sz w:val="24"/>
        </w:rPr>
      </w:pPr>
    </w:p>
    <w:p w14:paraId="0C0ACB10">
      <w:pPr>
        <w:pStyle w:val="10"/>
        <w:rPr>
          <w:rFonts w:ascii="宋体" w:hAnsi="宋体"/>
          <w:color w:val="auto"/>
          <w:sz w:val="24"/>
        </w:rPr>
      </w:pPr>
    </w:p>
    <w:p w14:paraId="2FF2B2FB">
      <w:pPr>
        <w:rPr>
          <w:rFonts w:ascii="宋体" w:hAnsi="宋体"/>
          <w:color w:val="auto"/>
          <w:sz w:val="24"/>
        </w:rPr>
      </w:pPr>
    </w:p>
    <w:p w14:paraId="66E80ACC">
      <w:pPr>
        <w:pStyle w:val="10"/>
        <w:rPr>
          <w:rFonts w:ascii="宋体" w:hAnsi="宋体"/>
          <w:color w:val="auto"/>
          <w:sz w:val="24"/>
        </w:rPr>
      </w:pPr>
    </w:p>
    <w:p w14:paraId="2164BF17">
      <w:pPr>
        <w:rPr>
          <w:rFonts w:ascii="宋体" w:hAnsi="宋体"/>
          <w:color w:val="auto"/>
          <w:sz w:val="24"/>
        </w:rPr>
      </w:pPr>
    </w:p>
    <w:p w14:paraId="328D133F">
      <w:pPr>
        <w:pStyle w:val="10"/>
        <w:rPr>
          <w:rFonts w:ascii="宋体" w:hAnsi="宋体"/>
          <w:color w:val="auto"/>
          <w:sz w:val="24"/>
        </w:rPr>
      </w:pPr>
    </w:p>
    <w:p w14:paraId="4C82DCE1">
      <w:pPr>
        <w:pStyle w:val="10"/>
        <w:rPr>
          <w:color w:val="auto"/>
        </w:rPr>
      </w:pPr>
    </w:p>
    <w:p w14:paraId="3C6B8E09">
      <w:pPr>
        <w:spacing w:line="360" w:lineRule="auto"/>
        <w:jc w:val="center"/>
        <w:rPr>
          <w:rFonts w:hint="eastAsia" w:ascii="宋体" w:hAnsi="宋体" w:eastAsia="宋体"/>
          <w:b/>
          <w:color w:val="auto"/>
          <w:sz w:val="24"/>
          <w:szCs w:val="24"/>
          <w:lang w:eastAsia="zh-CN"/>
        </w:rPr>
      </w:pPr>
      <w:r>
        <w:rPr>
          <w:rFonts w:hint="eastAsia" w:ascii="宋体" w:hAnsi="宋体"/>
          <w:b/>
          <w:bCs/>
          <w:color w:val="auto"/>
          <w:lang w:eastAsia="zh-CN"/>
        </w:rPr>
        <w:t>五</w:t>
      </w:r>
      <w:r>
        <w:rPr>
          <w:rFonts w:hint="eastAsia" w:ascii="宋体" w:hAnsi="宋体"/>
          <w:b/>
          <w:bCs/>
          <w:color w:val="auto"/>
        </w:rPr>
        <w:t>、</w:t>
      </w:r>
      <w:r>
        <w:rPr>
          <w:rFonts w:hint="eastAsia" w:ascii="宋体" w:hAnsi="宋体"/>
          <w:b/>
          <w:color w:val="auto"/>
          <w:sz w:val="24"/>
          <w:szCs w:val="24"/>
          <w:lang w:eastAsia="zh-CN"/>
        </w:rPr>
        <w:t>技术部分（施工组织设计）</w:t>
      </w:r>
    </w:p>
    <w:p w14:paraId="01743F40">
      <w:pPr>
        <w:spacing w:line="360" w:lineRule="auto"/>
        <w:rPr>
          <w:rFonts w:ascii="宋体" w:hAnsi="宋体"/>
          <w:color w:val="auto"/>
          <w:sz w:val="24"/>
        </w:rPr>
      </w:pPr>
      <w:r>
        <w:rPr>
          <w:rFonts w:hint="eastAsia" w:ascii="宋体" w:hAnsi="宋体"/>
          <w:color w:val="auto"/>
          <w:sz w:val="24"/>
        </w:rPr>
        <w:t>一、施工组织方案：</w:t>
      </w:r>
    </w:p>
    <w:tbl>
      <w:tblPr>
        <w:tblStyle w:val="39"/>
        <w:tblW w:w="9505" w:type="dxa"/>
        <w:jc w:val="center"/>
        <w:tblLayout w:type="fixed"/>
        <w:tblCellMar>
          <w:top w:w="0" w:type="dxa"/>
          <w:left w:w="108" w:type="dxa"/>
          <w:bottom w:w="0" w:type="dxa"/>
          <w:right w:w="108" w:type="dxa"/>
        </w:tblCellMar>
      </w:tblPr>
      <w:tblGrid>
        <w:gridCol w:w="9505"/>
      </w:tblGrid>
      <w:tr w14:paraId="257BA21B">
        <w:tblPrEx>
          <w:tblCellMar>
            <w:top w:w="0" w:type="dxa"/>
            <w:left w:w="108" w:type="dxa"/>
            <w:bottom w:w="0" w:type="dxa"/>
            <w:right w:w="108" w:type="dxa"/>
          </w:tblCellMar>
        </w:tblPrEx>
        <w:trPr>
          <w:trHeight w:val="600" w:hRule="atLeast"/>
          <w:jc w:val="center"/>
        </w:trPr>
        <w:tc>
          <w:tcPr>
            <w:tcW w:w="9505" w:type="dxa"/>
          </w:tcPr>
          <w:p w14:paraId="38C00B76">
            <w:pPr>
              <w:rPr>
                <w:rFonts w:ascii="宋体" w:hAnsi="宋体"/>
                <w:color w:val="auto"/>
                <w:sz w:val="24"/>
              </w:rPr>
            </w:pPr>
            <w:r>
              <w:rPr>
                <w:rFonts w:hint="eastAsia" w:ascii="宋体" w:hAnsi="宋体"/>
                <w:color w:val="auto"/>
                <w:sz w:val="24"/>
              </w:rPr>
              <w:t>1.针对项目特点内容规范完整性和整体编制水平</w:t>
            </w:r>
          </w:p>
        </w:tc>
      </w:tr>
      <w:tr w14:paraId="66A25FD1">
        <w:tblPrEx>
          <w:tblCellMar>
            <w:top w:w="0" w:type="dxa"/>
            <w:left w:w="108" w:type="dxa"/>
            <w:bottom w:w="0" w:type="dxa"/>
            <w:right w:w="108" w:type="dxa"/>
          </w:tblCellMar>
        </w:tblPrEx>
        <w:trPr>
          <w:trHeight w:val="600" w:hRule="atLeast"/>
          <w:jc w:val="center"/>
        </w:trPr>
        <w:tc>
          <w:tcPr>
            <w:tcW w:w="9505" w:type="dxa"/>
          </w:tcPr>
          <w:p w14:paraId="24DC126E">
            <w:pPr>
              <w:rPr>
                <w:rFonts w:ascii="宋体" w:hAnsi="宋体"/>
                <w:color w:val="auto"/>
                <w:sz w:val="24"/>
              </w:rPr>
            </w:pPr>
            <w:r>
              <w:rPr>
                <w:rFonts w:hint="eastAsia" w:ascii="宋体" w:hAnsi="宋体"/>
                <w:color w:val="auto"/>
                <w:sz w:val="24"/>
              </w:rPr>
              <w:t>2.施工方案与技术措施</w:t>
            </w:r>
          </w:p>
        </w:tc>
      </w:tr>
      <w:tr w14:paraId="05B5B2CB">
        <w:tblPrEx>
          <w:tblCellMar>
            <w:top w:w="0" w:type="dxa"/>
            <w:left w:w="108" w:type="dxa"/>
            <w:bottom w:w="0" w:type="dxa"/>
            <w:right w:w="108" w:type="dxa"/>
          </w:tblCellMar>
        </w:tblPrEx>
        <w:trPr>
          <w:trHeight w:val="600" w:hRule="atLeast"/>
          <w:jc w:val="center"/>
        </w:trPr>
        <w:tc>
          <w:tcPr>
            <w:tcW w:w="9505" w:type="dxa"/>
          </w:tcPr>
          <w:p w14:paraId="7132A1BC">
            <w:pPr>
              <w:rPr>
                <w:rFonts w:ascii="宋体" w:hAnsi="宋体"/>
                <w:color w:val="auto"/>
                <w:sz w:val="24"/>
              </w:rPr>
            </w:pPr>
            <w:r>
              <w:rPr>
                <w:rFonts w:hint="eastAsia" w:ascii="宋体" w:hAnsi="宋体"/>
                <w:color w:val="auto"/>
                <w:sz w:val="24"/>
              </w:rPr>
              <w:t>3.质量管理体系与措施</w:t>
            </w:r>
          </w:p>
        </w:tc>
      </w:tr>
      <w:tr w14:paraId="26D2783F">
        <w:tblPrEx>
          <w:tblCellMar>
            <w:top w:w="0" w:type="dxa"/>
            <w:left w:w="108" w:type="dxa"/>
            <w:bottom w:w="0" w:type="dxa"/>
            <w:right w:w="108" w:type="dxa"/>
          </w:tblCellMar>
        </w:tblPrEx>
        <w:trPr>
          <w:trHeight w:val="600" w:hRule="atLeast"/>
          <w:jc w:val="center"/>
        </w:trPr>
        <w:tc>
          <w:tcPr>
            <w:tcW w:w="9505" w:type="dxa"/>
          </w:tcPr>
          <w:p w14:paraId="0BF9132F">
            <w:pPr>
              <w:rPr>
                <w:rFonts w:ascii="宋体" w:hAnsi="宋体"/>
                <w:color w:val="auto"/>
                <w:sz w:val="24"/>
              </w:rPr>
            </w:pPr>
            <w:r>
              <w:rPr>
                <w:rFonts w:hint="eastAsia" w:ascii="宋体" w:hAnsi="宋体"/>
                <w:color w:val="auto"/>
                <w:sz w:val="24"/>
              </w:rPr>
              <w:t>4.安全管理体系与措施</w:t>
            </w:r>
          </w:p>
        </w:tc>
      </w:tr>
      <w:tr w14:paraId="5A111B99">
        <w:tblPrEx>
          <w:tblCellMar>
            <w:top w:w="0" w:type="dxa"/>
            <w:left w:w="108" w:type="dxa"/>
            <w:bottom w:w="0" w:type="dxa"/>
            <w:right w:w="108" w:type="dxa"/>
          </w:tblCellMar>
        </w:tblPrEx>
        <w:trPr>
          <w:trHeight w:val="600" w:hRule="atLeast"/>
          <w:jc w:val="center"/>
        </w:trPr>
        <w:tc>
          <w:tcPr>
            <w:tcW w:w="9505" w:type="dxa"/>
          </w:tcPr>
          <w:p w14:paraId="1837A7EC">
            <w:pPr>
              <w:rPr>
                <w:rFonts w:ascii="宋体" w:hAnsi="宋体"/>
                <w:color w:val="auto"/>
                <w:sz w:val="24"/>
              </w:rPr>
            </w:pPr>
            <w:r>
              <w:rPr>
                <w:rFonts w:hint="eastAsia" w:ascii="宋体" w:hAnsi="宋体"/>
                <w:color w:val="auto"/>
                <w:sz w:val="24"/>
              </w:rPr>
              <w:t>5.工程进度计划与措施</w:t>
            </w:r>
          </w:p>
        </w:tc>
      </w:tr>
      <w:tr w14:paraId="327D3744">
        <w:tblPrEx>
          <w:tblCellMar>
            <w:top w:w="0" w:type="dxa"/>
            <w:left w:w="108" w:type="dxa"/>
            <w:bottom w:w="0" w:type="dxa"/>
            <w:right w:w="108" w:type="dxa"/>
          </w:tblCellMar>
        </w:tblPrEx>
        <w:trPr>
          <w:trHeight w:val="600" w:hRule="atLeast"/>
          <w:jc w:val="center"/>
        </w:trPr>
        <w:tc>
          <w:tcPr>
            <w:tcW w:w="9505" w:type="dxa"/>
          </w:tcPr>
          <w:p w14:paraId="013AFC22">
            <w:pPr>
              <w:rPr>
                <w:rFonts w:ascii="宋体" w:hAnsi="宋体"/>
                <w:color w:val="auto"/>
                <w:sz w:val="24"/>
              </w:rPr>
            </w:pPr>
            <w:r>
              <w:rPr>
                <w:rFonts w:hint="eastAsia" w:ascii="宋体" w:hAnsi="宋体"/>
                <w:color w:val="auto"/>
                <w:sz w:val="24"/>
              </w:rPr>
              <w:t>6.环保管理体系与措施</w:t>
            </w:r>
          </w:p>
        </w:tc>
      </w:tr>
      <w:tr w14:paraId="0EF6A1D4">
        <w:tblPrEx>
          <w:tblCellMar>
            <w:top w:w="0" w:type="dxa"/>
            <w:left w:w="108" w:type="dxa"/>
            <w:bottom w:w="0" w:type="dxa"/>
            <w:right w:w="108" w:type="dxa"/>
          </w:tblCellMar>
        </w:tblPrEx>
        <w:trPr>
          <w:trHeight w:val="600" w:hRule="atLeast"/>
          <w:jc w:val="center"/>
        </w:trPr>
        <w:tc>
          <w:tcPr>
            <w:tcW w:w="9505" w:type="dxa"/>
          </w:tcPr>
          <w:p w14:paraId="6324C4E0">
            <w:pPr>
              <w:rPr>
                <w:rFonts w:ascii="宋体" w:hAnsi="宋体"/>
                <w:color w:val="auto"/>
                <w:sz w:val="24"/>
              </w:rPr>
            </w:pPr>
            <w:r>
              <w:rPr>
                <w:rFonts w:hint="eastAsia" w:ascii="宋体" w:hAnsi="宋体"/>
                <w:color w:val="auto"/>
                <w:sz w:val="24"/>
              </w:rPr>
              <w:t>7.文明管理体系与措施</w:t>
            </w:r>
          </w:p>
        </w:tc>
      </w:tr>
      <w:tr w14:paraId="1A10514A">
        <w:tblPrEx>
          <w:tblCellMar>
            <w:top w:w="0" w:type="dxa"/>
            <w:left w:w="108" w:type="dxa"/>
            <w:bottom w:w="0" w:type="dxa"/>
            <w:right w:w="108" w:type="dxa"/>
          </w:tblCellMar>
        </w:tblPrEx>
        <w:trPr>
          <w:trHeight w:val="600" w:hRule="atLeast"/>
          <w:jc w:val="center"/>
        </w:trPr>
        <w:tc>
          <w:tcPr>
            <w:tcW w:w="9505" w:type="dxa"/>
          </w:tcPr>
          <w:p w14:paraId="742DA17B">
            <w:pPr>
              <w:rPr>
                <w:rFonts w:ascii="宋体" w:hAnsi="宋体"/>
                <w:color w:val="auto"/>
                <w:sz w:val="24"/>
              </w:rPr>
            </w:pPr>
            <w:r>
              <w:rPr>
                <w:rFonts w:hint="eastAsia" w:ascii="宋体" w:hAnsi="宋体"/>
                <w:color w:val="auto"/>
                <w:sz w:val="24"/>
              </w:rPr>
              <w:t>8.施工管理及措施</w:t>
            </w:r>
          </w:p>
        </w:tc>
      </w:tr>
      <w:tr w14:paraId="51741EB5">
        <w:tblPrEx>
          <w:tblCellMar>
            <w:top w:w="0" w:type="dxa"/>
            <w:left w:w="108" w:type="dxa"/>
            <w:bottom w:w="0" w:type="dxa"/>
            <w:right w:w="108" w:type="dxa"/>
          </w:tblCellMar>
        </w:tblPrEx>
        <w:trPr>
          <w:trHeight w:val="600" w:hRule="atLeast"/>
          <w:jc w:val="center"/>
        </w:trPr>
        <w:tc>
          <w:tcPr>
            <w:tcW w:w="9505" w:type="dxa"/>
          </w:tcPr>
          <w:p w14:paraId="582D3835">
            <w:pPr>
              <w:rPr>
                <w:rFonts w:ascii="宋体" w:hAnsi="宋体"/>
                <w:color w:val="auto"/>
                <w:sz w:val="24"/>
              </w:rPr>
            </w:pPr>
            <w:r>
              <w:rPr>
                <w:rFonts w:hint="eastAsia" w:ascii="宋体" w:hAnsi="宋体"/>
                <w:color w:val="auto"/>
                <w:sz w:val="24"/>
              </w:rPr>
              <w:t>9.资源配备计划及措施</w:t>
            </w:r>
          </w:p>
        </w:tc>
      </w:tr>
      <w:tr w14:paraId="20872933">
        <w:tblPrEx>
          <w:tblCellMar>
            <w:top w:w="0" w:type="dxa"/>
            <w:left w:w="108" w:type="dxa"/>
            <w:bottom w:w="0" w:type="dxa"/>
            <w:right w:w="108" w:type="dxa"/>
          </w:tblCellMar>
        </w:tblPrEx>
        <w:trPr>
          <w:trHeight w:val="600" w:hRule="atLeast"/>
          <w:jc w:val="center"/>
        </w:trPr>
        <w:tc>
          <w:tcPr>
            <w:tcW w:w="9505" w:type="dxa"/>
          </w:tcPr>
          <w:p w14:paraId="1DB3481E">
            <w:pPr>
              <w:rPr>
                <w:rFonts w:ascii="宋体" w:hAnsi="宋体"/>
                <w:color w:val="auto"/>
                <w:sz w:val="24"/>
              </w:rPr>
            </w:pPr>
            <w:r>
              <w:rPr>
                <w:rFonts w:hint="eastAsia" w:ascii="宋体" w:hAnsi="宋体"/>
                <w:color w:val="auto"/>
                <w:sz w:val="24"/>
              </w:rPr>
              <w:t>10.施工关键部位、材料采购要点的控制及措施</w:t>
            </w:r>
          </w:p>
        </w:tc>
      </w:tr>
    </w:tbl>
    <w:p w14:paraId="6EDA0BF5">
      <w:pPr>
        <w:spacing w:before="143" w:beforeLines="50" w:after="286" w:afterLines="100" w:line="360" w:lineRule="auto"/>
        <w:rPr>
          <w:rFonts w:ascii="宋体" w:hAnsi="宋体"/>
          <w:b/>
          <w:color w:val="auto"/>
          <w:sz w:val="24"/>
        </w:rPr>
      </w:pPr>
    </w:p>
    <w:p w14:paraId="5CA97D61">
      <w:pPr>
        <w:spacing w:before="143" w:beforeLines="50" w:after="286" w:afterLines="100" w:line="360" w:lineRule="auto"/>
        <w:rPr>
          <w:rFonts w:ascii="宋体" w:hAnsi="宋体"/>
          <w:b/>
          <w:color w:val="auto"/>
          <w:sz w:val="24"/>
        </w:rPr>
      </w:pPr>
    </w:p>
    <w:p w14:paraId="16091E08">
      <w:pPr>
        <w:spacing w:before="143" w:beforeLines="50" w:after="286" w:afterLines="100" w:line="360" w:lineRule="auto"/>
        <w:rPr>
          <w:rFonts w:ascii="宋体" w:hAnsi="宋体"/>
          <w:b/>
          <w:color w:val="auto"/>
          <w:sz w:val="24"/>
        </w:rPr>
      </w:pPr>
    </w:p>
    <w:p w14:paraId="53A0270E">
      <w:pPr>
        <w:spacing w:before="143" w:beforeLines="50" w:after="286" w:afterLines="100" w:line="360" w:lineRule="auto"/>
        <w:rPr>
          <w:rFonts w:ascii="宋体" w:hAnsi="宋体"/>
          <w:b/>
          <w:color w:val="auto"/>
          <w:sz w:val="24"/>
        </w:rPr>
      </w:pPr>
    </w:p>
    <w:p w14:paraId="78424C51">
      <w:pPr>
        <w:spacing w:before="143" w:beforeLines="50" w:after="286" w:afterLines="100" w:line="360" w:lineRule="auto"/>
        <w:rPr>
          <w:rFonts w:ascii="宋体" w:hAnsi="宋体"/>
          <w:b/>
          <w:color w:val="auto"/>
          <w:sz w:val="24"/>
        </w:rPr>
      </w:pPr>
    </w:p>
    <w:p w14:paraId="3798EC2F">
      <w:pPr>
        <w:spacing w:before="143" w:beforeLines="50" w:after="286" w:afterLines="100" w:line="360" w:lineRule="auto"/>
        <w:rPr>
          <w:rFonts w:ascii="宋体" w:hAnsi="宋体"/>
          <w:b/>
          <w:color w:val="auto"/>
          <w:sz w:val="24"/>
        </w:rPr>
      </w:pPr>
    </w:p>
    <w:p w14:paraId="61947D4D">
      <w:pPr>
        <w:spacing w:before="143" w:beforeLines="50" w:after="286" w:afterLines="100" w:line="360" w:lineRule="auto"/>
        <w:rPr>
          <w:rFonts w:ascii="宋体" w:hAnsi="宋体"/>
          <w:b/>
          <w:color w:val="auto"/>
          <w:sz w:val="24"/>
        </w:rPr>
      </w:pPr>
    </w:p>
    <w:p w14:paraId="6FA899EB">
      <w:pPr>
        <w:spacing w:before="143" w:beforeLines="50" w:after="286" w:afterLines="100" w:line="360" w:lineRule="auto"/>
        <w:rPr>
          <w:rFonts w:ascii="宋体" w:hAnsi="宋体"/>
          <w:b/>
          <w:color w:val="auto"/>
          <w:sz w:val="24"/>
        </w:rPr>
      </w:pPr>
    </w:p>
    <w:p w14:paraId="7D1FCE48">
      <w:pPr>
        <w:pStyle w:val="86"/>
        <w:tabs>
          <w:tab w:val="left" w:pos="9638"/>
        </w:tabs>
        <w:spacing w:line="360" w:lineRule="auto"/>
        <w:ind w:right="-82" w:firstLine="472" w:firstLineChars="196"/>
        <w:jc w:val="center"/>
        <w:rPr>
          <w:rFonts w:ascii="宋体" w:hAnsi="宋体"/>
          <w:b/>
          <w:color w:val="auto"/>
          <w:sz w:val="24"/>
          <w:szCs w:val="24"/>
        </w:rPr>
      </w:pPr>
      <w:bookmarkStart w:id="47" w:name="_Toc300901200"/>
      <w:bookmarkStart w:id="48" w:name="_Toc374107074"/>
      <w:bookmarkStart w:id="49" w:name="_Toc323642005"/>
      <w:r>
        <w:rPr>
          <w:rFonts w:hint="eastAsia" w:ascii="宋体" w:hAnsi="宋体"/>
          <w:b/>
          <w:color w:val="auto"/>
          <w:sz w:val="24"/>
          <w:szCs w:val="24"/>
        </w:rPr>
        <w:t>六、项目经理无在施建设工程项目承诺书</w:t>
      </w:r>
    </w:p>
    <w:p w14:paraId="2BCD365E">
      <w:pPr>
        <w:spacing w:before="286" w:beforeLines="100" w:after="286" w:afterLines="100" w:line="360" w:lineRule="auto"/>
        <w:jc w:val="center"/>
        <w:rPr>
          <w:rFonts w:ascii="宋体" w:hAnsi="宋体"/>
          <w:color w:val="auto"/>
          <w:sz w:val="24"/>
        </w:rPr>
      </w:pPr>
      <w:r>
        <w:rPr>
          <w:rFonts w:hint="eastAsia" w:ascii="宋体" w:hAnsi="宋体"/>
          <w:color w:val="auto"/>
          <w:sz w:val="24"/>
        </w:rPr>
        <w:t>承诺书</w:t>
      </w:r>
    </w:p>
    <w:p w14:paraId="20351D83">
      <w:pPr>
        <w:spacing w:after="286" w:afterLines="100" w:line="360" w:lineRule="auto"/>
        <w:ind w:firstLine="480" w:firstLineChars="200"/>
        <w:rPr>
          <w:rFonts w:ascii="宋体" w:hAnsi="宋体"/>
          <w:color w:val="auto"/>
          <w:sz w:val="24"/>
        </w:rPr>
      </w:pPr>
      <w:r>
        <w:rPr>
          <w:rFonts w:hint="eastAsia" w:ascii="宋体" w:hAnsi="宋体"/>
          <w:color w:val="auto"/>
          <w:sz w:val="24"/>
          <w:u w:val="single"/>
        </w:rPr>
        <w:t xml:space="preserve">（采购人名称）    </w:t>
      </w:r>
      <w:r>
        <w:rPr>
          <w:rFonts w:hint="eastAsia" w:ascii="宋体" w:hAnsi="宋体"/>
          <w:color w:val="auto"/>
          <w:sz w:val="24"/>
        </w:rPr>
        <w:t>：</w:t>
      </w:r>
    </w:p>
    <w:p w14:paraId="7654C234">
      <w:pPr>
        <w:spacing w:line="360" w:lineRule="auto"/>
        <w:ind w:firstLine="480" w:firstLineChars="200"/>
        <w:rPr>
          <w:rFonts w:ascii="宋体" w:hAnsi="宋体"/>
          <w:color w:val="auto"/>
          <w:sz w:val="24"/>
        </w:rPr>
      </w:pPr>
      <w:r>
        <w:rPr>
          <w:rFonts w:hint="eastAsia" w:ascii="宋体" w:hAnsi="宋体"/>
          <w:color w:val="auto"/>
          <w:sz w:val="24"/>
        </w:rPr>
        <w:t>我方在此声明，我方拟派往</w:t>
      </w:r>
      <w:r>
        <w:rPr>
          <w:rFonts w:hint="eastAsia" w:ascii="宋体" w:hAnsi="宋体"/>
          <w:color w:val="auto"/>
          <w:sz w:val="24"/>
          <w:u w:val="single"/>
        </w:rPr>
        <w:t xml:space="preserve">   （项目名称）</w:t>
      </w:r>
      <w:r>
        <w:rPr>
          <w:rFonts w:hint="eastAsia" w:ascii="宋体" w:hAnsi="宋体"/>
          <w:color w:val="auto"/>
          <w:sz w:val="24"/>
        </w:rPr>
        <w:t>（以下简称“本工程”）的项目经理</w:t>
      </w:r>
      <w:r>
        <w:rPr>
          <w:rFonts w:hint="eastAsia" w:ascii="宋体" w:hAnsi="宋体"/>
          <w:color w:val="auto"/>
          <w:sz w:val="24"/>
          <w:u w:val="single"/>
        </w:rPr>
        <w:t xml:space="preserve">     </w:t>
      </w:r>
      <w:r>
        <w:rPr>
          <w:rFonts w:hint="eastAsia" w:ascii="宋体" w:hAnsi="宋体"/>
          <w:color w:val="auto"/>
          <w:sz w:val="24"/>
        </w:rPr>
        <w:t>（项目经理姓名）现阶段没有担任任何在施建设工程项目的项目经理。</w:t>
      </w:r>
    </w:p>
    <w:p w14:paraId="5ABA1A85">
      <w:pPr>
        <w:spacing w:line="360" w:lineRule="auto"/>
        <w:ind w:firstLine="480" w:firstLineChars="200"/>
        <w:rPr>
          <w:rFonts w:ascii="宋体" w:hAnsi="宋体"/>
          <w:color w:val="auto"/>
          <w:sz w:val="24"/>
        </w:rPr>
      </w:pPr>
      <w:r>
        <w:rPr>
          <w:rFonts w:hint="eastAsia" w:ascii="宋体" w:hAnsi="宋体"/>
          <w:color w:val="auto"/>
          <w:sz w:val="24"/>
        </w:rPr>
        <w:t>我方保证上述信息的真实和准确，并愿意承担因我方就此弄虚作假所引起的一切法律后果。</w:t>
      </w:r>
    </w:p>
    <w:p w14:paraId="351D0493">
      <w:pPr>
        <w:spacing w:line="360" w:lineRule="auto"/>
        <w:ind w:firstLine="480" w:firstLineChars="200"/>
        <w:rPr>
          <w:rFonts w:ascii="宋体" w:hAnsi="宋体"/>
          <w:color w:val="auto"/>
          <w:sz w:val="24"/>
        </w:rPr>
      </w:pPr>
    </w:p>
    <w:p w14:paraId="00396332">
      <w:pPr>
        <w:spacing w:line="360" w:lineRule="auto"/>
        <w:ind w:firstLine="480" w:firstLineChars="200"/>
        <w:rPr>
          <w:rFonts w:ascii="宋体" w:hAnsi="宋体"/>
          <w:color w:val="auto"/>
          <w:sz w:val="24"/>
        </w:rPr>
      </w:pPr>
    </w:p>
    <w:p w14:paraId="471B339A">
      <w:pPr>
        <w:spacing w:line="360" w:lineRule="auto"/>
        <w:ind w:firstLine="480" w:firstLineChars="200"/>
        <w:rPr>
          <w:rFonts w:ascii="宋体" w:hAnsi="宋体"/>
          <w:color w:val="auto"/>
          <w:sz w:val="24"/>
        </w:rPr>
      </w:pPr>
      <w:r>
        <w:rPr>
          <w:rFonts w:hint="eastAsia" w:ascii="宋体" w:hAnsi="宋体"/>
          <w:color w:val="auto"/>
          <w:sz w:val="24"/>
        </w:rPr>
        <w:t>特此承诺。</w:t>
      </w:r>
    </w:p>
    <w:p w14:paraId="783BAC0C">
      <w:pPr>
        <w:spacing w:line="360" w:lineRule="auto"/>
        <w:ind w:firstLine="480" w:firstLineChars="200"/>
        <w:jc w:val="center"/>
        <w:rPr>
          <w:rFonts w:ascii="宋体" w:hAnsi="宋体"/>
          <w:color w:val="auto"/>
          <w:sz w:val="24"/>
        </w:rPr>
      </w:pPr>
      <w:r>
        <w:rPr>
          <w:rFonts w:hint="eastAsia" w:ascii="宋体" w:hAnsi="宋体"/>
          <w:color w:val="auto"/>
          <w:sz w:val="24"/>
          <w:lang w:val="en-US" w:eastAsia="zh-CN"/>
        </w:rPr>
        <w:t xml:space="preserve">                                    </w:t>
      </w:r>
      <w:r>
        <w:rPr>
          <w:rFonts w:hint="eastAsia" w:ascii="宋体" w:hAnsi="宋体"/>
          <w:color w:val="auto"/>
          <w:sz w:val="24"/>
        </w:rPr>
        <w:t>单位名称：</w:t>
      </w:r>
    </w:p>
    <w:p w14:paraId="0EDC47DA">
      <w:pPr>
        <w:spacing w:line="360" w:lineRule="auto"/>
        <w:ind w:firstLine="480" w:firstLineChars="200"/>
        <w:jc w:val="right"/>
        <w:rPr>
          <w:rFonts w:ascii="宋体" w:hAnsi="宋体"/>
          <w:color w:val="auto"/>
          <w:sz w:val="24"/>
        </w:rPr>
      </w:pPr>
      <w:r>
        <w:rPr>
          <w:rFonts w:hint="eastAsia" w:ascii="宋体" w:hAnsi="宋体"/>
          <w:color w:val="auto"/>
          <w:sz w:val="24"/>
        </w:rPr>
        <w:t xml:space="preserve">年 </w:t>
      </w:r>
      <w:r>
        <w:rPr>
          <w:rFonts w:hint="eastAsia" w:ascii="宋体" w:hAnsi="宋体"/>
          <w:color w:val="auto"/>
          <w:sz w:val="24"/>
          <w:lang w:val="en-US" w:eastAsia="zh-CN"/>
        </w:rPr>
        <w:t xml:space="preserve">  </w:t>
      </w:r>
      <w:r>
        <w:rPr>
          <w:rFonts w:hint="eastAsia" w:ascii="宋体" w:hAnsi="宋体"/>
          <w:color w:val="auto"/>
          <w:sz w:val="24"/>
        </w:rPr>
        <w:t>月</w:t>
      </w:r>
      <w:r>
        <w:rPr>
          <w:rFonts w:hint="eastAsia" w:ascii="宋体" w:hAnsi="宋体"/>
          <w:color w:val="auto"/>
          <w:sz w:val="24"/>
          <w:lang w:val="en-US" w:eastAsia="zh-CN"/>
        </w:rPr>
        <w:t xml:space="preserve"> </w:t>
      </w:r>
      <w:r>
        <w:rPr>
          <w:rFonts w:hint="eastAsia" w:ascii="宋体" w:hAnsi="宋体"/>
          <w:color w:val="auto"/>
          <w:sz w:val="24"/>
        </w:rPr>
        <w:t xml:space="preserve"> 日</w:t>
      </w:r>
    </w:p>
    <w:p w14:paraId="4CE7827A">
      <w:pPr>
        <w:pStyle w:val="3"/>
        <w:numPr>
          <w:ilvl w:val="0"/>
          <w:numId w:val="0"/>
        </w:numPr>
        <w:spacing w:line="360" w:lineRule="auto"/>
        <w:jc w:val="both"/>
        <w:outlineLvl w:val="9"/>
        <w:rPr>
          <w:rFonts w:hint="eastAsia" w:ascii="宋体" w:hAnsi="宋体"/>
          <w:b/>
          <w:color w:val="auto"/>
          <w:sz w:val="24"/>
          <w:szCs w:val="24"/>
          <w:lang w:eastAsia="zh-CN"/>
        </w:rPr>
      </w:pPr>
    </w:p>
    <w:p w14:paraId="3C14C1DF">
      <w:pPr>
        <w:rPr>
          <w:rFonts w:hint="eastAsia" w:ascii="宋体" w:hAnsi="宋体"/>
          <w:b/>
          <w:color w:val="auto"/>
          <w:sz w:val="24"/>
          <w:szCs w:val="24"/>
          <w:lang w:eastAsia="zh-CN"/>
        </w:rPr>
      </w:pPr>
    </w:p>
    <w:p w14:paraId="3C282D51">
      <w:pPr>
        <w:pStyle w:val="10"/>
        <w:rPr>
          <w:rFonts w:hint="eastAsia" w:ascii="宋体" w:hAnsi="宋体"/>
          <w:b/>
          <w:color w:val="auto"/>
          <w:sz w:val="24"/>
          <w:szCs w:val="24"/>
          <w:lang w:eastAsia="zh-CN"/>
        </w:rPr>
      </w:pPr>
    </w:p>
    <w:p w14:paraId="13BD2E56">
      <w:pPr>
        <w:rPr>
          <w:rFonts w:hint="eastAsia" w:ascii="宋体" w:hAnsi="宋体"/>
          <w:b/>
          <w:color w:val="auto"/>
          <w:sz w:val="24"/>
          <w:szCs w:val="24"/>
          <w:lang w:eastAsia="zh-CN"/>
        </w:rPr>
      </w:pPr>
    </w:p>
    <w:p w14:paraId="220CBEB1">
      <w:pPr>
        <w:pStyle w:val="10"/>
        <w:rPr>
          <w:rFonts w:hint="eastAsia" w:ascii="宋体" w:hAnsi="宋体"/>
          <w:b/>
          <w:color w:val="auto"/>
          <w:sz w:val="24"/>
          <w:szCs w:val="24"/>
          <w:lang w:eastAsia="zh-CN"/>
        </w:rPr>
      </w:pPr>
    </w:p>
    <w:p w14:paraId="2C55060C">
      <w:pPr>
        <w:rPr>
          <w:rFonts w:hint="eastAsia" w:ascii="宋体" w:hAnsi="宋体"/>
          <w:b/>
          <w:color w:val="auto"/>
          <w:sz w:val="24"/>
          <w:szCs w:val="24"/>
          <w:lang w:eastAsia="zh-CN"/>
        </w:rPr>
      </w:pPr>
    </w:p>
    <w:p w14:paraId="07396B84">
      <w:pPr>
        <w:pStyle w:val="10"/>
        <w:rPr>
          <w:rFonts w:hint="eastAsia" w:ascii="宋体" w:hAnsi="宋体"/>
          <w:b/>
          <w:color w:val="auto"/>
          <w:sz w:val="24"/>
          <w:szCs w:val="24"/>
          <w:lang w:eastAsia="zh-CN"/>
        </w:rPr>
      </w:pPr>
    </w:p>
    <w:p w14:paraId="66F44638">
      <w:pPr>
        <w:rPr>
          <w:rFonts w:hint="eastAsia" w:ascii="宋体" w:hAnsi="宋体"/>
          <w:b/>
          <w:color w:val="auto"/>
          <w:sz w:val="24"/>
          <w:szCs w:val="24"/>
          <w:lang w:eastAsia="zh-CN"/>
        </w:rPr>
      </w:pPr>
    </w:p>
    <w:p w14:paraId="71E31A08">
      <w:pPr>
        <w:pStyle w:val="10"/>
        <w:rPr>
          <w:rFonts w:hint="eastAsia"/>
          <w:color w:val="auto"/>
          <w:lang w:eastAsia="zh-CN"/>
        </w:rPr>
      </w:pPr>
    </w:p>
    <w:p w14:paraId="4A5B2339">
      <w:pPr>
        <w:numPr>
          <w:ilvl w:val="0"/>
          <w:numId w:val="0"/>
        </w:numPr>
        <w:rPr>
          <w:rFonts w:hint="eastAsia"/>
          <w:color w:val="auto"/>
          <w:lang w:eastAsia="zh-CN"/>
        </w:rPr>
      </w:pPr>
    </w:p>
    <w:p w14:paraId="4C5F93C4">
      <w:pPr>
        <w:pStyle w:val="3"/>
        <w:spacing w:line="360" w:lineRule="auto"/>
        <w:jc w:val="center"/>
        <w:rPr>
          <w:rFonts w:ascii="宋体" w:hAnsi="宋体" w:eastAsia="宋体"/>
          <w:color w:val="auto"/>
          <w:sz w:val="24"/>
          <w:szCs w:val="24"/>
        </w:rPr>
      </w:pPr>
      <w:r>
        <w:rPr>
          <w:rFonts w:hint="eastAsia" w:ascii="宋体" w:hAnsi="宋体"/>
          <w:b/>
          <w:color w:val="auto"/>
          <w:sz w:val="24"/>
          <w:szCs w:val="24"/>
          <w:lang w:eastAsia="zh-CN"/>
        </w:rPr>
        <w:t>七、</w:t>
      </w:r>
      <w:r>
        <w:rPr>
          <w:rFonts w:hint="eastAsia" w:ascii="宋体" w:hAnsi="宋体" w:eastAsia="宋体"/>
          <w:color w:val="auto"/>
          <w:sz w:val="24"/>
          <w:szCs w:val="24"/>
        </w:rPr>
        <w:t>资格审查资料</w:t>
      </w:r>
      <w:bookmarkEnd w:id="47"/>
      <w:bookmarkEnd w:id="48"/>
      <w:bookmarkEnd w:id="49"/>
    </w:p>
    <w:p w14:paraId="345953C9">
      <w:pPr>
        <w:spacing w:line="360" w:lineRule="auto"/>
        <w:rPr>
          <w:rFonts w:hint="eastAsia" w:ascii="宋体" w:hAnsi="宋体"/>
          <w:color w:val="auto"/>
          <w:sz w:val="24"/>
        </w:rPr>
      </w:pPr>
      <w:r>
        <w:rPr>
          <w:rFonts w:hint="eastAsia" w:ascii="宋体" w:hAnsi="宋体"/>
          <w:color w:val="auto"/>
          <w:sz w:val="24"/>
          <w:lang w:eastAsia="zh-CN"/>
        </w:rPr>
        <w:t>（一）</w:t>
      </w:r>
      <w:r>
        <w:rPr>
          <w:rFonts w:hint="eastAsia" w:ascii="宋体" w:hAnsi="宋体"/>
          <w:color w:val="auto"/>
          <w:sz w:val="24"/>
        </w:rPr>
        <w:t>营业执照</w:t>
      </w:r>
    </w:p>
    <w:p w14:paraId="0666DD6E">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5F0E15BB">
      <w:pPr>
        <w:spacing w:line="360" w:lineRule="auto"/>
        <w:rPr>
          <w:rFonts w:hint="eastAsia" w:ascii="宋体" w:hAnsi="宋体"/>
          <w:color w:val="auto"/>
          <w:sz w:val="24"/>
        </w:rPr>
      </w:pPr>
      <w:r>
        <w:rPr>
          <w:rFonts w:hint="eastAsia" w:ascii="宋体" w:hAnsi="宋体"/>
          <w:color w:val="auto"/>
          <w:sz w:val="24"/>
          <w:lang w:eastAsia="zh-CN"/>
        </w:rPr>
        <w:t>（二）</w:t>
      </w:r>
      <w:r>
        <w:rPr>
          <w:rFonts w:hint="eastAsia" w:ascii="宋体" w:hAnsi="宋体"/>
          <w:color w:val="auto"/>
          <w:sz w:val="24"/>
        </w:rPr>
        <w:t>企业资质证书</w:t>
      </w:r>
    </w:p>
    <w:p w14:paraId="2593C69A">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1614E897">
      <w:pPr>
        <w:spacing w:line="360" w:lineRule="auto"/>
        <w:rPr>
          <w:rFonts w:hint="eastAsia" w:ascii="宋体" w:hAnsi="宋体"/>
          <w:color w:val="auto"/>
          <w:sz w:val="24"/>
        </w:rPr>
      </w:pPr>
      <w:r>
        <w:rPr>
          <w:rFonts w:hint="eastAsia" w:ascii="宋体" w:hAnsi="宋体"/>
          <w:color w:val="auto"/>
          <w:sz w:val="24"/>
          <w:lang w:eastAsia="zh-CN"/>
        </w:rPr>
        <w:t>（三）</w:t>
      </w:r>
      <w:r>
        <w:rPr>
          <w:rFonts w:hint="eastAsia" w:ascii="宋体" w:hAnsi="宋体"/>
          <w:color w:val="auto"/>
          <w:sz w:val="24"/>
        </w:rPr>
        <w:t>安全生产许可证</w:t>
      </w:r>
    </w:p>
    <w:p w14:paraId="17C506F6">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28A96817">
      <w:pPr>
        <w:spacing w:line="360" w:lineRule="auto"/>
        <w:rPr>
          <w:rFonts w:hint="eastAsia" w:ascii="宋体" w:hAnsi="宋体"/>
          <w:color w:val="auto"/>
          <w:sz w:val="24"/>
          <w:lang w:eastAsia="zh-CN"/>
        </w:rPr>
      </w:pPr>
      <w:r>
        <w:rPr>
          <w:rFonts w:hint="eastAsia" w:ascii="宋体" w:hAnsi="宋体"/>
          <w:color w:val="auto"/>
          <w:sz w:val="24"/>
          <w:lang w:eastAsia="zh-CN"/>
        </w:rPr>
        <w:t>（四）项目经理建造师注册证</w:t>
      </w:r>
    </w:p>
    <w:p w14:paraId="1D11EFD7">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35401DD7">
      <w:pPr>
        <w:spacing w:line="360" w:lineRule="auto"/>
        <w:rPr>
          <w:rFonts w:hint="eastAsia" w:ascii="宋体" w:hAnsi="宋体"/>
          <w:color w:val="auto"/>
          <w:sz w:val="24"/>
          <w:lang w:val="en-US" w:eastAsia="zh-CN"/>
        </w:rPr>
      </w:pPr>
      <w:r>
        <w:rPr>
          <w:rFonts w:hint="eastAsia" w:ascii="宋体" w:hAnsi="宋体"/>
          <w:color w:val="auto"/>
          <w:sz w:val="24"/>
          <w:lang w:eastAsia="zh-CN"/>
        </w:rPr>
        <w:t>（五）项目经理安全生产考核合格</w:t>
      </w:r>
      <w:r>
        <w:rPr>
          <w:rFonts w:hint="eastAsia" w:ascii="宋体" w:hAnsi="宋体"/>
          <w:color w:val="auto"/>
          <w:sz w:val="24"/>
          <w:lang w:val="en-US" w:eastAsia="zh-CN"/>
        </w:rPr>
        <w:t>B证</w:t>
      </w:r>
    </w:p>
    <w:p w14:paraId="72B18881">
      <w:pPr>
        <w:spacing w:line="360" w:lineRule="auto"/>
        <w:jc w:val="center"/>
        <w:rPr>
          <w:rFonts w:hint="eastAsia" w:ascii="宋体" w:hAnsi="宋体"/>
          <w:color w:val="auto"/>
          <w:sz w:val="24"/>
          <w:lang w:eastAsia="zh-CN"/>
        </w:rPr>
      </w:pPr>
      <w:r>
        <w:rPr>
          <w:rFonts w:hint="eastAsia" w:ascii="宋体" w:hAnsi="宋体"/>
          <w:color w:val="auto"/>
          <w:sz w:val="24"/>
          <w:lang w:eastAsia="zh-CN"/>
        </w:rPr>
        <w:t>附加盖公章的复印件或扫描件</w:t>
      </w:r>
    </w:p>
    <w:p w14:paraId="3F74D33C">
      <w:pPr>
        <w:rPr>
          <w:rFonts w:hint="eastAsia" w:ascii="宋体" w:hAnsi="宋体"/>
          <w:color w:val="auto"/>
          <w:sz w:val="24"/>
          <w:lang w:val="en-US" w:eastAsia="zh-CN"/>
        </w:rPr>
      </w:pPr>
      <w:r>
        <w:rPr>
          <w:rFonts w:hint="eastAsia" w:ascii="宋体" w:hAnsi="宋体"/>
          <w:color w:val="auto"/>
          <w:sz w:val="24"/>
          <w:lang w:val="en-US" w:eastAsia="zh-CN"/>
        </w:rPr>
        <w:br w:type="page"/>
      </w:r>
    </w:p>
    <w:p w14:paraId="17D2B0E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sz w:val="24"/>
          <w:szCs w:val="24"/>
          <w:lang w:eastAsia="zh-CN"/>
        </w:rPr>
      </w:pPr>
      <w:r>
        <w:rPr>
          <w:rFonts w:hint="eastAsia" w:ascii="宋体" w:hAnsi="宋体"/>
          <w:color w:val="auto"/>
          <w:sz w:val="24"/>
          <w:lang w:val="en-US" w:eastAsia="zh-CN"/>
        </w:rPr>
        <w:t>（六）</w:t>
      </w:r>
      <w:r>
        <w:rPr>
          <w:rFonts w:hint="eastAsia"/>
          <w:color w:val="auto"/>
          <w:sz w:val="24"/>
          <w:szCs w:val="24"/>
          <w:lang w:eastAsia="zh-CN"/>
        </w:rPr>
        <w:t>供应商缴纳税收和社会保障资金等证明告知承诺书</w:t>
      </w:r>
    </w:p>
    <w:p w14:paraId="5165E20F">
      <w:pPr>
        <w:spacing w:line="560" w:lineRule="exact"/>
        <w:jc w:val="center"/>
        <w:rPr>
          <w:rFonts w:ascii="宋体" w:hAnsi="宋体" w:cs="宋体"/>
          <w:b/>
          <w:bCs/>
          <w:color w:val="auto"/>
          <w:kern w:val="0"/>
          <w:sz w:val="24"/>
          <w:highlight w:val="none"/>
        </w:rPr>
      </w:pPr>
      <w:r>
        <w:rPr>
          <w:rFonts w:ascii="宋体" w:hAnsi="宋体" w:cs="宋体"/>
          <w:b/>
          <w:bCs/>
          <w:color w:val="auto"/>
          <w:kern w:val="0"/>
          <w:sz w:val="24"/>
          <w:highlight w:val="none"/>
        </w:rPr>
        <w:t>供应商缴纳税收和社会保障资金等证明告知承诺书</w:t>
      </w:r>
    </w:p>
    <w:p w14:paraId="512A8177">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本公司（联合体）郑重承诺：</w:t>
      </w:r>
    </w:p>
    <w:p w14:paraId="3346742F">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1.承诺具有良好的商业信誉和健全的财务会计制度；</w:t>
      </w:r>
    </w:p>
    <w:p w14:paraId="2612B74E">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2.承诺依法缴纳税收和社会保障资金的良好记录；</w:t>
      </w:r>
    </w:p>
    <w:p w14:paraId="1401FE67">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3.承诺参加政府采购活动前三年内，在经营活动中没有重大违法记录。</w:t>
      </w:r>
    </w:p>
    <w:p w14:paraId="4CD0E08A">
      <w:pPr>
        <w:spacing w:line="600" w:lineRule="exact"/>
        <w:ind w:firstLine="480" w:firstLineChars="200"/>
        <w:rPr>
          <w:rFonts w:ascii="宋体" w:hAnsi="宋体" w:cs="宋体"/>
          <w:color w:val="auto"/>
          <w:kern w:val="0"/>
          <w:sz w:val="24"/>
          <w:highlight w:val="none"/>
        </w:rPr>
      </w:pPr>
      <w:r>
        <w:rPr>
          <w:rFonts w:ascii="宋体" w:hAnsi="宋体" w:cs="宋体"/>
          <w:color w:val="auto"/>
          <w:kern w:val="0"/>
          <w:sz w:val="24"/>
          <w:highlight w:val="none"/>
        </w:rPr>
        <w:t>我公司对上述承诺内容的真实性负责，如虚假承诺，将依法承担相应法律责任。</w:t>
      </w:r>
    </w:p>
    <w:p w14:paraId="0EA308EA">
      <w:pPr>
        <w:spacing w:line="600" w:lineRule="exact"/>
        <w:rPr>
          <w:rFonts w:ascii="宋体" w:hAnsi="宋体" w:cs="宋体"/>
          <w:color w:val="auto"/>
          <w:kern w:val="0"/>
          <w:sz w:val="24"/>
          <w:highlight w:val="none"/>
        </w:rPr>
      </w:pPr>
    </w:p>
    <w:p w14:paraId="7D67A70B">
      <w:pPr>
        <w:spacing w:line="600" w:lineRule="exact"/>
        <w:rPr>
          <w:rFonts w:ascii="宋体" w:hAnsi="宋体" w:cs="宋体"/>
          <w:color w:val="auto"/>
          <w:kern w:val="0"/>
          <w:sz w:val="24"/>
          <w:highlight w:val="none"/>
        </w:rPr>
      </w:pPr>
    </w:p>
    <w:p w14:paraId="019D0088">
      <w:pPr>
        <w:spacing w:line="600" w:lineRule="exact"/>
        <w:ind w:firstLine="4080" w:firstLineChars="1700"/>
        <w:rPr>
          <w:rFonts w:ascii="宋体" w:hAnsi="宋体" w:cs="宋体"/>
          <w:color w:val="auto"/>
          <w:kern w:val="0"/>
          <w:sz w:val="24"/>
          <w:highlight w:val="none"/>
        </w:rPr>
      </w:pPr>
      <w:r>
        <w:rPr>
          <w:rFonts w:ascii="宋体" w:hAnsi="宋体" w:cs="宋体"/>
          <w:color w:val="auto"/>
          <w:kern w:val="0"/>
          <w:sz w:val="24"/>
          <w:highlight w:val="none"/>
        </w:rPr>
        <w:t>承诺单位（公章）：</w:t>
      </w:r>
    </w:p>
    <w:p w14:paraId="5A34AAAC">
      <w:pPr>
        <w:spacing w:line="600" w:lineRule="exact"/>
        <w:ind w:firstLine="120" w:firstLineChars="50"/>
        <w:rPr>
          <w:rFonts w:ascii="宋体" w:hAnsi="宋体" w:cs="宋体"/>
          <w:color w:val="auto"/>
          <w:kern w:val="0"/>
          <w:sz w:val="24"/>
          <w:highlight w:val="none"/>
        </w:rPr>
      </w:pPr>
    </w:p>
    <w:p w14:paraId="47770B33">
      <w:pPr>
        <w:spacing w:line="600" w:lineRule="exact"/>
        <w:ind w:firstLine="1800" w:firstLineChars="750"/>
        <w:rPr>
          <w:rFonts w:ascii="宋体" w:hAnsi="宋体" w:cs="宋体"/>
          <w:color w:val="auto"/>
          <w:kern w:val="0"/>
          <w:sz w:val="24"/>
          <w:highlight w:val="none"/>
        </w:rPr>
      </w:pPr>
      <w:r>
        <w:rPr>
          <w:rFonts w:ascii="宋体" w:hAnsi="宋体" w:cs="宋体"/>
          <w:color w:val="auto"/>
          <w:kern w:val="0"/>
          <w:sz w:val="24"/>
          <w:highlight w:val="none"/>
        </w:rPr>
        <w:t>法定代表人或其授权代表（签字或盖章）：</w:t>
      </w:r>
    </w:p>
    <w:p w14:paraId="6A1310BA">
      <w:pPr>
        <w:spacing w:line="360" w:lineRule="auto"/>
        <w:rPr>
          <w:rFonts w:ascii="宋体" w:hAnsi="宋体" w:cs="宋体"/>
          <w:color w:val="auto"/>
          <w:kern w:val="0"/>
          <w:sz w:val="24"/>
          <w:highlight w:val="none"/>
        </w:rPr>
      </w:pPr>
      <w:r>
        <w:rPr>
          <w:rFonts w:ascii="宋体" w:hAnsi="宋体" w:cs="宋体"/>
          <w:color w:val="auto"/>
          <w:kern w:val="0"/>
          <w:sz w:val="24"/>
          <w:highlight w:val="none"/>
        </w:rPr>
        <w:t xml:space="preserve">                                               年  月  日</w:t>
      </w:r>
    </w:p>
    <w:p w14:paraId="54D4834D">
      <w:pPr>
        <w:rPr>
          <w:rFonts w:ascii="宋体" w:hAnsi="宋体" w:cs="宋体"/>
          <w:color w:val="auto"/>
          <w:kern w:val="0"/>
          <w:sz w:val="24"/>
          <w:highlight w:val="none"/>
        </w:rPr>
      </w:pPr>
      <w:r>
        <w:rPr>
          <w:rFonts w:ascii="宋体" w:hAnsi="宋体" w:cs="宋体"/>
          <w:color w:val="auto"/>
          <w:kern w:val="0"/>
          <w:sz w:val="24"/>
          <w:highlight w:val="none"/>
        </w:rPr>
        <w:br w:type="page"/>
      </w:r>
    </w:p>
    <w:p w14:paraId="72F6D030">
      <w:pPr>
        <w:pStyle w:val="3"/>
        <w:spacing w:line="360" w:lineRule="auto"/>
        <w:jc w:val="center"/>
        <w:rPr>
          <w:rFonts w:ascii="宋体" w:hAnsi="宋体" w:eastAsia="宋体"/>
          <w:color w:val="auto"/>
          <w:sz w:val="24"/>
          <w:szCs w:val="24"/>
        </w:rPr>
      </w:pPr>
      <w:r>
        <w:rPr>
          <w:rFonts w:hint="eastAsia" w:ascii="宋体" w:hAnsi="宋体" w:eastAsia="宋体"/>
          <w:color w:val="auto"/>
          <w:sz w:val="24"/>
          <w:szCs w:val="24"/>
          <w:lang w:eastAsia="zh-CN"/>
        </w:rPr>
        <w:t>八</w:t>
      </w:r>
      <w:r>
        <w:rPr>
          <w:rFonts w:hint="eastAsia" w:ascii="宋体" w:hAnsi="宋体" w:eastAsia="宋体"/>
          <w:color w:val="auto"/>
          <w:sz w:val="24"/>
          <w:szCs w:val="24"/>
        </w:rPr>
        <w:t>、建设工程扬尘治理工作承诺书</w:t>
      </w:r>
    </w:p>
    <w:p w14:paraId="146740FC">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为切实做好建设工程扬尘治理工作，进一步改善空气环境质量，依据省、市文件精神，按照市委市政府“全年任务目标化，所有目标项目化，一切项目责任化，每项责任考核化”的工作要求，本项目郑重承诺如下：</w:t>
      </w:r>
    </w:p>
    <w:p w14:paraId="3396E98F">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一、工作目标</w:t>
      </w:r>
    </w:p>
    <w:p w14:paraId="572F1C63">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实现“施工现场100%围挡；路面100%硬化；驶出车辆100%冲洗；运输车辆100%密闭；裸露物料100%覆盖；特殊作业及扬尘地块100%喷淋洒水；出入口路段100%清扫洒水”。</w:t>
      </w:r>
    </w:p>
    <w:p w14:paraId="75D27CCD">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二、承诺事项</w:t>
      </w:r>
    </w:p>
    <w:p w14:paraId="06DC626A">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1、坚决贯彻执行《济宁市建筑工地扬尘治理工作导则（试行）》，切实做好生产现场及周边环境的扬尘整治工作。</w:t>
      </w:r>
    </w:p>
    <w:p w14:paraId="4AFC9B60">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2、建立健全公司扬尘整治专项检查组织机构，夯实扬尘治理工作责任，针对不同施工阶段，制定具体防治措施。</w:t>
      </w:r>
    </w:p>
    <w:p w14:paraId="6C4E9BC0">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3、切实保证本项目做好扬尘治理工作，安排专人负责施工现场重要部位、重要环节的清洗和洒水，切实做好施工现场的降尘工作；切实用好安全文明施工费，确保专款专用，使扬尘整治活动能够顺利有效的持续开展进行。  </w:t>
      </w:r>
    </w:p>
    <w:p w14:paraId="17C8A971">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4、认真开展施工现场扬尘污染综合整治活动，对施工现场，每月组织不少于两次的专项检查，对发现的问题及时监督整改。</w:t>
      </w:r>
    </w:p>
    <w:p w14:paraId="6FEC3564">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5、完善施工扬尘处置应急预案，在气象部门发布空气质量预警时，坚决停止室外生产及其他易产生扬尘作业，并采取有效措施进行降尘。</w:t>
      </w:r>
    </w:p>
    <w:p w14:paraId="129D6154">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三、责任追究</w:t>
      </w:r>
    </w:p>
    <w:p w14:paraId="50E0E1CF">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1、坚决落实“三不”惩治措施。对扬尘治理不达标的工程不予验收、不予拨付安全文明施工费、不予评选优质工程，并在创建安全文明工地活动中实行一票否决。</w:t>
      </w:r>
    </w:p>
    <w:p w14:paraId="75895EB9">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2、对达不到扬尘治理标准的、要求停工整改拒不整改的项目，提请上级主管部门取消该项目负责人建造师执业资格。</w:t>
      </w:r>
    </w:p>
    <w:p w14:paraId="683FB4C6">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3、实行周调度、月通报制度，对扬尘治理工作开展不积极、问题整改不到位、治理标准不达标的企业，进行通报批评，依据《邹城市建筑工程施工企业管理考核办法》扣分，并纳入年终综合考核。</w:t>
      </w:r>
    </w:p>
    <w:p w14:paraId="0BAC2279">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本项目采取一切有效措施，确保完成承诺事项，否则，自愿接受主管部门做出的一切处罚。</w:t>
      </w:r>
    </w:p>
    <w:p w14:paraId="7AEA8B8A">
      <w:pPr>
        <w:widowControl/>
        <w:jc w:val="right"/>
        <w:rPr>
          <w:rFonts w:ascii="宋体" w:hAnsi="宋体" w:cs="宋体"/>
          <w:color w:val="auto"/>
          <w:sz w:val="24"/>
          <w:lang w:bidi="ar"/>
        </w:rPr>
      </w:pPr>
    </w:p>
    <w:p w14:paraId="4B8E5043">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供 </w:t>
      </w:r>
      <w:r>
        <w:rPr>
          <w:rFonts w:ascii="宋体" w:hAnsi="宋体" w:cs="宋体"/>
          <w:color w:val="auto"/>
          <w:sz w:val="24"/>
          <w:lang w:bidi="ar"/>
        </w:rPr>
        <w:t xml:space="preserve"> </w:t>
      </w:r>
      <w:r>
        <w:rPr>
          <w:rFonts w:hint="eastAsia" w:ascii="宋体" w:hAnsi="宋体" w:cs="宋体"/>
          <w:color w:val="auto"/>
          <w:sz w:val="24"/>
          <w:lang w:bidi="ar"/>
        </w:rPr>
        <w:t xml:space="preserve">应 </w:t>
      </w:r>
      <w:r>
        <w:rPr>
          <w:rFonts w:ascii="宋体" w:hAnsi="宋体" w:cs="宋体"/>
          <w:color w:val="auto"/>
          <w:sz w:val="24"/>
          <w:lang w:bidi="ar"/>
        </w:rPr>
        <w:t xml:space="preserve"> </w:t>
      </w:r>
      <w:r>
        <w:rPr>
          <w:rFonts w:hint="eastAsia" w:ascii="宋体" w:hAnsi="宋体" w:cs="宋体"/>
          <w:color w:val="auto"/>
          <w:sz w:val="24"/>
          <w:lang w:bidi="ar"/>
        </w:rPr>
        <w:t>商：</w:t>
      </w:r>
      <w:r>
        <w:rPr>
          <w:rFonts w:hint="eastAsia" w:ascii="宋体" w:hAnsi="宋体" w:cs="宋体"/>
          <w:color w:val="auto"/>
          <w:sz w:val="24"/>
          <w:u w:val="single"/>
          <w:lang w:bidi="ar"/>
        </w:rPr>
        <w:t xml:space="preserve">         </w:t>
      </w:r>
      <w:r>
        <w:rPr>
          <w:rFonts w:ascii="宋体" w:hAnsi="宋体" w:cs="宋体"/>
          <w:color w:val="auto"/>
          <w:sz w:val="24"/>
          <w:u w:val="single"/>
          <w:lang w:bidi="ar"/>
        </w:rPr>
        <w:t xml:space="preserve">        </w:t>
      </w:r>
      <w:r>
        <w:rPr>
          <w:rFonts w:hint="eastAsia" w:ascii="宋体" w:hAnsi="宋体" w:cs="宋体"/>
          <w:color w:val="auto"/>
          <w:sz w:val="24"/>
          <w:u w:val="single"/>
          <w:lang w:bidi="ar"/>
        </w:rPr>
        <w:t xml:space="preserve">    </w:t>
      </w:r>
      <w:r>
        <w:rPr>
          <w:rFonts w:hint="eastAsia" w:ascii="宋体" w:hAnsi="宋体" w:cs="宋体"/>
          <w:color w:val="auto"/>
          <w:sz w:val="24"/>
          <w:lang w:bidi="ar"/>
        </w:rPr>
        <w:t>（盖单位章）</w:t>
      </w:r>
    </w:p>
    <w:p w14:paraId="729ECEA1">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法定代表人：</w:t>
      </w:r>
      <w:r>
        <w:rPr>
          <w:rFonts w:hint="eastAsia" w:ascii="宋体" w:hAnsi="宋体" w:cs="宋体"/>
          <w:color w:val="auto"/>
          <w:sz w:val="24"/>
          <w:u w:val="single"/>
          <w:lang w:bidi="ar"/>
        </w:rPr>
        <w:t xml:space="preserve">               （</w:t>
      </w:r>
      <w:r>
        <w:rPr>
          <w:rFonts w:hint="eastAsia" w:ascii="宋体" w:hAnsi="宋体" w:cs="宋体"/>
          <w:color w:val="auto"/>
          <w:sz w:val="24"/>
          <w:lang w:bidi="ar"/>
        </w:rPr>
        <w:t>签字或盖章）</w:t>
      </w:r>
    </w:p>
    <w:p w14:paraId="58D9CA32">
      <w:pPr>
        <w:spacing w:line="360" w:lineRule="auto"/>
        <w:ind w:firstLine="480" w:firstLineChars="200"/>
        <w:rPr>
          <w:rFonts w:ascii="宋体" w:hAnsi="宋体" w:cs="宋体"/>
          <w:color w:val="auto"/>
          <w:sz w:val="24"/>
          <w:lang w:bidi="ar"/>
        </w:rPr>
      </w:pPr>
      <w:r>
        <w:rPr>
          <w:rFonts w:hint="eastAsia" w:ascii="宋体" w:hAnsi="宋体" w:cs="宋体"/>
          <w:color w:val="auto"/>
          <w:sz w:val="24"/>
          <w:lang w:bidi="ar"/>
        </w:rPr>
        <w:t xml:space="preserve">日 </w:t>
      </w:r>
      <w:r>
        <w:rPr>
          <w:rFonts w:ascii="宋体" w:hAnsi="宋体" w:cs="宋体"/>
          <w:color w:val="auto"/>
          <w:sz w:val="24"/>
          <w:lang w:bidi="ar"/>
        </w:rPr>
        <w:t xml:space="preserve">     </w:t>
      </w:r>
      <w:r>
        <w:rPr>
          <w:rFonts w:hint="eastAsia" w:ascii="宋体" w:hAnsi="宋体" w:cs="宋体"/>
          <w:color w:val="auto"/>
          <w:sz w:val="24"/>
          <w:lang w:bidi="ar"/>
        </w:rPr>
        <w:t>期：</w:t>
      </w:r>
    </w:p>
    <w:p w14:paraId="18A414B6">
      <w:pPr>
        <w:widowControl/>
        <w:jc w:val="right"/>
        <w:rPr>
          <w:rFonts w:ascii="宋体" w:hAnsi="宋体" w:cs="宋体"/>
          <w:color w:val="auto"/>
          <w:sz w:val="24"/>
          <w:lang w:bidi="ar"/>
        </w:rPr>
      </w:pPr>
    </w:p>
    <w:p w14:paraId="58C272C6">
      <w:pPr>
        <w:widowControl/>
        <w:jc w:val="left"/>
        <w:rPr>
          <w:rFonts w:ascii="宋体" w:hAnsi="宋体" w:cs="黑体"/>
          <w:b/>
          <w:color w:val="auto"/>
          <w:kern w:val="0"/>
          <w:sz w:val="24"/>
        </w:rPr>
      </w:pPr>
      <w:r>
        <w:rPr>
          <w:rFonts w:ascii="宋体" w:hAnsi="宋体" w:cs="黑体"/>
          <w:b/>
          <w:color w:val="auto"/>
          <w:kern w:val="0"/>
          <w:sz w:val="24"/>
        </w:rPr>
        <w:br w:type="page"/>
      </w:r>
    </w:p>
    <w:p w14:paraId="535332B9">
      <w:pPr>
        <w:pStyle w:val="3"/>
        <w:spacing w:line="360" w:lineRule="auto"/>
        <w:jc w:val="center"/>
        <w:rPr>
          <w:rFonts w:ascii="宋体" w:hAnsi="宋体" w:eastAsia="宋体"/>
          <w:color w:val="auto"/>
          <w:sz w:val="24"/>
          <w:szCs w:val="24"/>
        </w:rPr>
      </w:pPr>
      <w:r>
        <w:rPr>
          <w:rFonts w:hint="eastAsia" w:ascii="宋体" w:hAnsi="宋体" w:cs="黑体"/>
          <w:b/>
          <w:color w:val="auto"/>
          <w:kern w:val="0"/>
          <w:sz w:val="24"/>
          <w:lang w:eastAsia="zh-CN"/>
        </w:rPr>
        <w:t>九</w:t>
      </w:r>
      <w:r>
        <w:rPr>
          <w:rFonts w:hint="eastAsia" w:ascii="宋体" w:hAnsi="宋体" w:cs="黑体"/>
          <w:b/>
          <w:color w:val="auto"/>
          <w:kern w:val="0"/>
          <w:sz w:val="24"/>
        </w:rPr>
        <w:t>、</w:t>
      </w:r>
      <w:r>
        <w:rPr>
          <w:rFonts w:hint="eastAsia" w:ascii="宋体" w:hAnsi="宋体" w:eastAsia="宋体"/>
          <w:color w:val="auto"/>
          <w:sz w:val="24"/>
          <w:szCs w:val="24"/>
        </w:rPr>
        <w:t>其他资料</w:t>
      </w:r>
    </w:p>
    <w:p w14:paraId="21541910">
      <w:pPr>
        <w:pStyle w:val="86"/>
        <w:tabs>
          <w:tab w:val="left" w:pos="9638"/>
        </w:tabs>
        <w:spacing w:line="360" w:lineRule="auto"/>
        <w:ind w:right="-82" w:firstLine="472" w:firstLineChars="196"/>
        <w:outlineLvl w:val="0"/>
        <w:rPr>
          <w:rFonts w:ascii="宋体" w:hAnsi="宋体"/>
          <w:b/>
          <w:color w:val="auto"/>
          <w:sz w:val="24"/>
          <w:szCs w:val="24"/>
        </w:rPr>
      </w:pPr>
      <w:bookmarkStart w:id="50" w:name="_Toc11382"/>
      <w:r>
        <w:rPr>
          <w:rFonts w:hint="eastAsia" w:ascii="宋体" w:hAnsi="宋体"/>
          <w:b/>
          <w:color w:val="auto"/>
          <w:sz w:val="24"/>
          <w:szCs w:val="24"/>
        </w:rPr>
        <w:t>供应商认为需要加以说明的其他内容和需要提供的证明文件</w:t>
      </w:r>
      <w:bookmarkEnd w:id="50"/>
    </w:p>
    <w:p w14:paraId="330F8F47">
      <w:pPr>
        <w:pStyle w:val="86"/>
        <w:tabs>
          <w:tab w:val="left" w:pos="9638"/>
        </w:tabs>
        <w:spacing w:line="360" w:lineRule="auto"/>
        <w:ind w:right="-82" w:firstLine="472" w:firstLineChars="196"/>
        <w:outlineLvl w:val="0"/>
        <w:rPr>
          <w:rFonts w:ascii="宋体" w:hAnsi="宋体"/>
          <w:b/>
          <w:color w:val="auto"/>
          <w:sz w:val="24"/>
          <w:szCs w:val="24"/>
        </w:rPr>
      </w:pPr>
      <w:bookmarkStart w:id="51" w:name="_Toc26771"/>
      <w:r>
        <w:rPr>
          <w:rFonts w:hint="eastAsia" w:ascii="宋体" w:hAnsi="宋体"/>
          <w:b/>
          <w:color w:val="auto"/>
          <w:sz w:val="24"/>
          <w:szCs w:val="24"/>
        </w:rPr>
        <w:t>1、……</w:t>
      </w:r>
      <w:bookmarkEnd w:id="51"/>
    </w:p>
    <w:p w14:paraId="617C61B8">
      <w:pPr>
        <w:pStyle w:val="86"/>
        <w:tabs>
          <w:tab w:val="left" w:pos="9638"/>
        </w:tabs>
        <w:spacing w:line="360" w:lineRule="auto"/>
        <w:ind w:right="-82" w:firstLine="472" w:firstLineChars="196"/>
        <w:outlineLvl w:val="0"/>
        <w:rPr>
          <w:rFonts w:ascii="宋体" w:hAnsi="宋体"/>
          <w:b/>
          <w:color w:val="auto"/>
          <w:sz w:val="24"/>
          <w:szCs w:val="24"/>
        </w:rPr>
      </w:pPr>
      <w:bookmarkStart w:id="52" w:name="_Toc14706"/>
      <w:r>
        <w:rPr>
          <w:rFonts w:hint="eastAsia" w:ascii="宋体" w:hAnsi="宋体"/>
          <w:b/>
          <w:color w:val="auto"/>
          <w:sz w:val="24"/>
          <w:szCs w:val="24"/>
        </w:rPr>
        <w:t>2、……</w:t>
      </w:r>
      <w:bookmarkEnd w:id="52"/>
    </w:p>
    <w:p w14:paraId="7B665A35">
      <w:pPr>
        <w:pStyle w:val="86"/>
        <w:tabs>
          <w:tab w:val="left" w:pos="9638"/>
        </w:tabs>
        <w:spacing w:line="360" w:lineRule="auto"/>
        <w:ind w:right="-82" w:firstLine="472" w:firstLineChars="196"/>
        <w:outlineLvl w:val="0"/>
        <w:rPr>
          <w:rFonts w:ascii="宋体" w:hAnsi="宋体"/>
          <w:color w:val="auto"/>
          <w:sz w:val="24"/>
          <w:szCs w:val="24"/>
        </w:rPr>
      </w:pPr>
      <w:bookmarkStart w:id="53" w:name="_Toc10594"/>
      <w:r>
        <w:rPr>
          <w:rFonts w:hint="eastAsia" w:ascii="宋体" w:hAnsi="宋体"/>
          <w:b/>
          <w:color w:val="auto"/>
          <w:sz w:val="24"/>
          <w:szCs w:val="24"/>
        </w:rPr>
        <w:t>3、……</w:t>
      </w:r>
      <w:bookmarkEnd w:id="53"/>
    </w:p>
    <w:p w14:paraId="3C45D7BF">
      <w:pPr>
        <w:spacing w:line="360" w:lineRule="auto"/>
        <w:rPr>
          <w:rFonts w:ascii="宋体" w:hAnsi="宋体"/>
          <w:color w:val="auto"/>
          <w:sz w:val="24"/>
        </w:rPr>
      </w:pPr>
    </w:p>
    <w:p w14:paraId="1A11BE95">
      <w:pPr>
        <w:pStyle w:val="10"/>
        <w:spacing w:before="0" w:line="360" w:lineRule="auto"/>
        <w:ind w:firstLine="480" w:firstLineChars="200"/>
        <w:rPr>
          <w:rFonts w:hint="eastAsia" w:ascii="宋体" w:hAnsi="宋体" w:eastAsia="宋体"/>
          <w:color w:val="auto"/>
          <w:szCs w:val="24"/>
          <w:lang w:eastAsia="zh-CN"/>
        </w:rPr>
        <w:sectPr>
          <w:headerReference r:id="rId12" w:type="first"/>
          <w:pgSz w:w="11906" w:h="16838"/>
          <w:pgMar w:top="1440" w:right="1080" w:bottom="1440" w:left="1080" w:header="851" w:footer="992" w:gutter="0"/>
          <w:pgNumType w:fmt="decimal"/>
          <w:cols w:space="720" w:num="1"/>
          <w:titlePg/>
          <w:docGrid w:type="lines" w:linePitch="286" w:charSpace="0"/>
        </w:sectPr>
      </w:pPr>
      <w:r>
        <w:rPr>
          <w:rFonts w:hint="eastAsia" w:ascii="宋体" w:hAnsi="宋体"/>
          <w:color w:val="auto"/>
          <w:szCs w:val="24"/>
          <w:lang w:eastAsia="zh-CN"/>
        </w:rPr>
        <w:t>注：如无需增加其他资料，此部分可在编制响应文件时删除</w:t>
      </w:r>
    </w:p>
    <w:p w14:paraId="46DD7AD2">
      <w:pPr>
        <w:spacing w:line="360" w:lineRule="auto"/>
        <w:jc w:val="center"/>
        <w:rPr>
          <w:rFonts w:hint="eastAsia" w:ascii="宋体" w:hAnsi="宋体"/>
          <w:color w:val="auto"/>
          <w:sz w:val="24"/>
          <w:szCs w:val="24"/>
        </w:rPr>
      </w:pPr>
      <w:r>
        <w:rPr>
          <w:rFonts w:hint="eastAsia" w:ascii="宋体" w:hAnsi="宋体" w:cs="宋体"/>
          <w:color w:val="auto"/>
          <w:kern w:val="0"/>
          <w:sz w:val="24"/>
          <w:szCs w:val="24"/>
          <w:lang w:eastAsia="zh-CN"/>
        </w:rPr>
        <w:t>磋商</w:t>
      </w:r>
      <w:r>
        <w:rPr>
          <w:rFonts w:hint="eastAsia" w:ascii="宋体" w:hAnsi="宋体"/>
          <w:color w:val="auto"/>
          <w:sz w:val="24"/>
          <w:szCs w:val="24"/>
        </w:rPr>
        <w:t>响应文件密封信封正面格式</w:t>
      </w:r>
    </w:p>
    <w:p w14:paraId="662C0872">
      <w:pPr>
        <w:spacing w:line="360" w:lineRule="auto"/>
        <w:jc w:val="center"/>
        <w:rPr>
          <w:rFonts w:hint="eastAsia" w:ascii="宋体" w:hAnsi="宋体"/>
          <w:color w:val="auto"/>
          <w:sz w:val="24"/>
          <w:szCs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0BEA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234" w:type="dxa"/>
            <w:noWrap w:val="0"/>
            <w:vAlign w:val="top"/>
          </w:tcPr>
          <w:p w14:paraId="1454BB01">
            <w:pPr>
              <w:spacing w:line="360" w:lineRule="auto"/>
              <w:jc w:val="center"/>
              <w:rPr>
                <w:rFonts w:hint="eastAsia" w:ascii="宋体" w:hAnsi="宋体"/>
                <w:color w:val="auto"/>
                <w:sz w:val="24"/>
                <w:szCs w:val="24"/>
              </w:rPr>
            </w:pPr>
            <w:r>
              <w:rPr>
                <w:rFonts w:hint="eastAsia" w:ascii="宋体" w:hAnsi="宋体"/>
                <w:color w:val="auto"/>
                <w:sz w:val="24"/>
                <w:szCs w:val="24"/>
              </w:rPr>
              <w:t xml:space="preserve">                                                            正（副）本</w:t>
            </w:r>
          </w:p>
          <w:p w14:paraId="4F7FF6C5">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项目编号：</w:t>
            </w:r>
            <w:r>
              <w:rPr>
                <w:rFonts w:hint="eastAsia" w:ascii="宋体" w:hAnsi="宋体"/>
                <w:color w:val="auto"/>
                <w:sz w:val="24"/>
                <w:szCs w:val="24"/>
                <w:u w:val="single"/>
              </w:rPr>
              <w:t xml:space="preserve">                       </w:t>
            </w:r>
          </w:p>
          <w:p w14:paraId="42BFF7AC">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项目名称：</w:t>
            </w:r>
            <w:r>
              <w:rPr>
                <w:rFonts w:hint="eastAsia" w:ascii="宋体" w:hAnsi="宋体"/>
                <w:color w:val="auto"/>
                <w:sz w:val="24"/>
                <w:szCs w:val="24"/>
                <w:u w:val="single"/>
              </w:rPr>
              <w:t xml:space="preserve">                       </w:t>
            </w:r>
          </w:p>
          <w:p w14:paraId="0A57DAEE">
            <w:pPr>
              <w:spacing w:line="360" w:lineRule="auto"/>
              <w:ind w:firstLine="480" w:firstLineChars="200"/>
              <w:rPr>
                <w:rFonts w:hint="eastAsia" w:ascii="宋体" w:hAnsi="宋体"/>
                <w:color w:val="auto"/>
                <w:sz w:val="24"/>
                <w:szCs w:val="24"/>
                <w:u w:val="single"/>
              </w:rPr>
            </w:pPr>
            <w:r>
              <w:rPr>
                <w:rFonts w:hint="eastAsia" w:ascii="宋体" w:hAnsi="宋体"/>
                <w:color w:val="auto"/>
                <w:sz w:val="24"/>
                <w:szCs w:val="24"/>
              </w:rPr>
              <w:t>供应商名称：</w:t>
            </w:r>
            <w:r>
              <w:rPr>
                <w:rFonts w:hint="eastAsia" w:ascii="宋体" w:hAnsi="宋体"/>
                <w:color w:val="auto"/>
                <w:sz w:val="24"/>
                <w:szCs w:val="24"/>
                <w:u w:val="single"/>
              </w:rPr>
              <w:t xml:space="preserve">                   </w:t>
            </w:r>
            <w:r>
              <w:rPr>
                <w:rFonts w:hint="eastAsia" w:ascii="宋体" w:hAnsi="宋体"/>
                <w:color w:val="auto"/>
                <w:sz w:val="24"/>
                <w:szCs w:val="24"/>
                <w:u w:val="single"/>
                <w:lang w:eastAsia="zh-CN"/>
              </w:rPr>
              <w:t>（加盖公</w:t>
            </w:r>
            <w:r>
              <w:rPr>
                <w:rFonts w:hint="eastAsia" w:ascii="宋体" w:hAnsi="宋体"/>
                <w:color w:val="auto"/>
                <w:sz w:val="24"/>
                <w:szCs w:val="24"/>
                <w:u w:val="single"/>
              </w:rPr>
              <w:t>章）</w:t>
            </w:r>
          </w:p>
          <w:p w14:paraId="4C8C01E7">
            <w:pPr>
              <w:spacing w:line="360" w:lineRule="auto"/>
              <w:ind w:firstLine="480" w:firstLineChars="200"/>
              <w:rPr>
                <w:rFonts w:hint="eastAsia" w:ascii="宋体" w:hAnsi="宋体"/>
                <w:color w:val="auto"/>
                <w:sz w:val="24"/>
                <w:szCs w:val="24"/>
              </w:rPr>
            </w:pPr>
            <w:r>
              <w:rPr>
                <w:rFonts w:hint="eastAsia" w:ascii="宋体" w:hAnsi="宋体"/>
                <w:color w:val="auto"/>
                <w:sz w:val="24"/>
                <w:szCs w:val="24"/>
              </w:rPr>
              <w:t>地址：</w:t>
            </w:r>
            <w:r>
              <w:rPr>
                <w:rFonts w:hint="eastAsia" w:ascii="宋体" w:hAnsi="宋体"/>
                <w:color w:val="auto"/>
                <w:sz w:val="24"/>
                <w:szCs w:val="24"/>
                <w:u w:val="single"/>
              </w:rPr>
              <w:t xml:space="preserve">                          </w:t>
            </w:r>
          </w:p>
        </w:tc>
      </w:tr>
    </w:tbl>
    <w:p w14:paraId="14045A15">
      <w:pPr>
        <w:spacing w:line="360" w:lineRule="auto"/>
        <w:rPr>
          <w:rFonts w:hint="eastAsia" w:ascii="宋体" w:hAnsi="宋体"/>
          <w:color w:val="auto"/>
          <w:sz w:val="24"/>
          <w:szCs w:val="24"/>
        </w:rPr>
      </w:pPr>
    </w:p>
    <w:p w14:paraId="786CA8B7">
      <w:pPr>
        <w:spacing w:line="360" w:lineRule="auto"/>
        <w:jc w:val="center"/>
        <w:rPr>
          <w:rFonts w:hint="eastAsia" w:ascii="宋体" w:hAnsi="宋体"/>
          <w:bCs/>
          <w:color w:val="auto"/>
          <w:sz w:val="24"/>
          <w:szCs w:val="24"/>
        </w:rPr>
      </w:pPr>
      <w:r>
        <w:rPr>
          <w:rFonts w:hint="eastAsia" w:ascii="宋体" w:hAnsi="宋体" w:cs="宋体"/>
          <w:color w:val="auto"/>
          <w:kern w:val="0"/>
          <w:sz w:val="24"/>
          <w:szCs w:val="24"/>
          <w:lang w:eastAsia="zh-CN"/>
        </w:rPr>
        <w:t>磋商</w:t>
      </w:r>
      <w:r>
        <w:rPr>
          <w:rFonts w:hint="eastAsia" w:ascii="宋体" w:hAnsi="宋体"/>
          <w:bCs/>
          <w:color w:val="auto"/>
          <w:sz w:val="24"/>
          <w:szCs w:val="24"/>
        </w:rPr>
        <w:t>响应文件密封信封封口格式</w:t>
      </w:r>
    </w:p>
    <w:p w14:paraId="594B7D1F">
      <w:pPr>
        <w:spacing w:line="360" w:lineRule="auto"/>
        <w:rPr>
          <w:rFonts w:hint="eastAsia" w:ascii="宋体" w:hAnsi="宋体"/>
          <w:bCs/>
          <w:color w:val="auto"/>
          <w:sz w:val="24"/>
          <w:szCs w:val="24"/>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5FCE8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9234" w:type="dxa"/>
            <w:noWrap w:val="0"/>
            <w:vAlign w:val="top"/>
          </w:tcPr>
          <w:p w14:paraId="6427D52C">
            <w:pPr>
              <w:spacing w:line="360" w:lineRule="auto"/>
              <w:rPr>
                <w:rFonts w:hint="eastAsia" w:ascii="宋体" w:hAnsi="宋体"/>
                <w:bCs/>
                <w:color w:val="auto"/>
                <w:sz w:val="24"/>
                <w:szCs w:val="24"/>
              </w:rPr>
            </w:pPr>
          </w:p>
          <w:p w14:paraId="3868384E">
            <w:pPr>
              <w:spacing w:line="360" w:lineRule="auto"/>
              <w:rPr>
                <w:rFonts w:hint="eastAsia" w:ascii="宋体" w:hAnsi="宋体"/>
                <w:bCs/>
                <w:color w:val="auto"/>
                <w:sz w:val="24"/>
                <w:szCs w:val="24"/>
              </w:rPr>
            </w:pPr>
          </w:p>
          <w:p w14:paraId="68BFE902">
            <w:pPr>
              <w:spacing w:line="360" w:lineRule="auto"/>
              <w:rPr>
                <w:rFonts w:hint="eastAsia" w:ascii="宋体" w:hAnsi="宋体"/>
                <w:bCs/>
                <w:color w:val="auto"/>
                <w:sz w:val="24"/>
                <w:szCs w:val="24"/>
              </w:rPr>
            </w:pPr>
          </w:p>
          <w:p w14:paraId="77B400D1">
            <w:pPr>
              <w:spacing w:line="360" w:lineRule="auto"/>
              <w:jc w:val="center"/>
              <w:rPr>
                <w:rFonts w:hint="eastAsia" w:ascii="宋体" w:hAnsi="宋体"/>
                <w:bCs/>
                <w:color w:val="auto"/>
                <w:sz w:val="24"/>
                <w:szCs w:val="24"/>
              </w:rPr>
            </w:pPr>
            <w:r>
              <w:rPr>
                <w:rFonts w:hint="eastAsia" w:ascii="宋体" w:hAnsi="宋体"/>
                <w:bCs/>
                <w:color w:val="auto"/>
                <w:sz w:val="24"/>
                <w:szCs w:val="24"/>
              </w:rPr>
              <w:t>……于</w:t>
            </w:r>
            <w:r>
              <w:rPr>
                <w:rFonts w:hint="eastAsia" w:ascii="宋体" w:hAnsi="宋体"/>
                <w:bCs/>
                <w:color w:val="auto"/>
                <w:sz w:val="24"/>
                <w:szCs w:val="24"/>
                <w:u w:val="single"/>
              </w:rPr>
              <w:t xml:space="preserve">     </w:t>
            </w:r>
            <w:r>
              <w:rPr>
                <w:rFonts w:hint="eastAsia" w:ascii="宋体" w:hAnsi="宋体"/>
                <w:bCs/>
                <w:color w:val="auto"/>
                <w:sz w:val="24"/>
                <w:szCs w:val="24"/>
              </w:rPr>
              <w:t>年</w:t>
            </w:r>
            <w:r>
              <w:rPr>
                <w:rFonts w:hint="eastAsia" w:ascii="宋体" w:hAnsi="宋体"/>
                <w:bCs/>
                <w:color w:val="auto"/>
                <w:sz w:val="24"/>
                <w:szCs w:val="24"/>
                <w:u w:val="single"/>
              </w:rPr>
              <w:t xml:space="preserve">    </w:t>
            </w:r>
            <w:r>
              <w:rPr>
                <w:rFonts w:hint="eastAsia" w:ascii="宋体" w:hAnsi="宋体"/>
                <w:bCs/>
                <w:color w:val="auto"/>
                <w:sz w:val="24"/>
                <w:szCs w:val="24"/>
              </w:rPr>
              <w:t>月</w:t>
            </w:r>
            <w:r>
              <w:rPr>
                <w:rFonts w:hint="eastAsia" w:ascii="宋体" w:hAnsi="宋体"/>
                <w:bCs/>
                <w:color w:val="auto"/>
                <w:sz w:val="24"/>
                <w:szCs w:val="24"/>
                <w:u w:val="single"/>
              </w:rPr>
              <w:t xml:space="preserve">    </w:t>
            </w:r>
            <w:r>
              <w:rPr>
                <w:rFonts w:hint="eastAsia" w:ascii="宋体" w:hAnsi="宋体"/>
                <w:bCs/>
                <w:color w:val="auto"/>
                <w:sz w:val="24"/>
                <w:szCs w:val="24"/>
              </w:rPr>
              <w:t>日</w:t>
            </w:r>
            <w:r>
              <w:rPr>
                <w:rFonts w:hint="eastAsia" w:ascii="宋体" w:hAnsi="宋体"/>
                <w:bCs/>
                <w:color w:val="auto"/>
                <w:sz w:val="24"/>
                <w:szCs w:val="24"/>
                <w:u w:val="single"/>
              </w:rPr>
              <w:t xml:space="preserve">    </w:t>
            </w:r>
            <w:r>
              <w:rPr>
                <w:rFonts w:hint="eastAsia" w:ascii="宋体" w:hAnsi="宋体"/>
                <w:bCs/>
                <w:color w:val="auto"/>
                <w:sz w:val="24"/>
                <w:szCs w:val="24"/>
              </w:rPr>
              <w:t>时</w:t>
            </w:r>
            <w:r>
              <w:rPr>
                <w:rFonts w:hint="eastAsia" w:ascii="宋体" w:hAnsi="宋体"/>
                <w:bCs/>
                <w:color w:val="auto"/>
                <w:sz w:val="24"/>
                <w:szCs w:val="24"/>
                <w:u w:val="single"/>
              </w:rPr>
              <w:t xml:space="preserve">   分</w:t>
            </w:r>
            <w:r>
              <w:rPr>
                <w:rFonts w:hint="eastAsia" w:ascii="宋体" w:hAnsi="宋体"/>
                <w:bCs/>
                <w:color w:val="auto"/>
                <w:sz w:val="24"/>
                <w:szCs w:val="24"/>
              </w:rPr>
              <w:t>前不准启封（</w:t>
            </w:r>
            <w:r>
              <w:rPr>
                <w:rFonts w:hint="eastAsia" w:ascii="宋体" w:hAnsi="宋体"/>
                <w:color w:val="auto"/>
                <w:sz w:val="24"/>
                <w:szCs w:val="24"/>
                <w:u w:val="single"/>
                <w:lang w:eastAsia="zh-CN"/>
              </w:rPr>
              <w:t>（加盖公</w:t>
            </w:r>
            <w:r>
              <w:rPr>
                <w:rFonts w:hint="eastAsia" w:ascii="宋体" w:hAnsi="宋体"/>
                <w:color w:val="auto"/>
                <w:sz w:val="24"/>
                <w:szCs w:val="24"/>
                <w:u w:val="single"/>
              </w:rPr>
              <w:t>章）</w:t>
            </w:r>
            <w:r>
              <w:rPr>
                <w:rFonts w:hint="eastAsia" w:ascii="宋体" w:hAnsi="宋体"/>
                <w:bCs/>
                <w:color w:val="auto"/>
                <w:sz w:val="24"/>
                <w:szCs w:val="24"/>
              </w:rPr>
              <w:t>）……</w:t>
            </w:r>
          </w:p>
          <w:p w14:paraId="2EC1A79F">
            <w:pPr>
              <w:spacing w:line="360" w:lineRule="auto"/>
              <w:rPr>
                <w:rFonts w:hint="eastAsia" w:ascii="宋体" w:hAnsi="宋体"/>
                <w:bCs/>
                <w:color w:val="auto"/>
                <w:sz w:val="24"/>
                <w:szCs w:val="24"/>
              </w:rPr>
            </w:pPr>
            <w:r>
              <w:rPr>
                <w:rFonts w:ascii="宋体" w:hAnsi="宋体"/>
                <w:bCs/>
                <w:color w:val="auto"/>
                <w:sz w:val="24"/>
                <w:szCs w:val="24"/>
              </w:rPr>
              <mc:AlternateContent>
                <mc:Choice Requires="wps">
                  <w:drawing>
                    <wp:anchor distT="0" distB="0" distL="114300" distR="11430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7" name="直接连接符 7"/>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eLmjc1wAAAAoBAAAPAAAAAAAAAAEAIAAAACIAAABk&#10;cnMvZG93bnJldi54bWxQSwECFAAUAAAACACHTuJAvB+37gcCAADzAwAADgAAAAAAAAABACAAAAAm&#10;AQAAZHJzL2Uyb0RvYy54bWxQSwUGAAAAAAYABgBZAQAAnwUAAAAA&#10;">
                      <v:fill on="f" focussize="0,0"/>
                      <v:stroke color="#000000" joinstyle="round" endarrow="block"/>
                      <v:imagedata o:title=""/>
                      <o:lock v:ext="edit" aspectratio="f"/>
                    </v:line>
                  </w:pict>
                </mc:Fallback>
              </mc:AlternateContent>
            </w:r>
          </w:p>
          <w:p w14:paraId="2D79A484">
            <w:pPr>
              <w:spacing w:line="360" w:lineRule="auto"/>
              <w:rPr>
                <w:rFonts w:hint="eastAsia" w:ascii="宋体" w:hAnsi="宋体"/>
                <w:bCs/>
                <w:color w:val="auto"/>
                <w:sz w:val="24"/>
                <w:szCs w:val="24"/>
              </w:rPr>
            </w:pPr>
          </w:p>
          <w:p w14:paraId="5E5B4DEE">
            <w:pPr>
              <w:spacing w:line="360" w:lineRule="auto"/>
              <w:ind w:firstLine="3600" w:firstLineChars="1500"/>
              <w:rPr>
                <w:rFonts w:hint="eastAsia" w:ascii="宋体" w:hAnsi="宋体"/>
                <w:bCs/>
                <w:color w:val="auto"/>
                <w:sz w:val="24"/>
                <w:szCs w:val="24"/>
              </w:rPr>
            </w:pPr>
          </w:p>
          <w:p w14:paraId="6AB09CFC">
            <w:pPr>
              <w:spacing w:line="360" w:lineRule="auto"/>
              <w:ind w:firstLine="4200" w:firstLineChars="1750"/>
              <w:rPr>
                <w:rFonts w:hint="eastAsia" w:ascii="宋体" w:hAnsi="宋体"/>
                <w:bCs/>
                <w:color w:val="auto"/>
                <w:sz w:val="24"/>
                <w:szCs w:val="24"/>
              </w:rPr>
            </w:pPr>
            <w:r>
              <w:rPr>
                <w:rFonts w:hint="eastAsia" w:ascii="宋体" w:hAnsi="宋体"/>
                <w:bCs/>
                <w:color w:val="auto"/>
                <w:sz w:val="24"/>
                <w:szCs w:val="24"/>
              </w:rPr>
              <w:t>（封口处）</w:t>
            </w:r>
          </w:p>
          <w:p w14:paraId="225A0225">
            <w:pPr>
              <w:spacing w:line="360" w:lineRule="auto"/>
              <w:rPr>
                <w:rFonts w:hint="eastAsia" w:ascii="宋体" w:hAnsi="宋体"/>
                <w:bCs/>
                <w:color w:val="auto"/>
                <w:sz w:val="24"/>
                <w:szCs w:val="24"/>
              </w:rPr>
            </w:pPr>
          </w:p>
        </w:tc>
      </w:tr>
    </w:tbl>
    <w:p w14:paraId="6A579962">
      <w:pPr>
        <w:rPr>
          <w:color w:val="auto"/>
        </w:rPr>
      </w:pPr>
    </w:p>
    <w:sectPr>
      <w:pgSz w:w="11906" w:h="16838"/>
      <w:pgMar w:top="1440" w:right="1080" w:bottom="1440" w:left="1080" w:header="851" w:footer="992" w:gutter="0"/>
      <w:pgNumType w:fmt="decimal"/>
      <w:cols w:space="720" w:num="1"/>
      <w:titlePg/>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modern"/>
    <w:pitch w:val="default"/>
    <w:sig w:usb0="E10002FF" w:usb1="4000FCFF" w:usb2="00000009" w:usb3="00000000" w:csb0="6000019F" w:csb1="DFD70000"/>
  </w:font>
  <w:font w:name="Arial Unicode MS">
    <w:altName w:val="宋体"/>
    <w:panose1 w:val="020B0604020202020204"/>
    <w:charset w:val="86"/>
    <w:family w:val="swiss"/>
    <w:pitch w:val="default"/>
    <w:sig w:usb0="00000000" w:usb1="00000000" w:usb2="0000003F" w:usb3="00000000" w:csb0="603F01FF" w:csb1="FFFF0000"/>
  </w:font>
  <w:font w:name="Microsoft YaHei UI">
    <w:altName w:val="宋体"/>
    <w:panose1 w:val="020B0503020204020204"/>
    <w:charset w:val="86"/>
    <w:family w:val="swiss"/>
    <w:pitch w:val="default"/>
    <w:sig w:usb0="00000000" w:usb1="0000000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F9EC6">
    <w:pPr>
      <w:pStyle w:val="2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B3BDE">
    <w:pPr>
      <w:pStyle w:val="25"/>
      <w:jc w:val="both"/>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7FF92B18">
                          <w:pPr>
                            <w:pStyle w:val="25"/>
                          </w:pPr>
                          <w:r>
                            <w:rPr>
                              <w:rFonts w:hint="eastAsia"/>
                            </w:rPr>
                            <w:fldChar w:fldCharType="begin"/>
                          </w:r>
                          <w:r>
                            <w:rPr>
                              <w:rFonts w:hint="eastAsia"/>
                            </w:rPr>
                            <w:instrText xml:space="preserve"> PAGE  \* MERGEFORMAT </w:instrText>
                          </w:r>
                          <w:r>
                            <w:rPr>
                              <w:rFonts w:hint="eastAsia"/>
                            </w:rPr>
                            <w:fldChar w:fldCharType="separate"/>
                          </w:r>
                          <w:r>
                            <w:t>16</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ql5uc8AAAAFAQAADwAAAAAAAAABACAAAAAiAAAAZHJzL2Rvd25yZXYu&#10;eG1sUEsBAhQAFAAAAAgAh07iQE7hIDMEAgAABAQAAA4AAAAAAAAAAQAgAAAAHgEAAGRycy9lMm9E&#10;b2MueG1sUEsFBgAAAAAGAAYAWQEAAJQFAAAAAA==&#10;">
              <v:fill on="f" focussize="0,0"/>
              <v:stroke on="f"/>
              <v:imagedata o:title=""/>
              <o:lock v:ext="edit" aspectratio="f"/>
              <v:textbox inset="0mm,0mm,0mm,0mm" style="mso-fit-shape-to-text:t;">
                <w:txbxContent>
                  <w:p w14:paraId="7FF92B18">
                    <w:pPr>
                      <w:pStyle w:val="25"/>
                    </w:pPr>
                    <w:r>
                      <w:rPr>
                        <w:rFonts w:hint="eastAsia"/>
                      </w:rPr>
                      <w:fldChar w:fldCharType="begin"/>
                    </w:r>
                    <w:r>
                      <w:rPr>
                        <w:rFonts w:hint="eastAsia"/>
                      </w:rPr>
                      <w:instrText xml:space="preserve"> PAGE  \* MERGEFORMAT </w:instrText>
                    </w:r>
                    <w:r>
                      <w:rPr>
                        <w:rFonts w:hint="eastAsia"/>
                      </w:rPr>
                      <w:fldChar w:fldCharType="separate"/>
                    </w:r>
                    <w:r>
                      <w:t>16</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E2084">
    <w:pPr>
      <w:pStyle w:val="25"/>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5DA2FE">
                          <w:pPr>
                            <w:pStyle w:val="25"/>
                            <w:jc w:val="center"/>
                          </w:pPr>
                          <w:r>
                            <w:fldChar w:fldCharType="begin"/>
                          </w:r>
                          <w:r>
                            <w:instrText xml:space="preserve"> PAGE   \* MERGEFORMAT </w:instrText>
                          </w:r>
                          <w:r>
                            <w:fldChar w:fldCharType="separate"/>
                          </w:r>
                          <w:r>
                            <w:rPr>
                              <w:lang w:val="zh-CN"/>
                            </w:rP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5DA2FE">
                    <w:pPr>
                      <w:pStyle w:val="25"/>
                      <w:jc w:val="center"/>
                    </w:pPr>
                    <w:r>
                      <w:fldChar w:fldCharType="begin"/>
                    </w:r>
                    <w:r>
                      <w:instrText xml:space="preserve"> PAGE   \* MERGEFORMAT </w:instrText>
                    </w:r>
                    <w:r>
                      <w:fldChar w:fldCharType="separate"/>
                    </w:r>
                    <w:r>
                      <w:rPr>
                        <w:lang w:val="zh-CN"/>
                      </w:rP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92B38">
    <w:pPr>
      <w:pStyle w:val="25"/>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67C3CE">
                          <w:pPr>
                            <w:pStyle w:val="2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4067C3CE">
                    <w:pPr>
                      <w:pStyle w:val="25"/>
                    </w:pPr>
                    <w:r>
                      <w:fldChar w:fldCharType="begin"/>
                    </w:r>
                    <w:r>
                      <w:instrText xml:space="preserve"> PAGE  \* MERGEFORMAT </w:instrText>
                    </w:r>
                    <w:r>
                      <w:fldChar w:fldCharType="separate"/>
                    </w:r>
                    <w:r>
                      <w:t>5</w:t>
                    </w:r>
                    <w:r>
                      <w:fldChar w:fldCharType="end"/>
                    </w:r>
                  </w:p>
                </w:txbxContent>
              </v:textbox>
            </v:shape>
          </w:pict>
        </mc:Fallback>
      </mc:AlternateContent>
    </w:r>
  </w:p>
  <w:p w14:paraId="532DCEA3">
    <w:pPr>
      <w:pStyle w:val="25"/>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6C0DF">
    <w:pPr>
      <w:pStyle w:val="25"/>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965082430"/>
                            <w:docPartObj>
                              <w:docPartGallery w:val="autotext"/>
                            </w:docPartObj>
                          </w:sdtPr>
                          <w:sdtContent>
                            <w:p w14:paraId="0BCD3EBC">
                              <w:pPr>
                                <w:pStyle w:val="25"/>
                                <w:jc w:val="center"/>
                              </w:pPr>
                              <w:r>
                                <w:fldChar w:fldCharType="begin"/>
                              </w:r>
                              <w:r>
                                <w:instrText xml:space="preserve">PAGE   \* MERGEFORMAT</w:instrText>
                              </w:r>
                              <w:r>
                                <w:fldChar w:fldCharType="separate"/>
                              </w:r>
                              <w:r>
                                <w:rPr>
                                  <w:lang w:val="zh-CN"/>
                                </w:rPr>
                                <w:t>2</w:t>
                              </w:r>
                              <w:r>
                                <w:fldChar w:fldCharType="end"/>
                              </w:r>
                            </w:p>
                          </w:sdtContent>
                        </w:sdt>
                        <w:p w14:paraId="2A233F5B">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965082430"/>
                      <w:docPartObj>
                        <w:docPartGallery w:val="autotext"/>
                      </w:docPartObj>
                    </w:sdtPr>
                    <w:sdtContent>
                      <w:p w14:paraId="0BCD3EBC">
                        <w:pPr>
                          <w:pStyle w:val="25"/>
                          <w:jc w:val="center"/>
                        </w:pPr>
                        <w:r>
                          <w:fldChar w:fldCharType="begin"/>
                        </w:r>
                        <w:r>
                          <w:instrText xml:space="preserve">PAGE   \* MERGEFORMAT</w:instrText>
                        </w:r>
                        <w:r>
                          <w:fldChar w:fldCharType="separate"/>
                        </w:r>
                        <w:r>
                          <w:rPr>
                            <w:lang w:val="zh-CN"/>
                          </w:rPr>
                          <w:t>2</w:t>
                        </w:r>
                        <w:r>
                          <w:fldChar w:fldCharType="end"/>
                        </w:r>
                      </w:p>
                    </w:sdtContent>
                  </w:sdt>
                  <w:p w14:paraId="2A233F5B">
                    <w:pPr>
                      <w:pStyle w:val="10"/>
                    </w:pPr>
                  </w:p>
                </w:txbxContent>
              </v:textbox>
            </v:shape>
          </w:pict>
        </mc:Fallback>
      </mc:AlternateContent>
    </w:r>
  </w:p>
  <w:p w14:paraId="122132F0">
    <w:pPr>
      <w:pStyle w:val="25"/>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30706">
    <w:pPr>
      <w:pStyle w:val="25"/>
      <w:tabs>
        <w:tab w:val="clear" w:pos="4153"/>
      </w:tabs>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307340" cy="175260"/>
              <wp:effectExtent l="0" t="0" r="17145" b="1524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307238" cy="175565"/>
                      </a:xfrm>
                      <a:prstGeom prst="rect">
                        <a:avLst/>
                      </a:prstGeom>
                      <a:noFill/>
                      <a:ln>
                        <a:noFill/>
                      </a:ln>
                    </wps:spPr>
                    <wps:txbx>
                      <w:txbxContent>
                        <w:p w14:paraId="7F026E40">
                          <w:pPr>
                            <w:pStyle w:val="2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top:0pt;height:13.8pt;width:24.2pt;mso-position-horizontal:center;mso-position-horizontal-relative:margin;z-index:251662336;mso-width-relative:page;mso-height-relative:page;" filled="f" stroked="f" coordsize="21600,21600" o:gfxdata="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02LOldQAAAADAQAADwAAAAAAAAABACAAAAAi&#10;AAAAZHJzL2Rvd25yZXYueG1sUEsBAhQAFAAAAAgAh07iQEUkb4kOAgAABAQAAA4AAAAAAAAAAQAg&#10;AAAAIwEAAGRycy9lMm9Eb2MueG1sUEsFBgAAAAAGAAYAWQEAAKMFAAAAAA==&#10;">
              <v:fill on="f" focussize="0,0"/>
              <v:stroke on="f"/>
              <v:imagedata o:title=""/>
              <o:lock v:ext="edit" aspectratio="f"/>
              <v:textbox inset="0mm,0mm,0mm,0mm">
                <w:txbxContent>
                  <w:p w14:paraId="7F026E40">
                    <w:pPr>
                      <w:pStyle w:val="25"/>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26207">
    <w:pPr>
      <w:widowControl/>
      <w:shd w:val="clear" w:color="auto" w:fill="FFFFFF"/>
      <w:spacing w:line="560" w:lineRule="exact"/>
      <w:rPr>
        <w:rFonts w:ascii="宋体" w:hAnsi="宋体" w:cs="宋体"/>
        <w:kern w:val="0"/>
        <w:szCs w:val="21"/>
        <w:u w:val="single"/>
      </w:rPr>
    </w:pP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lang w:val="en-US" w:eastAsia="zh-CN"/>
      </w:rPr>
      <w:t xml:space="preserve">        </w:t>
    </w:r>
    <w:r>
      <w:rPr>
        <w:rFonts w:hint="eastAsia" w:ascii="宋体" w:hAnsi="宋体" w:cs="宋体"/>
        <w:kern w:val="0"/>
        <w:szCs w:val="21"/>
        <w:u w:val="single"/>
      </w:rPr>
      <w:t xml:space="preserve">   </w:t>
    </w:r>
    <w:r>
      <w:rPr>
        <w:rFonts w:hint="eastAsia" w:ascii="宋体" w:hAnsi="宋体" w:cs="宋体"/>
        <w:kern w:val="0"/>
        <w:szCs w:val="21"/>
        <w:u w:val="single"/>
        <w:lang w:eastAsia="zh-CN"/>
      </w:rPr>
      <w:t>邹城市千泉街道郭庄社区鸿山村（时枣行村）东山流域综合治理工程</w:t>
    </w:r>
    <w:r>
      <w:rPr>
        <w:rFonts w:hint="eastAsia" w:ascii="宋体" w:hAnsi="宋体" w:cs="宋体"/>
        <w:kern w:val="0"/>
        <w:szCs w:val="21"/>
        <w:u w:val="single"/>
      </w:rPr>
      <w:t xml:space="preserve">竞争性磋商文件 </w:t>
    </w:r>
    <w:r>
      <w:rPr>
        <w:rFonts w:ascii="宋体" w:hAnsi="宋体" w:cs="宋体"/>
        <w:kern w:val="0"/>
        <w:szCs w:val="21"/>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CC498">
    <w:pPr>
      <w:pStyle w:val="26"/>
      <w:jc w:val="left"/>
      <w:rPr>
        <w:b/>
        <w:bCs/>
        <w:sz w:val="15"/>
        <w:szCs w:val="15"/>
      </w:rPr>
    </w:pPr>
    <w:r>
      <w:drawing>
        <wp:anchor distT="0" distB="0" distL="114300" distR="114300" simplePos="0" relativeHeight="251665408" behindDoc="0" locked="0" layoutInCell="1" allowOverlap="1">
          <wp:simplePos x="0" y="0"/>
          <wp:positionH relativeFrom="column">
            <wp:posOffset>5868670</wp:posOffset>
          </wp:positionH>
          <wp:positionV relativeFrom="paragraph">
            <wp:posOffset>-26670</wp:posOffset>
          </wp:positionV>
          <wp:extent cx="249555" cy="203835"/>
          <wp:effectExtent l="0" t="0" r="17145" b="5715"/>
          <wp:wrapNone/>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
                  <a:stretch>
                    <a:fillRect/>
                  </a:stretch>
                </pic:blipFill>
                <pic:spPr>
                  <a:xfrm>
                    <a:off x="0" y="0"/>
                    <a:ext cx="249555" cy="203835"/>
                  </a:xfrm>
                  <a:prstGeom prst="rect">
                    <a:avLst/>
                  </a:prstGeom>
                  <a:noFill/>
                  <a:ln>
                    <a:noFill/>
                  </a:ln>
                </pic:spPr>
              </pic:pic>
            </a:graphicData>
          </a:graphic>
        </wp:anchor>
      </w:drawing>
    </w:r>
    <w:r>
      <w:rPr>
        <w:rFonts w:hint="eastAsia" w:ascii="宋体" w:hAnsi="宋体" w:cs="宋体"/>
        <w:b/>
        <w:bCs/>
        <w:kern w:val="0"/>
        <w:sz w:val="18"/>
        <w:szCs w:val="18"/>
      </w:rPr>
      <w:t xml:space="preserve"> </w:t>
    </w:r>
    <w:r>
      <w:rPr>
        <w:rFonts w:hint="eastAsia" w:ascii="宋体" w:hAnsi="宋体" w:cs="宋体"/>
        <w:b/>
        <w:bCs/>
        <w:kern w:val="0"/>
        <w:sz w:val="18"/>
        <w:szCs w:val="18"/>
        <w:lang w:eastAsia="zh-CN"/>
      </w:rPr>
      <w:t>千泉街道郭庄社区低压线路升级改造工程</w:t>
    </w:r>
    <w:r>
      <w:rPr>
        <w:rFonts w:hint="eastAsia" w:ascii="宋体" w:hAnsi="宋体" w:cs="宋体"/>
        <w:b/>
        <w:bCs/>
        <w:kern w:val="0"/>
        <w:sz w:val="18"/>
        <w:szCs w:val="18"/>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12FC4">
    <w:pPr>
      <w:pStyle w:val="26"/>
      <w:pBdr>
        <w:bottom w:val="single" w:color="auto" w:sz="6" w:space="0"/>
      </w:pBdr>
      <w:wordWrap/>
      <w:jc w:val="left"/>
      <w:rPr>
        <w:rFonts w:hint="default" w:eastAsia="宋体"/>
        <w:sz w:val="21"/>
        <w:szCs w:val="21"/>
        <w:lang w:val="en-US" w:eastAsia="zh-CN"/>
      </w:rPr>
    </w:pPr>
    <w:r>
      <w:rPr>
        <w:rFonts w:hint="eastAsia" w:ascii="宋体" w:hAnsi="宋体" w:cs="宋体"/>
        <w:kern w:val="0"/>
        <w:sz w:val="21"/>
        <w:szCs w:val="21"/>
      </w:rPr>
      <w:t xml:space="preserve">  </w:t>
    </w:r>
    <w:r>
      <w:rPr>
        <w:rFonts w:hint="eastAsia" w:ascii="宋体" w:hAnsi="宋体" w:cs="宋体"/>
        <w:b w:val="0"/>
        <w:bCs w:val="0"/>
        <w:color w:val="auto"/>
        <w:kern w:val="0"/>
        <w:sz w:val="18"/>
        <w:szCs w:val="18"/>
        <w:lang w:eastAsia="zh-CN"/>
      </w:rPr>
      <w:t>千泉街道郭庄社区低压线路升级改造工程</w:t>
    </w:r>
    <w:r>
      <w:rPr>
        <w:rFonts w:hint="eastAsia" w:ascii="宋体" w:hAnsi="宋体" w:cs="宋体"/>
        <w:kern w:val="0"/>
        <w:sz w:val="18"/>
        <w:szCs w:val="18"/>
      </w:rPr>
      <w:t>竞争性磋商文件</w:t>
    </w:r>
    <w:r>
      <w:rPr>
        <w:rFonts w:hint="eastAsia" w:ascii="宋体" w:hAnsi="宋体" w:cs="宋体"/>
        <w:kern w:val="0"/>
        <w:sz w:val="18"/>
        <w:szCs w:val="18"/>
        <w:lang w:val="en-US" w:eastAsia="zh-CN"/>
      </w:rPr>
      <w:t xml:space="preserve">  </w:t>
    </w:r>
  </w:p>
  <w:p w14:paraId="56A7A8B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4FAFE">
    <w:pPr>
      <w:pStyle w:val="26"/>
      <w:jc w:val="both"/>
      <w:rPr>
        <w:sz w:val="15"/>
        <w:szCs w:val="15"/>
      </w:rPr>
    </w:pPr>
    <w:r>
      <w:drawing>
        <wp:anchor distT="0" distB="0" distL="114300" distR="114300" simplePos="0" relativeHeight="251666432" behindDoc="1" locked="0" layoutInCell="1" allowOverlap="1">
          <wp:simplePos x="0" y="0"/>
          <wp:positionH relativeFrom="column">
            <wp:posOffset>5928995</wp:posOffset>
          </wp:positionH>
          <wp:positionV relativeFrom="paragraph">
            <wp:posOffset>41910</wp:posOffset>
          </wp:positionV>
          <wp:extent cx="174625" cy="142240"/>
          <wp:effectExtent l="0" t="0" r="15875" b="10160"/>
          <wp:wrapNone/>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1"/>
                  <a:stretch>
                    <a:fillRect/>
                  </a:stretch>
                </pic:blipFill>
                <pic:spPr>
                  <a:xfrm>
                    <a:off x="0" y="0"/>
                    <a:ext cx="174625" cy="142240"/>
                  </a:xfrm>
                  <a:prstGeom prst="rect">
                    <a:avLst/>
                  </a:prstGeom>
                  <a:noFill/>
                  <a:ln>
                    <a:noFill/>
                  </a:ln>
                </pic:spPr>
              </pic:pic>
            </a:graphicData>
          </a:graphic>
        </wp:anchor>
      </w:drawing>
    </w:r>
    <w:r>
      <w:rPr>
        <w:rFonts w:hint="eastAsia" w:ascii="宋体" w:hAnsi="宋体" w:cs="宋体"/>
        <w:kern w:val="0"/>
        <w:sz w:val="18"/>
        <w:szCs w:val="18"/>
        <w:lang w:eastAsia="zh-CN"/>
      </w:rPr>
      <w:t>千泉街道郭庄社区低压线路升级改造工程</w:t>
    </w:r>
    <w:r>
      <w:rPr>
        <w:rFonts w:hint="eastAsia" w:ascii="宋体" w:hAnsi="宋体" w:cs="宋体"/>
        <w:kern w:val="0"/>
        <w:sz w:val="18"/>
        <w:szCs w:val="18"/>
      </w:rPr>
      <w:t>竞争性磋商文件</w:t>
    </w:r>
  </w:p>
  <w:p w14:paraId="7D95BAB2">
    <w:pPr>
      <w:pStyle w:val="2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7DBB82"/>
    <w:multiLevelType w:val="singleLevel"/>
    <w:tmpl w:val="BC7DBB82"/>
    <w:lvl w:ilvl="0" w:tentative="0">
      <w:start w:val="1"/>
      <w:numFmt w:val="decimal"/>
      <w:suff w:val="nothing"/>
      <w:lvlText w:val="(%1）"/>
      <w:lvlJc w:val="left"/>
    </w:lvl>
  </w:abstractNum>
  <w:abstractNum w:abstractNumId="1">
    <w:nsid w:val="DFEFB766"/>
    <w:multiLevelType w:val="singleLevel"/>
    <w:tmpl w:val="DFEFB766"/>
    <w:lvl w:ilvl="0" w:tentative="0">
      <w:start w:val="1"/>
      <w:numFmt w:val="decimal"/>
      <w:suff w:val="nothing"/>
      <w:lvlText w:val="(%1）"/>
      <w:lvlJc w:val="left"/>
    </w:lvl>
  </w:abstractNum>
  <w:abstractNum w:abstractNumId="2">
    <w:nsid w:val="508D3106"/>
    <w:multiLevelType w:val="singleLevel"/>
    <w:tmpl w:val="508D3106"/>
    <w:lvl w:ilvl="0" w:tentative="0">
      <w:start w:val="1"/>
      <w:numFmt w:val="chineseCounting"/>
      <w:suff w:val="nothing"/>
      <w:lvlText w:val="（%1）"/>
      <w:lvlJc w:val="left"/>
      <w:rPr>
        <w:rFonts w:hint="eastAsia"/>
      </w:rPr>
    </w:lvl>
  </w:abstractNum>
  <w:abstractNum w:abstractNumId="3">
    <w:nsid w:val="78C8C112"/>
    <w:multiLevelType w:val="singleLevel"/>
    <w:tmpl w:val="78C8C112"/>
    <w:lvl w:ilvl="0" w:tentative="0">
      <w:start w:val="1"/>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hideSpellingErrors/>
  <w:documentProtection w:enforcement="0"/>
  <w:defaultTabStop w:val="420"/>
  <w:drawingGridHorizontalSpacing w:val="105"/>
  <w:drawingGridVerticalSpacing w:val="14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3MjhlNjhlY2MxNmVjMWJmZDk1MmNmZGJkMThkYmMifQ=="/>
  </w:docVars>
  <w:rsids>
    <w:rsidRoot w:val="00172A27"/>
    <w:rsid w:val="00001496"/>
    <w:rsid w:val="00002202"/>
    <w:rsid w:val="000115A0"/>
    <w:rsid w:val="000318E3"/>
    <w:rsid w:val="00037EFF"/>
    <w:rsid w:val="00046BAA"/>
    <w:rsid w:val="0005083D"/>
    <w:rsid w:val="00056405"/>
    <w:rsid w:val="00076C95"/>
    <w:rsid w:val="00077705"/>
    <w:rsid w:val="00086DBC"/>
    <w:rsid w:val="00094198"/>
    <w:rsid w:val="000957E0"/>
    <w:rsid w:val="00096D78"/>
    <w:rsid w:val="000A0493"/>
    <w:rsid w:val="000A4748"/>
    <w:rsid w:val="000A66F5"/>
    <w:rsid w:val="000B4096"/>
    <w:rsid w:val="000B6240"/>
    <w:rsid w:val="000B72CD"/>
    <w:rsid w:val="000C4A35"/>
    <w:rsid w:val="000D421A"/>
    <w:rsid w:val="000D4A93"/>
    <w:rsid w:val="000E287A"/>
    <w:rsid w:val="000E59CB"/>
    <w:rsid w:val="000F4BD8"/>
    <w:rsid w:val="000F4EA8"/>
    <w:rsid w:val="00102C9E"/>
    <w:rsid w:val="0010447C"/>
    <w:rsid w:val="001103B0"/>
    <w:rsid w:val="001200AD"/>
    <w:rsid w:val="0012276F"/>
    <w:rsid w:val="00125F99"/>
    <w:rsid w:val="00127A09"/>
    <w:rsid w:val="00127A8B"/>
    <w:rsid w:val="00137047"/>
    <w:rsid w:val="001379C5"/>
    <w:rsid w:val="001403C6"/>
    <w:rsid w:val="001422D7"/>
    <w:rsid w:val="00146229"/>
    <w:rsid w:val="00150466"/>
    <w:rsid w:val="00152DC4"/>
    <w:rsid w:val="00156CDD"/>
    <w:rsid w:val="00161A53"/>
    <w:rsid w:val="00166EFE"/>
    <w:rsid w:val="001674A0"/>
    <w:rsid w:val="00180AC6"/>
    <w:rsid w:val="001868D1"/>
    <w:rsid w:val="001921FC"/>
    <w:rsid w:val="001922D3"/>
    <w:rsid w:val="0019475C"/>
    <w:rsid w:val="001A1A25"/>
    <w:rsid w:val="001A2390"/>
    <w:rsid w:val="001A2C24"/>
    <w:rsid w:val="001A3A7F"/>
    <w:rsid w:val="001A6C04"/>
    <w:rsid w:val="001B087F"/>
    <w:rsid w:val="001B223C"/>
    <w:rsid w:val="001B37CE"/>
    <w:rsid w:val="001B601B"/>
    <w:rsid w:val="001C6B40"/>
    <w:rsid w:val="001C7049"/>
    <w:rsid w:val="001D2296"/>
    <w:rsid w:val="001D288C"/>
    <w:rsid w:val="001D28B6"/>
    <w:rsid w:val="001E53F5"/>
    <w:rsid w:val="001F00A9"/>
    <w:rsid w:val="001F41FD"/>
    <w:rsid w:val="001F4573"/>
    <w:rsid w:val="001F5D51"/>
    <w:rsid w:val="00202B35"/>
    <w:rsid w:val="002071C8"/>
    <w:rsid w:val="00212537"/>
    <w:rsid w:val="0021295B"/>
    <w:rsid w:val="00223499"/>
    <w:rsid w:val="00227874"/>
    <w:rsid w:val="00234B76"/>
    <w:rsid w:val="0023650D"/>
    <w:rsid w:val="002467F2"/>
    <w:rsid w:val="00247D64"/>
    <w:rsid w:val="00261035"/>
    <w:rsid w:val="00266E0D"/>
    <w:rsid w:val="002676CB"/>
    <w:rsid w:val="00280DB9"/>
    <w:rsid w:val="002844EB"/>
    <w:rsid w:val="00291E3F"/>
    <w:rsid w:val="00292E5B"/>
    <w:rsid w:val="002A1A99"/>
    <w:rsid w:val="002A5505"/>
    <w:rsid w:val="002C1772"/>
    <w:rsid w:val="002C45DC"/>
    <w:rsid w:val="002D4314"/>
    <w:rsid w:val="002D44F9"/>
    <w:rsid w:val="002F5543"/>
    <w:rsid w:val="003073C8"/>
    <w:rsid w:val="00322688"/>
    <w:rsid w:val="0032678F"/>
    <w:rsid w:val="00341E59"/>
    <w:rsid w:val="003431F8"/>
    <w:rsid w:val="0034676D"/>
    <w:rsid w:val="003500F5"/>
    <w:rsid w:val="00352B9B"/>
    <w:rsid w:val="0035714C"/>
    <w:rsid w:val="0036789F"/>
    <w:rsid w:val="00375691"/>
    <w:rsid w:val="003768D7"/>
    <w:rsid w:val="00381882"/>
    <w:rsid w:val="0039446C"/>
    <w:rsid w:val="003A0A79"/>
    <w:rsid w:val="003A116E"/>
    <w:rsid w:val="003A2975"/>
    <w:rsid w:val="003B11BE"/>
    <w:rsid w:val="003C0CD9"/>
    <w:rsid w:val="003D2D87"/>
    <w:rsid w:val="003D5B86"/>
    <w:rsid w:val="003D7AC6"/>
    <w:rsid w:val="003E21CB"/>
    <w:rsid w:val="003E342A"/>
    <w:rsid w:val="003E5FE7"/>
    <w:rsid w:val="003F0DD4"/>
    <w:rsid w:val="003F7805"/>
    <w:rsid w:val="00402E0B"/>
    <w:rsid w:val="00403A9C"/>
    <w:rsid w:val="0041186F"/>
    <w:rsid w:val="00411B49"/>
    <w:rsid w:val="004148EE"/>
    <w:rsid w:val="00420FB1"/>
    <w:rsid w:val="0042266C"/>
    <w:rsid w:val="004248E9"/>
    <w:rsid w:val="004264A7"/>
    <w:rsid w:val="0043027A"/>
    <w:rsid w:val="00436049"/>
    <w:rsid w:val="00445316"/>
    <w:rsid w:val="0045280D"/>
    <w:rsid w:val="00464F29"/>
    <w:rsid w:val="00465D3F"/>
    <w:rsid w:val="004854EC"/>
    <w:rsid w:val="00485730"/>
    <w:rsid w:val="00491F53"/>
    <w:rsid w:val="00496B54"/>
    <w:rsid w:val="004A10F7"/>
    <w:rsid w:val="004A5CAF"/>
    <w:rsid w:val="004B141A"/>
    <w:rsid w:val="004B24BC"/>
    <w:rsid w:val="004B6912"/>
    <w:rsid w:val="004C2EF2"/>
    <w:rsid w:val="004C583B"/>
    <w:rsid w:val="004C5A69"/>
    <w:rsid w:val="004D506E"/>
    <w:rsid w:val="004D65E0"/>
    <w:rsid w:val="004E3364"/>
    <w:rsid w:val="004F13B3"/>
    <w:rsid w:val="005238F4"/>
    <w:rsid w:val="00523997"/>
    <w:rsid w:val="00533FAC"/>
    <w:rsid w:val="00541C50"/>
    <w:rsid w:val="0054691F"/>
    <w:rsid w:val="00552CF9"/>
    <w:rsid w:val="005536EB"/>
    <w:rsid w:val="005576E1"/>
    <w:rsid w:val="00560ACA"/>
    <w:rsid w:val="005661EA"/>
    <w:rsid w:val="00570469"/>
    <w:rsid w:val="00581F02"/>
    <w:rsid w:val="005A1F20"/>
    <w:rsid w:val="005A3E22"/>
    <w:rsid w:val="005A67D6"/>
    <w:rsid w:val="005A6E51"/>
    <w:rsid w:val="005B0F5F"/>
    <w:rsid w:val="005B365A"/>
    <w:rsid w:val="005C2E20"/>
    <w:rsid w:val="005C353F"/>
    <w:rsid w:val="005D0DBF"/>
    <w:rsid w:val="005D70CA"/>
    <w:rsid w:val="005D7D87"/>
    <w:rsid w:val="005E25CC"/>
    <w:rsid w:val="005E5091"/>
    <w:rsid w:val="005E6848"/>
    <w:rsid w:val="005E715D"/>
    <w:rsid w:val="00605AE5"/>
    <w:rsid w:val="00614D3D"/>
    <w:rsid w:val="00622BCE"/>
    <w:rsid w:val="00623E5D"/>
    <w:rsid w:val="0063096E"/>
    <w:rsid w:val="00631810"/>
    <w:rsid w:val="0063568E"/>
    <w:rsid w:val="006432B9"/>
    <w:rsid w:val="00645AB0"/>
    <w:rsid w:val="0065350F"/>
    <w:rsid w:val="00654A2E"/>
    <w:rsid w:val="006579D3"/>
    <w:rsid w:val="00661709"/>
    <w:rsid w:val="00665823"/>
    <w:rsid w:val="00671294"/>
    <w:rsid w:val="00671389"/>
    <w:rsid w:val="006816EF"/>
    <w:rsid w:val="00682554"/>
    <w:rsid w:val="00694378"/>
    <w:rsid w:val="006B2B82"/>
    <w:rsid w:val="006B71B5"/>
    <w:rsid w:val="006C0E23"/>
    <w:rsid w:val="006C3367"/>
    <w:rsid w:val="006D13FA"/>
    <w:rsid w:val="006D3E8B"/>
    <w:rsid w:val="006D6394"/>
    <w:rsid w:val="006E5768"/>
    <w:rsid w:val="006E5CF9"/>
    <w:rsid w:val="006E7085"/>
    <w:rsid w:val="006F4945"/>
    <w:rsid w:val="007076D8"/>
    <w:rsid w:val="0071127A"/>
    <w:rsid w:val="00712613"/>
    <w:rsid w:val="0072186E"/>
    <w:rsid w:val="007229A7"/>
    <w:rsid w:val="00727DAF"/>
    <w:rsid w:val="007344A7"/>
    <w:rsid w:val="007345A8"/>
    <w:rsid w:val="007510B9"/>
    <w:rsid w:val="00752056"/>
    <w:rsid w:val="00755DB1"/>
    <w:rsid w:val="007630B2"/>
    <w:rsid w:val="00763E20"/>
    <w:rsid w:val="007752C3"/>
    <w:rsid w:val="0077787E"/>
    <w:rsid w:val="007819EE"/>
    <w:rsid w:val="0078201D"/>
    <w:rsid w:val="007840BF"/>
    <w:rsid w:val="007A594A"/>
    <w:rsid w:val="007A5B45"/>
    <w:rsid w:val="007A76D6"/>
    <w:rsid w:val="007B2DB6"/>
    <w:rsid w:val="007B383B"/>
    <w:rsid w:val="007B42FA"/>
    <w:rsid w:val="007B53FB"/>
    <w:rsid w:val="007C12AE"/>
    <w:rsid w:val="007C6C98"/>
    <w:rsid w:val="007D276E"/>
    <w:rsid w:val="007D2C16"/>
    <w:rsid w:val="007D4242"/>
    <w:rsid w:val="007E34F1"/>
    <w:rsid w:val="007E682D"/>
    <w:rsid w:val="007E77D8"/>
    <w:rsid w:val="007F361D"/>
    <w:rsid w:val="007F6C0D"/>
    <w:rsid w:val="007F7097"/>
    <w:rsid w:val="00804024"/>
    <w:rsid w:val="008176F2"/>
    <w:rsid w:val="008351B3"/>
    <w:rsid w:val="00840CB4"/>
    <w:rsid w:val="00845364"/>
    <w:rsid w:val="00855919"/>
    <w:rsid w:val="0085595A"/>
    <w:rsid w:val="00856B4A"/>
    <w:rsid w:val="0086572C"/>
    <w:rsid w:val="00865F8B"/>
    <w:rsid w:val="00883FC7"/>
    <w:rsid w:val="00884566"/>
    <w:rsid w:val="00886AD3"/>
    <w:rsid w:val="008945F8"/>
    <w:rsid w:val="00895872"/>
    <w:rsid w:val="00896238"/>
    <w:rsid w:val="008972FC"/>
    <w:rsid w:val="008A41D1"/>
    <w:rsid w:val="008A6261"/>
    <w:rsid w:val="008A7321"/>
    <w:rsid w:val="008B673C"/>
    <w:rsid w:val="008C20FA"/>
    <w:rsid w:val="008C416E"/>
    <w:rsid w:val="008C6846"/>
    <w:rsid w:val="008C73F7"/>
    <w:rsid w:val="008C7863"/>
    <w:rsid w:val="008D6ABB"/>
    <w:rsid w:val="008F03E6"/>
    <w:rsid w:val="008F23C6"/>
    <w:rsid w:val="008F7B57"/>
    <w:rsid w:val="009075D9"/>
    <w:rsid w:val="00907DBD"/>
    <w:rsid w:val="0092066D"/>
    <w:rsid w:val="009235C1"/>
    <w:rsid w:val="00923EA2"/>
    <w:rsid w:val="00924214"/>
    <w:rsid w:val="00924F3C"/>
    <w:rsid w:val="00927B94"/>
    <w:rsid w:val="00930778"/>
    <w:rsid w:val="0093214C"/>
    <w:rsid w:val="009336C1"/>
    <w:rsid w:val="0093461D"/>
    <w:rsid w:val="00940625"/>
    <w:rsid w:val="00946A1B"/>
    <w:rsid w:val="00951FCE"/>
    <w:rsid w:val="00974E03"/>
    <w:rsid w:val="00976C96"/>
    <w:rsid w:val="00980CB3"/>
    <w:rsid w:val="00995143"/>
    <w:rsid w:val="0099772E"/>
    <w:rsid w:val="00997999"/>
    <w:rsid w:val="009A0425"/>
    <w:rsid w:val="009A246D"/>
    <w:rsid w:val="009A5EA3"/>
    <w:rsid w:val="009A7977"/>
    <w:rsid w:val="009B2EFE"/>
    <w:rsid w:val="009B6EEA"/>
    <w:rsid w:val="009C1109"/>
    <w:rsid w:val="009C2860"/>
    <w:rsid w:val="009C79C1"/>
    <w:rsid w:val="009D35CB"/>
    <w:rsid w:val="009D447C"/>
    <w:rsid w:val="009E00CD"/>
    <w:rsid w:val="009E183A"/>
    <w:rsid w:val="009E6499"/>
    <w:rsid w:val="009E71CA"/>
    <w:rsid w:val="009F0EC9"/>
    <w:rsid w:val="009F2287"/>
    <w:rsid w:val="009F4DCA"/>
    <w:rsid w:val="00A028E3"/>
    <w:rsid w:val="00A162C8"/>
    <w:rsid w:val="00A17D7A"/>
    <w:rsid w:val="00A2387D"/>
    <w:rsid w:val="00A357A8"/>
    <w:rsid w:val="00A36A8A"/>
    <w:rsid w:val="00A41166"/>
    <w:rsid w:val="00A44647"/>
    <w:rsid w:val="00A500F6"/>
    <w:rsid w:val="00A510D3"/>
    <w:rsid w:val="00A524A9"/>
    <w:rsid w:val="00A54809"/>
    <w:rsid w:val="00A635DF"/>
    <w:rsid w:val="00A8373E"/>
    <w:rsid w:val="00A86AB9"/>
    <w:rsid w:val="00A8748B"/>
    <w:rsid w:val="00A91B21"/>
    <w:rsid w:val="00A9227C"/>
    <w:rsid w:val="00AB1A50"/>
    <w:rsid w:val="00AB250A"/>
    <w:rsid w:val="00AC685F"/>
    <w:rsid w:val="00AC711F"/>
    <w:rsid w:val="00AD525C"/>
    <w:rsid w:val="00AD53E2"/>
    <w:rsid w:val="00AE50A4"/>
    <w:rsid w:val="00AE775E"/>
    <w:rsid w:val="00AF64A0"/>
    <w:rsid w:val="00AF68D4"/>
    <w:rsid w:val="00B059F8"/>
    <w:rsid w:val="00B072EE"/>
    <w:rsid w:val="00B07CEF"/>
    <w:rsid w:val="00B169AF"/>
    <w:rsid w:val="00B2117D"/>
    <w:rsid w:val="00B40D05"/>
    <w:rsid w:val="00B43E8C"/>
    <w:rsid w:val="00B47721"/>
    <w:rsid w:val="00B47ED5"/>
    <w:rsid w:val="00B56522"/>
    <w:rsid w:val="00B669E6"/>
    <w:rsid w:val="00B671BA"/>
    <w:rsid w:val="00B70F63"/>
    <w:rsid w:val="00B70FE1"/>
    <w:rsid w:val="00B76409"/>
    <w:rsid w:val="00B90876"/>
    <w:rsid w:val="00B972E0"/>
    <w:rsid w:val="00BA2384"/>
    <w:rsid w:val="00BB009D"/>
    <w:rsid w:val="00BB1C18"/>
    <w:rsid w:val="00BB2C7D"/>
    <w:rsid w:val="00BB5B4D"/>
    <w:rsid w:val="00BB7E1A"/>
    <w:rsid w:val="00BC1A32"/>
    <w:rsid w:val="00BC4F5C"/>
    <w:rsid w:val="00BC6C0B"/>
    <w:rsid w:val="00BD45D1"/>
    <w:rsid w:val="00BE25D2"/>
    <w:rsid w:val="00BE31A8"/>
    <w:rsid w:val="00BE4DF5"/>
    <w:rsid w:val="00BF30D0"/>
    <w:rsid w:val="00BF5789"/>
    <w:rsid w:val="00BF5EA6"/>
    <w:rsid w:val="00C003A2"/>
    <w:rsid w:val="00C06F61"/>
    <w:rsid w:val="00C10950"/>
    <w:rsid w:val="00C140BA"/>
    <w:rsid w:val="00C20372"/>
    <w:rsid w:val="00C228F7"/>
    <w:rsid w:val="00C311DC"/>
    <w:rsid w:val="00C43E5C"/>
    <w:rsid w:val="00C55973"/>
    <w:rsid w:val="00C71325"/>
    <w:rsid w:val="00C86E37"/>
    <w:rsid w:val="00CA7F0A"/>
    <w:rsid w:val="00CB3F17"/>
    <w:rsid w:val="00CB4AF3"/>
    <w:rsid w:val="00CD2DC5"/>
    <w:rsid w:val="00CE000E"/>
    <w:rsid w:val="00CE30A9"/>
    <w:rsid w:val="00CE524C"/>
    <w:rsid w:val="00CF6E88"/>
    <w:rsid w:val="00D057D6"/>
    <w:rsid w:val="00D05D78"/>
    <w:rsid w:val="00D076DF"/>
    <w:rsid w:val="00D12C38"/>
    <w:rsid w:val="00D133A7"/>
    <w:rsid w:val="00D13B11"/>
    <w:rsid w:val="00D208B5"/>
    <w:rsid w:val="00D217A2"/>
    <w:rsid w:val="00D245A3"/>
    <w:rsid w:val="00D26633"/>
    <w:rsid w:val="00D33847"/>
    <w:rsid w:val="00D33D1F"/>
    <w:rsid w:val="00D363C2"/>
    <w:rsid w:val="00D37032"/>
    <w:rsid w:val="00D43621"/>
    <w:rsid w:val="00D465A1"/>
    <w:rsid w:val="00D47E11"/>
    <w:rsid w:val="00D50500"/>
    <w:rsid w:val="00D5125D"/>
    <w:rsid w:val="00D5429F"/>
    <w:rsid w:val="00D54F74"/>
    <w:rsid w:val="00D5594F"/>
    <w:rsid w:val="00D62D20"/>
    <w:rsid w:val="00D6340E"/>
    <w:rsid w:val="00D7685B"/>
    <w:rsid w:val="00D76CE2"/>
    <w:rsid w:val="00D776FF"/>
    <w:rsid w:val="00D77970"/>
    <w:rsid w:val="00D84073"/>
    <w:rsid w:val="00D87364"/>
    <w:rsid w:val="00D90907"/>
    <w:rsid w:val="00D92C70"/>
    <w:rsid w:val="00D96D1F"/>
    <w:rsid w:val="00DA30CA"/>
    <w:rsid w:val="00DA4B86"/>
    <w:rsid w:val="00DA7A65"/>
    <w:rsid w:val="00DB0358"/>
    <w:rsid w:val="00DC2E1F"/>
    <w:rsid w:val="00DC4EF5"/>
    <w:rsid w:val="00DD054C"/>
    <w:rsid w:val="00DD24D9"/>
    <w:rsid w:val="00DE412E"/>
    <w:rsid w:val="00E0060C"/>
    <w:rsid w:val="00E10D99"/>
    <w:rsid w:val="00E141A5"/>
    <w:rsid w:val="00E175C6"/>
    <w:rsid w:val="00E22163"/>
    <w:rsid w:val="00E225A6"/>
    <w:rsid w:val="00E244D7"/>
    <w:rsid w:val="00E30288"/>
    <w:rsid w:val="00E3571C"/>
    <w:rsid w:val="00E425BB"/>
    <w:rsid w:val="00E65A0F"/>
    <w:rsid w:val="00E82A3A"/>
    <w:rsid w:val="00E87829"/>
    <w:rsid w:val="00E91484"/>
    <w:rsid w:val="00EA302E"/>
    <w:rsid w:val="00EB40F8"/>
    <w:rsid w:val="00EB6132"/>
    <w:rsid w:val="00EC0852"/>
    <w:rsid w:val="00EC2DA4"/>
    <w:rsid w:val="00EC7EAB"/>
    <w:rsid w:val="00ED6E97"/>
    <w:rsid w:val="00EE08AC"/>
    <w:rsid w:val="00EE27B4"/>
    <w:rsid w:val="00EE2B26"/>
    <w:rsid w:val="00EE2C79"/>
    <w:rsid w:val="00EE4EFB"/>
    <w:rsid w:val="00EE6D09"/>
    <w:rsid w:val="00EF1280"/>
    <w:rsid w:val="00EF1CCA"/>
    <w:rsid w:val="00EF1D7E"/>
    <w:rsid w:val="00EF406B"/>
    <w:rsid w:val="00F07819"/>
    <w:rsid w:val="00F13435"/>
    <w:rsid w:val="00F36A3C"/>
    <w:rsid w:val="00F42D41"/>
    <w:rsid w:val="00F466F4"/>
    <w:rsid w:val="00F46B8D"/>
    <w:rsid w:val="00F47561"/>
    <w:rsid w:val="00F54060"/>
    <w:rsid w:val="00F61DD1"/>
    <w:rsid w:val="00F639F2"/>
    <w:rsid w:val="00F73D2A"/>
    <w:rsid w:val="00F76DC2"/>
    <w:rsid w:val="00F77AC3"/>
    <w:rsid w:val="00F8148A"/>
    <w:rsid w:val="00F82DAA"/>
    <w:rsid w:val="00F85A01"/>
    <w:rsid w:val="00F85CBB"/>
    <w:rsid w:val="00F878BF"/>
    <w:rsid w:val="00F941F4"/>
    <w:rsid w:val="00FA15E8"/>
    <w:rsid w:val="00FA19EA"/>
    <w:rsid w:val="00FC6D18"/>
    <w:rsid w:val="00FD0164"/>
    <w:rsid w:val="00FD11B0"/>
    <w:rsid w:val="00FE3A4D"/>
    <w:rsid w:val="00FF6CDC"/>
    <w:rsid w:val="019E15FA"/>
    <w:rsid w:val="01C04E49"/>
    <w:rsid w:val="01C56903"/>
    <w:rsid w:val="01E5130F"/>
    <w:rsid w:val="022E6ED6"/>
    <w:rsid w:val="024418C5"/>
    <w:rsid w:val="029F53A6"/>
    <w:rsid w:val="02D011EF"/>
    <w:rsid w:val="03333D73"/>
    <w:rsid w:val="034A70C0"/>
    <w:rsid w:val="03567E64"/>
    <w:rsid w:val="039558ED"/>
    <w:rsid w:val="03D81A60"/>
    <w:rsid w:val="03D8291E"/>
    <w:rsid w:val="03F82FC0"/>
    <w:rsid w:val="03F84D6E"/>
    <w:rsid w:val="040A2CF3"/>
    <w:rsid w:val="042B7EE6"/>
    <w:rsid w:val="04605389"/>
    <w:rsid w:val="04763EE5"/>
    <w:rsid w:val="04B055CA"/>
    <w:rsid w:val="04E84D70"/>
    <w:rsid w:val="04FE1B34"/>
    <w:rsid w:val="0530678A"/>
    <w:rsid w:val="056800F4"/>
    <w:rsid w:val="057559BC"/>
    <w:rsid w:val="0599432F"/>
    <w:rsid w:val="060A7835"/>
    <w:rsid w:val="061061E5"/>
    <w:rsid w:val="064847BE"/>
    <w:rsid w:val="065937C6"/>
    <w:rsid w:val="068F04F2"/>
    <w:rsid w:val="07024983"/>
    <w:rsid w:val="076D1F31"/>
    <w:rsid w:val="079F3753"/>
    <w:rsid w:val="082A74C0"/>
    <w:rsid w:val="083C60EB"/>
    <w:rsid w:val="085602B5"/>
    <w:rsid w:val="08707E74"/>
    <w:rsid w:val="09276FF5"/>
    <w:rsid w:val="099E1F14"/>
    <w:rsid w:val="0AA664EF"/>
    <w:rsid w:val="0AAE262A"/>
    <w:rsid w:val="0B385C30"/>
    <w:rsid w:val="0B612FC8"/>
    <w:rsid w:val="0BE935F9"/>
    <w:rsid w:val="0C24351A"/>
    <w:rsid w:val="0C5F1A85"/>
    <w:rsid w:val="0C6076EF"/>
    <w:rsid w:val="0C665AC7"/>
    <w:rsid w:val="0C727ABA"/>
    <w:rsid w:val="0C88710A"/>
    <w:rsid w:val="0CBE28CD"/>
    <w:rsid w:val="0CD10361"/>
    <w:rsid w:val="0CD30126"/>
    <w:rsid w:val="0CD63DCD"/>
    <w:rsid w:val="0D29380C"/>
    <w:rsid w:val="0D52243E"/>
    <w:rsid w:val="0D5501D9"/>
    <w:rsid w:val="0DCC686B"/>
    <w:rsid w:val="0DDA0A0F"/>
    <w:rsid w:val="0DDE3227"/>
    <w:rsid w:val="0E172295"/>
    <w:rsid w:val="0E530B10"/>
    <w:rsid w:val="0E635A20"/>
    <w:rsid w:val="0EE10C23"/>
    <w:rsid w:val="0F122CCC"/>
    <w:rsid w:val="0F256C33"/>
    <w:rsid w:val="0F647518"/>
    <w:rsid w:val="0F856841"/>
    <w:rsid w:val="0FE5157E"/>
    <w:rsid w:val="10054FA8"/>
    <w:rsid w:val="102E38C6"/>
    <w:rsid w:val="10865ABA"/>
    <w:rsid w:val="10AC68EA"/>
    <w:rsid w:val="10C304B2"/>
    <w:rsid w:val="10E802AE"/>
    <w:rsid w:val="11204641"/>
    <w:rsid w:val="112A6783"/>
    <w:rsid w:val="11A357F2"/>
    <w:rsid w:val="11AC7198"/>
    <w:rsid w:val="124F64A1"/>
    <w:rsid w:val="12580C2B"/>
    <w:rsid w:val="125910CE"/>
    <w:rsid w:val="126D6927"/>
    <w:rsid w:val="12971B2C"/>
    <w:rsid w:val="12A367ED"/>
    <w:rsid w:val="12D22707"/>
    <w:rsid w:val="12F40DC0"/>
    <w:rsid w:val="1301085A"/>
    <w:rsid w:val="13036299"/>
    <w:rsid w:val="134F18E7"/>
    <w:rsid w:val="136046DE"/>
    <w:rsid w:val="136D7BB8"/>
    <w:rsid w:val="13A84EB1"/>
    <w:rsid w:val="13B04414"/>
    <w:rsid w:val="13BA0A3C"/>
    <w:rsid w:val="143B5416"/>
    <w:rsid w:val="14493297"/>
    <w:rsid w:val="14562094"/>
    <w:rsid w:val="14825BBF"/>
    <w:rsid w:val="14BD6CF8"/>
    <w:rsid w:val="14CA068E"/>
    <w:rsid w:val="14D346B7"/>
    <w:rsid w:val="14E10453"/>
    <w:rsid w:val="1509626B"/>
    <w:rsid w:val="150F3CC6"/>
    <w:rsid w:val="151D729A"/>
    <w:rsid w:val="152D05F0"/>
    <w:rsid w:val="152D61E3"/>
    <w:rsid w:val="158D3597"/>
    <w:rsid w:val="159B7C4F"/>
    <w:rsid w:val="15D96741"/>
    <w:rsid w:val="15F31839"/>
    <w:rsid w:val="165243E1"/>
    <w:rsid w:val="1666200B"/>
    <w:rsid w:val="16D25540"/>
    <w:rsid w:val="16F2389F"/>
    <w:rsid w:val="17525EE6"/>
    <w:rsid w:val="17A50911"/>
    <w:rsid w:val="17A728DB"/>
    <w:rsid w:val="17AC1CA0"/>
    <w:rsid w:val="17AF79E2"/>
    <w:rsid w:val="17BF5E77"/>
    <w:rsid w:val="180050FE"/>
    <w:rsid w:val="18F0565A"/>
    <w:rsid w:val="18F16CB3"/>
    <w:rsid w:val="18FB47B8"/>
    <w:rsid w:val="191504FB"/>
    <w:rsid w:val="195919B3"/>
    <w:rsid w:val="19765977"/>
    <w:rsid w:val="1A07652D"/>
    <w:rsid w:val="1A0B293A"/>
    <w:rsid w:val="1A200269"/>
    <w:rsid w:val="1A5F2610"/>
    <w:rsid w:val="1A813044"/>
    <w:rsid w:val="1AB07CF9"/>
    <w:rsid w:val="1AD17A45"/>
    <w:rsid w:val="1B332CB8"/>
    <w:rsid w:val="1B4B27A6"/>
    <w:rsid w:val="1B5340FA"/>
    <w:rsid w:val="1B593EEC"/>
    <w:rsid w:val="1B8236BA"/>
    <w:rsid w:val="1BBE01F3"/>
    <w:rsid w:val="1BC2301B"/>
    <w:rsid w:val="1C0B633F"/>
    <w:rsid w:val="1C2E5379"/>
    <w:rsid w:val="1C750501"/>
    <w:rsid w:val="1C924681"/>
    <w:rsid w:val="1CB84297"/>
    <w:rsid w:val="1CCE593E"/>
    <w:rsid w:val="1D183933"/>
    <w:rsid w:val="1D271DC8"/>
    <w:rsid w:val="1D290F49"/>
    <w:rsid w:val="1D2A2E3E"/>
    <w:rsid w:val="1DE2466D"/>
    <w:rsid w:val="1E430E84"/>
    <w:rsid w:val="1E737A66"/>
    <w:rsid w:val="1EEC5078"/>
    <w:rsid w:val="1F1076B4"/>
    <w:rsid w:val="1F3D35AB"/>
    <w:rsid w:val="1F3E3BDF"/>
    <w:rsid w:val="1F48203A"/>
    <w:rsid w:val="1F883474"/>
    <w:rsid w:val="1FA21CAE"/>
    <w:rsid w:val="1FAD782F"/>
    <w:rsid w:val="1FE62B6D"/>
    <w:rsid w:val="202109D2"/>
    <w:rsid w:val="204C132C"/>
    <w:rsid w:val="2068152D"/>
    <w:rsid w:val="20820AF5"/>
    <w:rsid w:val="209239FD"/>
    <w:rsid w:val="209C689A"/>
    <w:rsid w:val="21093654"/>
    <w:rsid w:val="21B376AD"/>
    <w:rsid w:val="229879F0"/>
    <w:rsid w:val="22C03E97"/>
    <w:rsid w:val="22CF718A"/>
    <w:rsid w:val="231D4366"/>
    <w:rsid w:val="231E09D8"/>
    <w:rsid w:val="232264E9"/>
    <w:rsid w:val="232748D0"/>
    <w:rsid w:val="23553414"/>
    <w:rsid w:val="239D608F"/>
    <w:rsid w:val="23A67EEB"/>
    <w:rsid w:val="23BE3486"/>
    <w:rsid w:val="2471332E"/>
    <w:rsid w:val="24BC2045"/>
    <w:rsid w:val="24C474C9"/>
    <w:rsid w:val="24CE38C9"/>
    <w:rsid w:val="24E33BFF"/>
    <w:rsid w:val="25355402"/>
    <w:rsid w:val="256C2A6E"/>
    <w:rsid w:val="25A22934"/>
    <w:rsid w:val="25D9247A"/>
    <w:rsid w:val="26451DBB"/>
    <w:rsid w:val="26C568DA"/>
    <w:rsid w:val="26D24163"/>
    <w:rsid w:val="26D5059B"/>
    <w:rsid w:val="26D818A9"/>
    <w:rsid w:val="273D0B66"/>
    <w:rsid w:val="27461ED6"/>
    <w:rsid w:val="27791B20"/>
    <w:rsid w:val="279B2A28"/>
    <w:rsid w:val="28441A80"/>
    <w:rsid w:val="28E8466A"/>
    <w:rsid w:val="290C5E08"/>
    <w:rsid w:val="29945D79"/>
    <w:rsid w:val="29997CC5"/>
    <w:rsid w:val="29AC7A30"/>
    <w:rsid w:val="29C130D3"/>
    <w:rsid w:val="2A080115"/>
    <w:rsid w:val="2A4A3830"/>
    <w:rsid w:val="2A5306A1"/>
    <w:rsid w:val="2A6C1915"/>
    <w:rsid w:val="2A762340"/>
    <w:rsid w:val="2A810E15"/>
    <w:rsid w:val="2A986A3E"/>
    <w:rsid w:val="2AC86999"/>
    <w:rsid w:val="2B4F2E3B"/>
    <w:rsid w:val="2B7B0043"/>
    <w:rsid w:val="2BDF043E"/>
    <w:rsid w:val="2BEE242F"/>
    <w:rsid w:val="2C040291"/>
    <w:rsid w:val="2C191F5E"/>
    <w:rsid w:val="2C26606D"/>
    <w:rsid w:val="2C3B686F"/>
    <w:rsid w:val="2C673F8F"/>
    <w:rsid w:val="2C6B7F24"/>
    <w:rsid w:val="2C8B1087"/>
    <w:rsid w:val="2CD47877"/>
    <w:rsid w:val="2CDE24A4"/>
    <w:rsid w:val="2CF73565"/>
    <w:rsid w:val="2D26209C"/>
    <w:rsid w:val="2DB96D8B"/>
    <w:rsid w:val="2DCA5DCE"/>
    <w:rsid w:val="2DE7182C"/>
    <w:rsid w:val="2E032D5E"/>
    <w:rsid w:val="2E104B78"/>
    <w:rsid w:val="2E177139"/>
    <w:rsid w:val="2E461810"/>
    <w:rsid w:val="2EC102CF"/>
    <w:rsid w:val="2EFA4B83"/>
    <w:rsid w:val="2F44231D"/>
    <w:rsid w:val="2F921775"/>
    <w:rsid w:val="2FA33530"/>
    <w:rsid w:val="300B1B55"/>
    <w:rsid w:val="300C27FE"/>
    <w:rsid w:val="30455EAC"/>
    <w:rsid w:val="31244B45"/>
    <w:rsid w:val="31344570"/>
    <w:rsid w:val="313A6116"/>
    <w:rsid w:val="31BC6B2B"/>
    <w:rsid w:val="321112EA"/>
    <w:rsid w:val="32747D62"/>
    <w:rsid w:val="32AC3044"/>
    <w:rsid w:val="32B06230"/>
    <w:rsid w:val="32F04CDF"/>
    <w:rsid w:val="32FB3683"/>
    <w:rsid w:val="331B50EC"/>
    <w:rsid w:val="3344327C"/>
    <w:rsid w:val="33CC3F9D"/>
    <w:rsid w:val="33E721A0"/>
    <w:rsid w:val="34220587"/>
    <w:rsid w:val="344A2B14"/>
    <w:rsid w:val="34613D0A"/>
    <w:rsid w:val="34B234AB"/>
    <w:rsid w:val="34BA1A48"/>
    <w:rsid w:val="34EB7E53"/>
    <w:rsid w:val="34F4322C"/>
    <w:rsid w:val="350606FD"/>
    <w:rsid w:val="3511416E"/>
    <w:rsid w:val="352D74C7"/>
    <w:rsid w:val="35966E67"/>
    <w:rsid w:val="35C93186"/>
    <w:rsid w:val="3606477F"/>
    <w:rsid w:val="3663145F"/>
    <w:rsid w:val="370E7E29"/>
    <w:rsid w:val="375B3D1D"/>
    <w:rsid w:val="37675A01"/>
    <w:rsid w:val="37DB37D6"/>
    <w:rsid w:val="382A2DCE"/>
    <w:rsid w:val="384D672F"/>
    <w:rsid w:val="38537B36"/>
    <w:rsid w:val="38650971"/>
    <w:rsid w:val="39496958"/>
    <w:rsid w:val="397F500E"/>
    <w:rsid w:val="398919E9"/>
    <w:rsid w:val="39BE5599"/>
    <w:rsid w:val="3A146373"/>
    <w:rsid w:val="3A6C0780"/>
    <w:rsid w:val="3A92742B"/>
    <w:rsid w:val="3A953785"/>
    <w:rsid w:val="3AE12C2D"/>
    <w:rsid w:val="3AF37A62"/>
    <w:rsid w:val="3B061570"/>
    <w:rsid w:val="3B295232"/>
    <w:rsid w:val="3B410038"/>
    <w:rsid w:val="3B4B5394"/>
    <w:rsid w:val="3B7F4DD8"/>
    <w:rsid w:val="3B914B86"/>
    <w:rsid w:val="3BA27ACD"/>
    <w:rsid w:val="3BA27F3E"/>
    <w:rsid w:val="3C324A97"/>
    <w:rsid w:val="3C4271A8"/>
    <w:rsid w:val="3C5D383C"/>
    <w:rsid w:val="3C5D3E50"/>
    <w:rsid w:val="3C9D5BCB"/>
    <w:rsid w:val="3CDD2778"/>
    <w:rsid w:val="3D015D3A"/>
    <w:rsid w:val="3D052D66"/>
    <w:rsid w:val="3D207DC0"/>
    <w:rsid w:val="3D8C5F4C"/>
    <w:rsid w:val="3DA83EFA"/>
    <w:rsid w:val="3DEA239A"/>
    <w:rsid w:val="3E616E13"/>
    <w:rsid w:val="3EB5661C"/>
    <w:rsid w:val="3EC87EDC"/>
    <w:rsid w:val="3EEC6A1B"/>
    <w:rsid w:val="3F040E29"/>
    <w:rsid w:val="3F1433ED"/>
    <w:rsid w:val="3F2A5A1C"/>
    <w:rsid w:val="3F702F92"/>
    <w:rsid w:val="3F980062"/>
    <w:rsid w:val="3F9C49E9"/>
    <w:rsid w:val="3FB94B3D"/>
    <w:rsid w:val="3FD54206"/>
    <w:rsid w:val="3FD72405"/>
    <w:rsid w:val="40B70141"/>
    <w:rsid w:val="41656898"/>
    <w:rsid w:val="41FB6721"/>
    <w:rsid w:val="42DE4A51"/>
    <w:rsid w:val="4332119D"/>
    <w:rsid w:val="434864E2"/>
    <w:rsid w:val="438B2456"/>
    <w:rsid w:val="439873F8"/>
    <w:rsid w:val="43994D9C"/>
    <w:rsid w:val="43D56439"/>
    <w:rsid w:val="43F26D23"/>
    <w:rsid w:val="4436276D"/>
    <w:rsid w:val="443D7EE2"/>
    <w:rsid w:val="44676DCB"/>
    <w:rsid w:val="446E7B78"/>
    <w:rsid w:val="4471488C"/>
    <w:rsid w:val="449D27EC"/>
    <w:rsid w:val="44D22496"/>
    <w:rsid w:val="44DF4BB3"/>
    <w:rsid w:val="451B7A9E"/>
    <w:rsid w:val="45410E18"/>
    <w:rsid w:val="45BC6EF2"/>
    <w:rsid w:val="45DF7DD0"/>
    <w:rsid w:val="4626062E"/>
    <w:rsid w:val="472509C6"/>
    <w:rsid w:val="472D7A17"/>
    <w:rsid w:val="474A4216"/>
    <w:rsid w:val="478B1E23"/>
    <w:rsid w:val="480F1C53"/>
    <w:rsid w:val="481855B1"/>
    <w:rsid w:val="481A3696"/>
    <w:rsid w:val="4922622C"/>
    <w:rsid w:val="496C529A"/>
    <w:rsid w:val="49BC6688"/>
    <w:rsid w:val="4A2D5CBA"/>
    <w:rsid w:val="4A727F0E"/>
    <w:rsid w:val="4A851654"/>
    <w:rsid w:val="4AAB79E7"/>
    <w:rsid w:val="4AD20BCB"/>
    <w:rsid w:val="4AF51685"/>
    <w:rsid w:val="4AF616DD"/>
    <w:rsid w:val="4B470965"/>
    <w:rsid w:val="4B550211"/>
    <w:rsid w:val="4B637C0F"/>
    <w:rsid w:val="4B70165E"/>
    <w:rsid w:val="4B860BDD"/>
    <w:rsid w:val="4C34144D"/>
    <w:rsid w:val="4C676045"/>
    <w:rsid w:val="4CD2389B"/>
    <w:rsid w:val="4CD52B3A"/>
    <w:rsid w:val="4CEE3060"/>
    <w:rsid w:val="4CFE492A"/>
    <w:rsid w:val="4D425ABB"/>
    <w:rsid w:val="4D9B070C"/>
    <w:rsid w:val="4DC60A73"/>
    <w:rsid w:val="4DD77BBE"/>
    <w:rsid w:val="4DE11B7D"/>
    <w:rsid w:val="4E3F065B"/>
    <w:rsid w:val="4ECA7876"/>
    <w:rsid w:val="4EDE26B2"/>
    <w:rsid w:val="4F846A83"/>
    <w:rsid w:val="4FAE3B00"/>
    <w:rsid w:val="4FBC5295"/>
    <w:rsid w:val="4FFA40C6"/>
    <w:rsid w:val="500C47D7"/>
    <w:rsid w:val="504137C0"/>
    <w:rsid w:val="508E75C7"/>
    <w:rsid w:val="50EB7742"/>
    <w:rsid w:val="50EF2622"/>
    <w:rsid w:val="512C73D2"/>
    <w:rsid w:val="51792F7D"/>
    <w:rsid w:val="518615D6"/>
    <w:rsid w:val="51C97887"/>
    <w:rsid w:val="51D51447"/>
    <w:rsid w:val="51F0603B"/>
    <w:rsid w:val="521E1871"/>
    <w:rsid w:val="5272350A"/>
    <w:rsid w:val="528A2602"/>
    <w:rsid w:val="52DE64AA"/>
    <w:rsid w:val="52EC3766"/>
    <w:rsid w:val="53171F82"/>
    <w:rsid w:val="53422DC2"/>
    <w:rsid w:val="53BE0110"/>
    <w:rsid w:val="54266B0F"/>
    <w:rsid w:val="545743A8"/>
    <w:rsid w:val="54723DFE"/>
    <w:rsid w:val="5482715A"/>
    <w:rsid w:val="54A37EEE"/>
    <w:rsid w:val="54C96B2C"/>
    <w:rsid w:val="54CA54BD"/>
    <w:rsid w:val="5501034D"/>
    <w:rsid w:val="552327A0"/>
    <w:rsid w:val="55442D10"/>
    <w:rsid w:val="554F0CA1"/>
    <w:rsid w:val="55861F85"/>
    <w:rsid w:val="559B2D78"/>
    <w:rsid w:val="559F6E56"/>
    <w:rsid w:val="5604091D"/>
    <w:rsid w:val="560C32E1"/>
    <w:rsid w:val="56325F75"/>
    <w:rsid w:val="56496330"/>
    <w:rsid w:val="56C109C9"/>
    <w:rsid w:val="56C1236A"/>
    <w:rsid w:val="56D44B7D"/>
    <w:rsid w:val="56E95B74"/>
    <w:rsid w:val="56F25234"/>
    <w:rsid w:val="57011AF8"/>
    <w:rsid w:val="572528F9"/>
    <w:rsid w:val="57914155"/>
    <w:rsid w:val="57C65BAE"/>
    <w:rsid w:val="58070251"/>
    <w:rsid w:val="58736890"/>
    <w:rsid w:val="58A91308"/>
    <w:rsid w:val="58B336C6"/>
    <w:rsid w:val="58D72319"/>
    <w:rsid w:val="59181005"/>
    <w:rsid w:val="591F6673"/>
    <w:rsid w:val="597E384D"/>
    <w:rsid w:val="5993342B"/>
    <w:rsid w:val="5994085A"/>
    <w:rsid w:val="59C04B5B"/>
    <w:rsid w:val="59C61F2F"/>
    <w:rsid w:val="59DE4FE1"/>
    <w:rsid w:val="5A2450EA"/>
    <w:rsid w:val="5A811902"/>
    <w:rsid w:val="5A903350"/>
    <w:rsid w:val="5A92474A"/>
    <w:rsid w:val="5B5872DB"/>
    <w:rsid w:val="5B8017FE"/>
    <w:rsid w:val="5B9D08B5"/>
    <w:rsid w:val="5BA25330"/>
    <w:rsid w:val="5BD1511E"/>
    <w:rsid w:val="5BE036DF"/>
    <w:rsid w:val="5C0B3B2B"/>
    <w:rsid w:val="5C4E05A1"/>
    <w:rsid w:val="5C5F1839"/>
    <w:rsid w:val="5CD71A0A"/>
    <w:rsid w:val="5CF22818"/>
    <w:rsid w:val="5CFD6159"/>
    <w:rsid w:val="5D250B83"/>
    <w:rsid w:val="5D4C4DAB"/>
    <w:rsid w:val="5D8E0D0F"/>
    <w:rsid w:val="5E0A2761"/>
    <w:rsid w:val="5E8B0E48"/>
    <w:rsid w:val="5EE60DC2"/>
    <w:rsid w:val="5EFE61EB"/>
    <w:rsid w:val="5F092B01"/>
    <w:rsid w:val="5F5C4A79"/>
    <w:rsid w:val="5F7A2117"/>
    <w:rsid w:val="60161979"/>
    <w:rsid w:val="607461C0"/>
    <w:rsid w:val="60B86951"/>
    <w:rsid w:val="60C413D5"/>
    <w:rsid w:val="60D333C6"/>
    <w:rsid w:val="60EA02FE"/>
    <w:rsid w:val="60F15F42"/>
    <w:rsid w:val="61252E31"/>
    <w:rsid w:val="613A4786"/>
    <w:rsid w:val="61463CD9"/>
    <w:rsid w:val="614F5761"/>
    <w:rsid w:val="61772657"/>
    <w:rsid w:val="61942442"/>
    <w:rsid w:val="61F7246A"/>
    <w:rsid w:val="6200079A"/>
    <w:rsid w:val="62BC57C9"/>
    <w:rsid w:val="62E0001C"/>
    <w:rsid w:val="632170F5"/>
    <w:rsid w:val="638A36D6"/>
    <w:rsid w:val="63A67F77"/>
    <w:rsid w:val="63C60C97"/>
    <w:rsid w:val="64663B6A"/>
    <w:rsid w:val="64666967"/>
    <w:rsid w:val="64925346"/>
    <w:rsid w:val="655B1BDC"/>
    <w:rsid w:val="65685219"/>
    <w:rsid w:val="65951AAE"/>
    <w:rsid w:val="65982E30"/>
    <w:rsid w:val="65C0487F"/>
    <w:rsid w:val="667F1AEE"/>
    <w:rsid w:val="66A55805"/>
    <w:rsid w:val="66DB3793"/>
    <w:rsid w:val="66E07D38"/>
    <w:rsid w:val="66ED36D5"/>
    <w:rsid w:val="670723FC"/>
    <w:rsid w:val="672227C4"/>
    <w:rsid w:val="676254A4"/>
    <w:rsid w:val="67954F6E"/>
    <w:rsid w:val="67F307F2"/>
    <w:rsid w:val="67F330AB"/>
    <w:rsid w:val="683055A2"/>
    <w:rsid w:val="68BB130F"/>
    <w:rsid w:val="68CA3301"/>
    <w:rsid w:val="68FB2328"/>
    <w:rsid w:val="691C1F18"/>
    <w:rsid w:val="69213601"/>
    <w:rsid w:val="692C3EF9"/>
    <w:rsid w:val="6A072332"/>
    <w:rsid w:val="6A205AF9"/>
    <w:rsid w:val="6A30723E"/>
    <w:rsid w:val="6A9667FA"/>
    <w:rsid w:val="6ABE4125"/>
    <w:rsid w:val="6B054AC4"/>
    <w:rsid w:val="6B0D1EB5"/>
    <w:rsid w:val="6B422D37"/>
    <w:rsid w:val="6B993CDD"/>
    <w:rsid w:val="6C1B3E73"/>
    <w:rsid w:val="6C3D3BF8"/>
    <w:rsid w:val="6C551158"/>
    <w:rsid w:val="6C763919"/>
    <w:rsid w:val="6C7F5930"/>
    <w:rsid w:val="6C8A14E3"/>
    <w:rsid w:val="6C8E0AE9"/>
    <w:rsid w:val="6D746183"/>
    <w:rsid w:val="6DF42BCE"/>
    <w:rsid w:val="6E090B60"/>
    <w:rsid w:val="6E331D73"/>
    <w:rsid w:val="6E361220"/>
    <w:rsid w:val="6E3A0F94"/>
    <w:rsid w:val="6E656967"/>
    <w:rsid w:val="6E701D92"/>
    <w:rsid w:val="6E9B274D"/>
    <w:rsid w:val="6E9F0223"/>
    <w:rsid w:val="6EA01116"/>
    <w:rsid w:val="6EAF0AA9"/>
    <w:rsid w:val="6F5F0599"/>
    <w:rsid w:val="6F601137"/>
    <w:rsid w:val="6F7E6554"/>
    <w:rsid w:val="6F9117CD"/>
    <w:rsid w:val="6F9D0A75"/>
    <w:rsid w:val="6FE90965"/>
    <w:rsid w:val="700F79D5"/>
    <w:rsid w:val="70B60CB2"/>
    <w:rsid w:val="71436346"/>
    <w:rsid w:val="71D56BD0"/>
    <w:rsid w:val="71E07AB4"/>
    <w:rsid w:val="721E4A97"/>
    <w:rsid w:val="72395053"/>
    <w:rsid w:val="72452668"/>
    <w:rsid w:val="726B5B54"/>
    <w:rsid w:val="7305535E"/>
    <w:rsid w:val="730862A0"/>
    <w:rsid w:val="731107FB"/>
    <w:rsid w:val="73316377"/>
    <w:rsid w:val="735132C1"/>
    <w:rsid w:val="73593BFF"/>
    <w:rsid w:val="73940DCB"/>
    <w:rsid w:val="73AB0A9F"/>
    <w:rsid w:val="74021DFF"/>
    <w:rsid w:val="740B53A5"/>
    <w:rsid w:val="741E120C"/>
    <w:rsid w:val="747458D7"/>
    <w:rsid w:val="747A1CEA"/>
    <w:rsid w:val="74A120DE"/>
    <w:rsid w:val="74AF2F5D"/>
    <w:rsid w:val="74B135C7"/>
    <w:rsid w:val="74D81899"/>
    <w:rsid w:val="75360521"/>
    <w:rsid w:val="759172D9"/>
    <w:rsid w:val="75F97E8B"/>
    <w:rsid w:val="76016CFA"/>
    <w:rsid w:val="765A667E"/>
    <w:rsid w:val="765B2D19"/>
    <w:rsid w:val="76F77834"/>
    <w:rsid w:val="77042725"/>
    <w:rsid w:val="77414F47"/>
    <w:rsid w:val="775C0B69"/>
    <w:rsid w:val="786C6182"/>
    <w:rsid w:val="786E3E8C"/>
    <w:rsid w:val="7894368C"/>
    <w:rsid w:val="789A1CB7"/>
    <w:rsid w:val="789C44F8"/>
    <w:rsid w:val="78F30652"/>
    <w:rsid w:val="792C6F50"/>
    <w:rsid w:val="79861A7E"/>
    <w:rsid w:val="799D05BD"/>
    <w:rsid w:val="79BF0534"/>
    <w:rsid w:val="79E507F1"/>
    <w:rsid w:val="79F4601C"/>
    <w:rsid w:val="79FA5CDF"/>
    <w:rsid w:val="7A0922E4"/>
    <w:rsid w:val="7A31700D"/>
    <w:rsid w:val="7A590988"/>
    <w:rsid w:val="7A95503E"/>
    <w:rsid w:val="7AB6477F"/>
    <w:rsid w:val="7AB67B89"/>
    <w:rsid w:val="7AC51B7A"/>
    <w:rsid w:val="7B166879"/>
    <w:rsid w:val="7B211412"/>
    <w:rsid w:val="7B352E44"/>
    <w:rsid w:val="7B7850B5"/>
    <w:rsid w:val="7BB553B8"/>
    <w:rsid w:val="7BC657CB"/>
    <w:rsid w:val="7C3A6597"/>
    <w:rsid w:val="7C5337BC"/>
    <w:rsid w:val="7C773348"/>
    <w:rsid w:val="7CB41EA6"/>
    <w:rsid w:val="7CBC5715"/>
    <w:rsid w:val="7D222FEF"/>
    <w:rsid w:val="7D2304AB"/>
    <w:rsid w:val="7D7653AD"/>
    <w:rsid w:val="7E8B642C"/>
    <w:rsid w:val="7EA57F21"/>
    <w:rsid w:val="7EB268B9"/>
    <w:rsid w:val="7ECC5996"/>
    <w:rsid w:val="7EF94FA3"/>
    <w:rsid w:val="7F0974E4"/>
    <w:rsid w:val="7F6D5063"/>
    <w:rsid w:val="7F9E21F8"/>
    <w:rsid w:val="7FA44126"/>
    <w:rsid w:val="7FAA5067"/>
    <w:rsid w:val="7FB040E1"/>
    <w:rsid w:val="7FCE14D1"/>
    <w:rsid w:val="7FE33E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name="toc 3"/>
    <w:lsdException w:qFormat="1" w:unhideWhenUsed="0" w:uiPriority="0" w:name="toc 4"/>
    <w:lsdException w:qFormat="1" w:unhideWhenUsed="0" w:uiPriority="0" w:name="toc 5"/>
    <w:lsdException w:qFormat="1" w:unhideWhenUsed="0" w:uiPriority="39" w:semiHidden="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qFormat="1" w:unhideWhenUsed="0" w:uiPriority="0" w:semiHidden="0"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99" w:semiHidden="0" w:name="Message Header"/>
    <w:lsdException w:qFormat="1" w:unhideWhenUsed="0" w:uiPriority="11" w:semiHidden="0" w:name="Subtitle"/>
    <w:lsdException w:uiPriority="99" w:name="Salutation"/>
    <w:lsdException w:qFormat="1" w:unhideWhenUsed="0" w:uiPriority="0" w:semiHidden="0" w:name="Date"/>
    <w:lsdException w:qFormat="1"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7"/>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5"/>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6"/>
    <w:autoRedefine/>
    <w:qFormat/>
    <w:uiPriority w:val="0"/>
    <w:pPr>
      <w:keepNext/>
      <w:keepLines/>
      <w:spacing w:line="360" w:lineRule="auto"/>
      <w:outlineLvl w:val="2"/>
    </w:pPr>
    <w:rPr>
      <w:b/>
      <w:bCs/>
      <w:sz w:val="24"/>
      <w:szCs w:val="32"/>
    </w:rPr>
  </w:style>
  <w:style w:type="paragraph" w:styleId="5">
    <w:name w:val="heading 4"/>
    <w:basedOn w:val="1"/>
    <w:next w:val="1"/>
    <w:link w:val="58"/>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9"/>
    <w:autoRedefine/>
    <w:qFormat/>
    <w:uiPriority w:val="0"/>
    <w:pPr>
      <w:keepNext/>
      <w:keepLines/>
      <w:spacing w:before="280" w:after="290" w:line="372" w:lineRule="auto"/>
      <w:outlineLvl w:val="4"/>
    </w:pPr>
    <w:rPr>
      <w:b/>
      <w:sz w:val="28"/>
      <w:szCs w:val="20"/>
    </w:rPr>
  </w:style>
  <w:style w:type="character" w:default="1" w:styleId="41">
    <w:name w:val="Default Paragraph Font"/>
    <w:autoRedefine/>
    <w:semiHidden/>
    <w:unhideWhenUsed/>
    <w:qFormat/>
    <w:uiPriority w:val="1"/>
  </w:style>
  <w:style w:type="table" w:default="1" w:styleId="39">
    <w:name w:val="Normal Table"/>
    <w:autoRedefine/>
    <w:semiHidden/>
    <w:unhideWhenUsed/>
    <w:qFormat/>
    <w:uiPriority w:val="99"/>
    <w:tblPr>
      <w:tblCellMar>
        <w:top w:w="0" w:type="dxa"/>
        <w:left w:w="108" w:type="dxa"/>
        <w:bottom w:w="0" w:type="dxa"/>
        <w:right w:w="108" w:type="dxa"/>
      </w:tblCellMar>
    </w:tblPr>
  </w:style>
  <w:style w:type="paragraph" w:styleId="7">
    <w:name w:val="toc 7"/>
    <w:basedOn w:val="1"/>
    <w:next w:val="1"/>
    <w:autoRedefine/>
    <w:semiHidden/>
    <w:qFormat/>
    <w:uiPriority w:val="0"/>
    <w:pPr>
      <w:ind w:left="1260"/>
      <w:jc w:val="left"/>
    </w:pPr>
    <w:rPr>
      <w:sz w:val="18"/>
      <w:szCs w:val="18"/>
    </w:rPr>
  </w:style>
  <w:style w:type="paragraph" w:styleId="8">
    <w:name w:val="Normal Indent"/>
    <w:basedOn w:val="1"/>
    <w:autoRedefine/>
    <w:qFormat/>
    <w:uiPriority w:val="0"/>
    <w:pPr>
      <w:adjustRightInd w:val="0"/>
      <w:spacing w:line="360" w:lineRule="atLeast"/>
      <w:ind w:firstLine="420"/>
      <w:textAlignment w:val="baseline"/>
    </w:pPr>
    <w:rPr>
      <w:szCs w:val="20"/>
    </w:rPr>
  </w:style>
  <w:style w:type="paragraph" w:styleId="9">
    <w:name w:val="Document Map"/>
    <w:basedOn w:val="1"/>
    <w:link w:val="87"/>
    <w:autoRedefine/>
    <w:qFormat/>
    <w:uiPriority w:val="0"/>
    <w:pPr>
      <w:shd w:val="clear" w:color="auto" w:fill="000080"/>
    </w:pPr>
  </w:style>
  <w:style w:type="paragraph" w:styleId="10">
    <w:name w:val="toa heading"/>
    <w:basedOn w:val="1"/>
    <w:next w:val="1"/>
    <w:autoRedefine/>
    <w:qFormat/>
    <w:uiPriority w:val="0"/>
    <w:pPr>
      <w:spacing w:before="120"/>
    </w:pPr>
    <w:rPr>
      <w:rFonts w:ascii="Arial" w:hAnsi="Arial"/>
      <w:sz w:val="24"/>
      <w:szCs w:val="20"/>
    </w:rPr>
  </w:style>
  <w:style w:type="paragraph" w:styleId="11">
    <w:name w:val="annotation text"/>
    <w:basedOn w:val="1"/>
    <w:link w:val="65"/>
    <w:autoRedefine/>
    <w:qFormat/>
    <w:uiPriority w:val="0"/>
    <w:pPr>
      <w:jc w:val="left"/>
    </w:pPr>
    <w:rPr>
      <w:rFonts w:asciiTheme="minorHAnsi" w:hAnsiTheme="minorHAnsi" w:cstheme="minorBidi"/>
    </w:rPr>
  </w:style>
  <w:style w:type="paragraph" w:styleId="12">
    <w:name w:val="Body Text 3"/>
    <w:basedOn w:val="1"/>
    <w:link w:val="67"/>
    <w:autoRedefine/>
    <w:qFormat/>
    <w:uiPriority w:val="0"/>
    <w:pPr>
      <w:spacing w:after="120"/>
    </w:pPr>
    <w:rPr>
      <w:rFonts w:asciiTheme="minorHAnsi" w:hAnsiTheme="minorHAnsi" w:cstheme="minorBidi"/>
      <w:sz w:val="16"/>
      <w:szCs w:val="22"/>
    </w:rPr>
  </w:style>
  <w:style w:type="paragraph" w:styleId="13">
    <w:name w:val="Closing"/>
    <w:basedOn w:val="1"/>
    <w:link w:val="63"/>
    <w:autoRedefine/>
    <w:qFormat/>
    <w:uiPriority w:val="0"/>
    <w:pPr>
      <w:ind w:left="100" w:leftChars="2100"/>
    </w:pPr>
    <w:rPr>
      <w:rFonts w:asciiTheme="minorHAnsi" w:hAnsiTheme="minorHAnsi" w:eastAsiaTheme="minorEastAsia" w:cstheme="minorBidi"/>
      <w:sz w:val="28"/>
      <w:szCs w:val="28"/>
    </w:rPr>
  </w:style>
  <w:style w:type="paragraph" w:styleId="14">
    <w:name w:val="Body Text"/>
    <w:basedOn w:val="1"/>
    <w:next w:val="1"/>
    <w:link w:val="61"/>
    <w:autoRedefine/>
    <w:qFormat/>
    <w:uiPriority w:val="0"/>
    <w:rPr>
      <w:rFonts w:ascii="宋体" w:hAnsiTheme="minorHAnsi" w:cstheme="minorBidi"/>
      <w:sz w:val="32"/>
      <w:szCs w:val="22"/>
    </w:rPr>
  </w:style>
  <w:style w:type="paragraph" w:styleId="15">
    <w:name w:val="Body Text Indent"/>
    <w:basedOn w:val="1"/>
    <w:link w:val="68"/>
    <w:autoRedefine/>
    <w:qFormat/>
    <w:uiPriority w:val="0"/>
    <w:pPr>
      <w:spacing w:after="120"/>
      <w:ind w:left="420" w:leftChars="200"/>
    </w:pPr>
    <w:rPr>
      <w:rFonts w:asciiTheme="minorHAnsi" w:hAnsiTheme="minorHAnsi" w:cstheme="minorBidi"/>
      <w:szCs w:val="22"/>
    </w:rPr>
  </w:style>
  <w:style w:type="paragraph" w:styleId="16">
    <w:name w:val="toc 5"/>
    <w:basedOn w:val="1"/>
    <w:next w:val="1"/>
    <w:autoRedefine/>
    <w:semiHidden/>
    <w:qFormat/>
    <w:uiPriority w:val="0"/>
    <w:pPr>
      <w:ind w:left="840"/>
      <w:jc w:val="left"/>
    </w:pPr>
    <w:rPr>
      <w:sz w:val="18"/>
      <w:szCs w:val="18"/>
    </w:rPr>
  </w:style>
  <w:style w:type="paragraph" w:styleId="17">
    <w:name w:val="toc 3"/>
    <w:basedOn w:val="1"/>
    <w:next w:val="1"/>
    <w:autoRedefine/>
    <w:semiHidden/>
    <w:qFormat/>
    <w:uiPriority w:val="0"/>
    <w:pPr>
      <w:ind w:left="420"/>
      <w:jc w:val="left"/>
    </w:pPr>
    <w:rPr>
      <w:i/>
      <w:iCs/>
      <w:sz w:val="20"/>
      <w:szCs w:val="20"/>
    </w:rPr>
  </w:style>
  <w:style w:type="paragraph" w:styleId="18">
    <w:name w:val="Plain Text"/>
    <w:basedOn w:val="1"/>
    <w:link w:val="64"/>
    <w:autoRedefine/>
    <w:qFormat/>
    <w:uiPriority w:val="0"/>
    <w:pPr>
      <w:adjustRightInd w:val="0"/>
      <w:jc w:val="left"/>
      <w:textAlignment w:val="baseline"/>
    </w:pPr>
    <w:rPr>
      <w:rFonts w:ascii="宋体" w:hAnsi="Courier New" w:cstheme="minorBidi"/>
      <w:sz w:val="24"/>
      <w:szCs w:val="22"/>
    </w:rPr>
  </w:style>
  <w:style w:type="paragraph" w:styleId="19">
    <w:name w:val="toc 8"/>
    <w:basedOn w:val="1"/>
    <w:next w:val="1"/>
    <w:autoRedefine/>
    <w:semiHidden/>
    <w:qFormat/>
    <w:uiPriority w:val="0"/>
    <w:pPr>
      <w:ind w:left="1470"/>
      <w:jc w:val="left"/>
    </w:pPr>
    <w:rPr>
      <w:sz w:val="18"/>
      <w:szCs w:val="18"/>
    </w:rPr>
  </w:style>
  <w:style w:type="paragraph" w:styleId="20">
    <w:name w:val="Date"/>
    <w:basedOn w:val="1"/>
    <w:next w:val="1"/>
    <w:link w:val="66"/>
    <w:autoRedefine/>
    <w:qFormat/>
    <w:uiPriority w:val="0"/>
    <w:rPr>
      <w:rFonts w:asciiTheme="minorHAnsi" w:hAnsiTheme="minorHAnsi" w:cstheme="minorBidi"/>
      <w:szCs w:val="22"/>
    </w:rPr>
  </w:style>
  <w:style w:type="paragraph" w:styleId="21">
    <w:name w:val="Body Text Indent 2"/>
    <w:basedOn w:val="1"/>
    <w:next w:val="22"/>
    <w:link w:val="74"/>
    <w:autoRedefine/>
    <w:qFormat/>
    <w:uiPriority w:val="0"/>
    <w:pPr>
      <w:ind w:left="-178" w:leftChars="-85" w:firstLine="739" w:firstLineChars="264"/>
      <w:jc w:val="left"/>
    </w:pPr>
    <w:rPr>
      <w:rFonts w:ascii="宋体"/>
      <w:sz w:val="28"/>
    </w:rPr>
  </w:style>
  <w:style w:type="paragraph" w:customStyle="1" w:styleId="22">
    <w:name w:val="reader-word-layer reader-word-s46-2"/>
    <w:basedOn w:val="1"/>
    <w:next w:val="23"/>
    <w:autoRedefine/>
    <w:qFormat/>
    <w:uiPriority w:val="0"/>
    <w:pPr>
      <w:widowControl/>
      <w:spacing w:before="280" w:after="280"/>
      <w:jc w:val="both"/>
    </w:pPr>
    <w:rPr>
      <w:rFonts w:ascii="宋体"/>
      <w:sz w:val="24"/>
    </w:rPr>
  </w:style>
  <w:style w:type="paragraph" w:customStyle="1" w:styleId="23">
    <w:name w:val="xl35"/>
    <w:basedOn w:val="1"/>
    <w:next w:val="1"/>
    <w:autoRedefine/>
    <w:qFormat/>
    <w:uiPriority w:val="0"/>
    <w:pPr>
      <w:widowControl/>
      <w:spacing w:before="100" w:beforeAutospacing="1" w:after="100" w:afterAutospacing="1"/>
      <w:jc w:val="center"/>
    </w:pPr>
    <w:rPr>
      <w:rFonts w:ascii="宋体" w:hAnsi="宋体" w:cs="宋体"/>
      <w:sz w:val="20"/>
      <w:szCs w:val="20"/>
    </w:rPr>
  </w:style>
  <w:style w:type="paragraph" w:styleId="24">
    <w:name w:val="Balloon Text"/>
    <w:basedOn w:val="1"/>
    <w:link w:val="70"/>
    <w:autoRedefine/>
    <w:qFormat/>
    <w:uiPriority w:val="0"/>
    <w:rPr>
      <w:rFonts w:asciiTheme="minorHAnsi" w:hAnsiTheme="minorHAnsi" w:cstheme="minorBidi"/>
      <w:sz w:val="18"/>
      <w:szCs w:val="18"/>
    </w:rPr>
  </w:style>
  <w:style w:type="paragraph" w:styleId="25">
    <w:name w:val="footer"/>
    <w:basedOn w:val="1"/>
    <w:link w:val="62"/>
    <w:autoRedefine/>
    <w:qFormat/>
    <w:uiPriority w:val="99"/>
    <w:pPr>
      <w:tabs>
        <w:tab w:val="center" w:pos="4153"/>
        <w:tab w:val="right" w:pos="8306"/>
      </w:tabs>
      <w:snapToGrid w:val="0"/>
      <w:jc w:val="left"/>
    </w:pPr>
    <w:rPr>
      <w:rFonts w:asciiTheme="minorHAnsi" w:hAnsiTheme="minorHAnsi" w:cstheme="minorBidi"/>
      <w:sz w:val="18"/>
      <w:szCs w:val="18"/>
    </w:rPr>
  </w:style>
  <w:style w:type="paragraph" w:styleId="26">
    <w:name w:val="header"/>
    <w:basedOn w:val="1"/>
    <w:link w:val="82"/>
    <w:autoRedefine/>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0"/>
    <w:next w:val="1"/>
    <w:autoRedefine/>
    <w:qFormat/>
    <w:uiPriority w:val="0"/>
    <w:pPr>
      <w:spacing w:after="120"/>
      <w:jc w:val="left"/>
    </w:pPr>
    <w:rPr>
      <w:rFonts w:ascii="Times New Roman" w:hAnsi="Times New Roman"/>
      <w:b/>
      <w:bCs/>
      <w:caps/>
      <w:sz w:val="20"/>
    </w:rPr>
  </w:style>
  <w:style w:type="paragraph" w:styleId="28">
    <w:name w:val="toc 4"/>
    <w:basedOn w:val="1"/>
    <w:next w:val="1"/>
    <w:autoRedefine/>
    <w:semiHidden/>
    <w:qFormat/>
    <w:uiPriority w:val="0"/>
    <w:pPr>
      <w:ind w:left="630"/>
      <w:jc w:val="left"/>
    </w:pPr>
    <w:rPr>
      <w:sz w:val="18"/>
      <w:szCs w:val="18"/>
    </w:rPr>
  </w:style>
  <w:style w:type="paragraph" w:styleId="29">
    <w:name w:val="List"/>
    <w:basedOn w:val="1"/>
    <w:autoRedefine/>
    <w:qFormat/>
    <w:uiPriority w:val="0"/>
    <w:pPr>
      <w:ind w:left="420" w:hanging="420"/>
    </w:pPr>
    <w:rPr>
      <w:szCs w:val="20"/>
      <w:lang w:bidi="he-IL"/>
    </w:rPr>
  </w:style>
  <w:style w:type="paragraph" w:styleId="30">
    <w:name w:val="toc 6"/>
    <w:basedOn w:val="1"/>
    <w:next w:val="1"/>
    <w:autoRedefine/>
    <w:qFormat/>
    <w:uiPriority w:val="39"/>
    <w:pPr>
      <w:ind w:left="1050"/>
      <w:jc w:val="left"/>
    </w:pPr>
    <w:rPr>
      <w:sz w:val="18"/>
      <w:szCs w:val="18"/>
    </w:rPr>
  </w:style>
  <w:style w:type="paragraph" w:styleId="31">
    <w:name w:val="toc 2"/>
    <w:basedOn w:val="1"/>
    <w:next w:val="1"/>
    <w:autoRedefine/>
    <w:qFormat/>
    <w:uiPriority w:val="0"/>
    <w:pPr>
      <w:ind w:left="210"/>
      <w:jc w:val="left"/>
    </w:pPr>
    <w:rPr>
      <w:smallCaps/>
      <w:sz w:val="20"/>
      <w:szCs w:val="20"/>
    </w:rPr>
  </w:style>
  <w:style w:type="paragraph" w:styleId="32">
    <w:name w:val="toc 9"/>
    <w:basedOn w:val="1"/>
    <w:next w:val="1"/>
    <w:autoRedefine/>
    <w:semiHidden/>
    <w:qFormat/>
    <w:uiPriority w:val="0"/>
    <w:pPr>
      <w:ind w:left="1680"/>
      <w:jc w:val="left"/>
    </w:pPr>
    <w:rPr>
      <w:sz w:val="18"/>
      <w:szCs w:val="18"/>
    </w:rPr>
  </w:style>
  <w:style w:type="paragraph" w:styleId="33">
    <w:name w:val="Body Text 2"/>
    <w:basedOn w:val="1"/>
    <w:next w:val="1"/>
    <w:link w:val="103"/>
    <w:autoRedefine/>
    <w:qFormat/>
    <w:uiPriority w:val="0"/>
    <w:rPr>
      <w:rFonts w:ascii="宋体" w:hAnsi="宋体"/>
      <w:b/>
      <w:bCs/>
      <w:sz w:val="24"/>
    </w:rPr>
  </w:style>
  <w:style w:type="paragraph" w:styleId="34">
    <w:name w:val="Message Header"/>
    <w:basedOn w:val="1"/>
    <w:next w:val="1"/>
    <w:link w:val="104"/>
    <w:autoRedefine/>
    <w:qFormat/>
    <w:uiPriority w:val="99"/>
    <w:pPr>
      <w:pBdr>
        <w:top w:val="none" w:color="auto" w:sz="0" w:space="1"/>
        <w:left w:val="none" w:color="auto" w:sz="0" w:space="1"/>
        <w:bottom w:val="none" w:color="auto" w:sz="0" w:space="1"/>
        <w:right w:val="none" w:color="auto" w:sz="0" w:space="1"/>
      </w:pBdr>
      <w:ind w:left="1080" w:leftChars="500" w:hanging="1080" w:hangingChars="500"/>
    </w:pPr>
    <w:rPr>
      <w:rFonts w:ascii="Arial" w:hAnsi="Arial"/>
      <w:sz w:val="24"/>
    </w:rPr>
  </w:style>
  <w:style w:type="paragraph" w:styleId="35">
    <w:name w:val="HTML Preformatted"/>
    <w:basedOn w:val="1"/>
    <w:link w:val="6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theme="minorBidi"/>
      <w:sz w:val="24"/>
      <w:szCs w:val="22"/>
    </w:rPr>
  </w:style>
  <w:style w:type="paragraph" w:styleId="36">
    <w:name w:val="Normal (Web)"/>
    <w:basedOn w:val="1"/>
    <w:autoRedefine/>
    <w:unhideWhenUsed/>
    <w:qFormat/>
    <w:uiPriority w:val="0"/>
    <w:rPr>
      <w:sz w:val="24"/>
    </w:rPr>
  </w:style>
  <w:style w:type="paragraph" w:styleId="37">
    <w:name w:val="annotation subject"/>
    <w:basedOn w:val="11"/>
    <w:next w:val="11"/>
    <w:link w:val="69"/>
    <w:autoRedefine/>
    <w:qFormat/>
    <w:uiPriority w:val="0"/>
    <w:rPr>
      <w:rFonts w:ascii="Times New Roman" w:hAnsi="Times New Roman" w:cs="Times New Roman"/>
      <w:b/>
      <w:bCs/>
    </w:rPr>
  </w:style>
  <w:style w:type="paragraph" w:styleId="38">
    <w:name w:val="Body Text First Indent"/>
    <w:basedOn w:val="14"/>
    <w:next w:val="30"/>
    <w:link w:val="118"/>
    <w:unhideWhenUsed/>
    <w:qFormat/>
    <w:uiPriority w:val="0"/>
    <w:pPr>
      <w:spacing w:after="120" w:line="312" w:lineRule="auto"/>
      <w:ind w:firstLine="420"/>
    </w:pPr>
    <w:rPr>
      <w:rFonts w:ascii="Calibri"/>
      <w:kern w:val="0"/>
      <w:sz w:val="20"/>
      <w:szCs w:val="24"/>
    </w:rPr>
  </w:style>
  <w:style w:type="table" w:styleId="40">
    <w:name w:val="Table Grid"/>
    <w:basedOn w:val="39"/>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rPr>
  </w:style>
  <w:style w:type="character" w:styleId="43">
    <w:name w:val="page number"/>
    <w:basedOn w:val="41"/>
    <w:qFormat/>
    <w:uiPriority w:val="0"/>
    <w:rPr>
      <w:szCs w:val="21"/>
    </w:rPr>
  </w:style>
  <w:style w:type="character" w:styleId="44">
    <w:name w:val="FollowedHyperlink"/>
    <w:basedOn w:val="41"/>
    <w:qFormat/>
    <w:uiPriority w:val="0"/>
    <w:rPr>
      <w:rFonts w:hint="default" w:ascii="Times New Roman" w:hAnsi="Times New Roman" w:cs="Times New Roman"/>
      <w:color w:val="000000"/>
      <w:u w:val="none"/>
    </w:rPr>
  </w:style>
  <w:style w:type="character" w:styleId="45">
    <w:name w:val="Emphasis"/>
    <w:basedOn w:val="41"/>
    <w:qFormat/>
    <w:uiPriority w:val="0"/>
    <w:rPr>
      <w:i/>
      <w:iCs/>
      <w:szCs w:val="21"/>
    </w:rPr>
  </w:style>
  <w:style w:type="character" w:styleId="46">
    <w:name w:val="HTML Definition"/>
    <w:basedOn w:val="41"/>
    <w:qFormat/>
    <w:uiPriority w:val="0"/>
  </w:style>
  <w:style w:type="character" w:styleId="47">
    <w:name w:val="HTML Variable"/>
    <w:basedOn w:val="41"/>
    <w:qFormat/>
    <w:uiPriority w:val="0"/>
  </w:style>
  <w:style w:type="character" w:styleId="48">
    <w:name w:val="Hyperlink"/>
    <w:basedOn w:val="41"/>
    <w:autoRedefine/>
    <w:qFormat/>
    <w:uiPriority w:val="0"/>
    <w:rPr>
      <w:color w:val="0000FF"/>
      <w:szCs w:val="21"/>
      <w:u w:val="single"/>
    </w:rPr>
  </w:style>
  <w:style w:type="character" w:styleId="49">
    <w:name w:val="HTML Code"/>
    <w:basedOn w:val="41"/>
    <w:qFormat/>
    <w:uiPriority w:val="0"/>
    <w:rPr>
      <w:rFonts w:ascii="Consolas" w:hAnsi="Consolas" w:eastAsia="Consolas" w:cs="Consolas"/>
      <w:color w:val="C7254E"/>
      <w:sz w:val="21"/>
      <w:szCs w:val="21"/>
      <w:shd w:val="clear" w:color="auto" w:fill="F9F2F4"/>
    </w:rPr>
  </w:style>
  <w:style w:type="character" w:styleId="50">
    <w:name w:val="annotation reference"/>
    <w:basedOn w:val="41"/>
    <w:qFormat/>
    <w:uiPriority w:val="0"/>
    <w:rPr>
      <w:sz w:val="21"/>
      <w:szCs w:val="21"/>
    </w:rPr>
  </w:style>
  <w:style w:type="character" w:styleId="51">
    <w:name w:val="HTML Cite"/>
    <w:basedOn w:val="41"/>
    <w:qFormat/>
    <w:uiPriority w:val="0"/>
  </w:style>
  <w:style w:type="character" w:styleId="52">
    <w:name w:val="HTML Keyboard"/>
    <w:basedOn w:val="41"/>
    <w:qFormat/>
    <w:uiPriority w:val="0"/>
    <w:rPr>
      <w:rFonts w:hint="default" w:ascii="Consolas" w:hAnsi="Consolas" w:eastAsia="Consolas" w:cs="Consolas"/>
      <w:color w:val="FFFFFF"/>
      <w:sz w:val="21"/>
      <w:szCs w:val="21"/>
      <w:shd w:val="clear" w:color="auto" w:fill="333333"/>
    </w:rPr>
  </w:style>
  <w:style w:type="character" w:styleId="53">
    <w:name w:val="HTML Sample"/>
    <w:basedOn w:val="41"/>
    <w:qFormat/>
    <w:uiPriority w:val="0"/>
    <w:rPr>
      <w:rFonts w:hint="default" w:ascii="Consolas" w:hAnsi="Consolas" w:eastAsia="Consolas" w:cs="Consolas"/>
      <w:sz w:val="21"/>
      <w:szCs w:val="21"/>
    </w:rPr>
  </w:style>
  <w:style w:type="paragraph" w:customStyle="1" w:styleId="54">
    <w:name w:val="正文格式"/>
    <w:basedOn w:val="1"/>
    <w:qFormat/>
    <w:uiPriority w:val="0"/>
    <w:pPr>
      <w:widowControl/>
      <w:adjustRightInd w:val="0"/>
      <w:snapToGrid w:val="0"/>
      <w:spacing w:line="400" w:lineRule="atLeast"/>
      <w:ind w:firstLine="482"/>
      <w:textAlignment w:val="baseline"/>
    </w:pPr>
    <w:rPr>
      <w:kern w:val="0"/>
      <w:sz w:val="24"/>
    </w:rPr>
  </w:style>
  <w:style w:type="character" w:customStyle="1" w:styleId="55">
    <w:name w:val="标题 2 字符1"/>
    <w:basedOn w:val="41"/>
    <w:link w:val="3"/>
    <w:qFormat/>
    <w:uiPriority w:val="0"/>
    <w:rPr>
      <w:rFonts w:ascii="Arial" w:hAnsi="Arial" w:eastAsia="黑体" w:cs="Times New Roman"/>
      <w:b/>
      <w:bCs/>
      <w:sz w:val="32"/>
      <w:szCs w:val="32"/>
    </w:rPr>
  </w:style>
  <w:style w:type="character" w:customStyle="1" w:styleId="56">
    <w:name w:val="标题 3 字符"/>
    <w:basedOn w:val="41"/>
    <w:link w:val="4"/>
    <w:qFormat/>
    <w:uiPriority w:val="0"/>
    <w:rPr>
      <w:rFonts w:ascii="Times New Roman" w:hAnsi="Times New Roman" w:eastAsia="宋体" w:cs="Times New Roman"/>
      <w:b/>
      <w:bCs/>
      <w:sz w:val="24"/>
      <w:szCs w:val="32"/>
    </w:rPr>
  </w:style>
  <w:style w:type="character" w:customStyle="1" w:styleId="57">
    <w:name w:val="标题 1 字符"/>
    <w:basedOn w:val="41"/>
    <w:link w:val="2"/>
    <w:qFormat/>
    <w:uiPriority w:val="0"/>
    <w:rPr>
      <w:rFonts w:ascii="Times New Roman" w:hAnsi="Times New Roman" w:eastAsia="宋体" w:cs="Times New Roman"/>
      <w:b/>
      <w:bCs/>
      <w:kern w:val="44"/>
      <w:sz w:val="44"/>
      <w:szCs w:val="44"/>
    </w:rPr>
  </w:style>
  <w:style w:type="character" w:customStyle="1" w:styleId="58">
    <w:name w:val="标题 4 字符"/>
    <w:basedOn w:val="41"/>
    <w:link w:val="5"/>
    <w:qFormat/>
    <w:uiPriority w:val="0"/>
    <w:rPr>
      <w:rFonts w:ascii="Arial" w:hAnsi="Arial" w:eastAsia="黑体" w:cs="Times New Roman"/>
      <w:b/>
      <w:bCs/>
      <w:sz w:val="28"/>
      <w:szCs w:val="28"/>
    </w:rPr>
  </w:style>
  <w:style w:type="character" w:customStyle="1" w:styleId="59">
    <w:name w:val="标题 5 字符"/>
    <w:basedOn w:val="41"/>
    <w:link w:val="6"/>
    <w:autoRedefine/>
    <w:qFormat/>
    <w:uiPriority w:val="0"/>
    <w:rPr>
      <w:rFonts w:ascii="Times New Roman" w:hAnsi="Times New Roman" w:eastAsia="宋体" w:cs="Times New Roman"/>
      <w:b/>
      <w:sz w:val="28"/>
      <w:szCs w:val="20"/>
    </w:rPr>
  </w:style>
  <w:style w:type="character" w:customStyle="1" w:styleId="60">
    <w:name w:val="HTML 预设格式 字符"/>
    <w:link w:val="35"/>
    <w:autoRedefine/>
    <w:qFormat/>
    <w:uiPriority w:val="0"/>
    <w:rPr>
      <w:rFonts w:ascii="宋体" w:hAnsi="宋体" w:eastAsia="宋体"/>
      <w:sz w:val="24"/>
    </w:rPr>
  </w:style>
  <w:style w:type="character" w:customStyle="1" w:styleId="61">
    <w:name w:val="正文文本 字符"/>
    <w:link w:val="14"/>
    <w:autoRedefine/>
    <w:qFormat/>
    <w:uiPriority w:val="0"/>
    <w:rPr>
      <w:rFonts w:ascii="宋体" w:eastAsia="宋体"/>
      <w:sz w:val="32"/>
    </w:rPr>
  </w:style>
  <w:style w:type="character" w:customStyle="1" w:styleId="62">
    <w:name w:val="页脚 字符"/>
    <w:link w:val="25"/>
    <w:autoRedefine/>
    <w:qFormat/>
    <w:uiPriority w:val="99"/>
    <w:rPr>
      <w:rFonts w:eastAsia="宋体"/>
      <w:sz w:val="18"/>
      <w:szCs w:val="18"/>
    </w:rPr>
  </w:style>
  <w:style w:type="character" w:customStyle="1" w:styleId="63">
    <w:name w:val="结束语 字符"/>
    <w:link w:val="13"/>
    <w:autoRedefine/>
    <w:qFormat/>
    <w:uiPriority w:val="0"/>
    <w:rPr>
      <w:sz w:val="28"/>
      <w:szCs w:val="28"/>
    </w:rPr>
  </w:style>
  <w:style w:type="character" w:customStyle="1" w:styleId="64">
    <w:name w:val="纯文本 字符"/>
    <w:link w:val="18"/>
    <w:autoRedefine/>
    <w:qFormat/>
    <w:uiPriority w:val="0"/>
    <w:rPr>
      <w:rFonts w:ascii="宋体" w:hAnsi="Courier New" w:eastAsia="宋体"/>
      <w:sz w:val="24"/>
    </w:rPr>
  </w:style>
  <w:style w:type="character" w:customStyle="1" w:styleId="65">
    <w:name w:val="批注文字 字符1"/>
    <w:link w:val="11"/>
    <w:autoRedefine/>
    <w:qFormat/>
    <w:uiPriority w:val="0"/>
    <w:rPr>
      <w:rFonts w:eastAsia="宋体"/>
      <w:szCs w:val="24"/>
    </w:rPr>
  </w:style>
  <w:style w:type="character" w:customStyle="1" w:styleId="66">
    <w:name w:val="日期 字符"/>
    <w:link w:val="20"/>
    <w:autoRedefine/>
    <w:qFormat/>
    <w:uiPriority w:val="0"/>
    <w:rPr>
      <w:rFonts w:eastAsia="宋体"/>
    </w:rPr>
  </w:style>
  <w:style w:type="character" w:customStyle="1" w:styleId="67">
    <w:name w:val="正文文本 3 字符"/>
    <w:link w:val="12"/>
    <w:autoRedefine/>
    <w:qFormat/>
    <w:uiPriority w:val="0"/>
    <w:rPr>
      <w:rFonts w:eastAsia="宋体"/>
      <w:sz w:val="16"/>
    </w:rPr>
  </w:style>
  <w:style w:type="character" w:customStyle="1" w:styleId="68">
    <w:name w:val="正文文本缩进 字符"/>
    <w:link w:val="15"/>
    <w:autoRedefine/>
    <w:qFormat/>
    <w:uiPriority w:val="0"/>
    <w:rPr>
      <w:rFonts w:eastAsia="宋体"/>
    </w:rPr>
  </w:style>
  <w:style w:type="character" w:customStyle="1" w:styleId="69">
    <w:name w:val="批注主题 字符"/>
    <w:link w:val="37"/>
    <w:autoRedefine/>
    <w:qFormat/>
    <w:uiPriority w:val="0"/>
    <w:rPr>
      <w:rFonts w:ascii="Times New Roman" w:hAnsi="Times New Roman" w:eastAsia="宋体" w:cs="Times New Roman"/>
      <w:b/>
      <w:bCs/>
      <w:szCs w:val="24"/>
    </w:rPr>
  </w:style>
  <w:style w:type="character" w:customStyle="1" w:styleId="70">
    <w:name w:val="批注框文本 字符"/>
    <w:link w:val="24"/>
    <w:autoRedefine/>
    <w:qFormat/>
    <w:uiPriority w:val="0"/>
    <w:rPr>
      <w:rFonts w:eastAsia="宋体"/>
      <w:sz w:val="18"/>
      <w:szCs w:val="18"/>
    </w:rPr>
  </w:style>
  <w:style w:type="character" w:customStyle="1" w:styleId="71">
    <w:name w:val="批注文字 Char2"/>
    <w:basedOn w:val="41"/>
    <w:autoRedefine/>
    <w:qFormat/>
    <w:uiPriority w:val="99"/>
    <w:rPr>
      <w:rFonts w:ascii="Times New Roman" w:hAnsi="Times New Roman" w:eastAsia="宋体" w:cs="Times New Roman"/>
      <w:szCs w:val="24"/>
    </w:rPr>
  </w:style>
  <w:style w:type="character" w:customStyle="1" w:styleId="72">
    <w:name w:val="批注主题 Char1"/>
    <w:basedOn w:val="71"/>
    <w:autoRedefine/>
    <w:semiHidden/>
    <w:qFormat/>
    <w:uiPriority w:val="99"/>
    <w:rPr>
      <w:rFonts w:ascii="Times New Roman" w:hAnsi="Times New Roman" w:eastAsia="宋体" w:cs="Times New Roman"/>
      <w:b/>
      <w:bCs/>
      <w:szCs w:val="24"/>
    </w:rPr>
  </w:style>
  <w:style w:type="character" w:customStyle="1" w:styleId="73">
    <w:name w:val="批注框文本 Char1"/>
    <w:basedOn w:val="41"/>
    <w:autoRedefine/>
    <w:semiHidden/>
    <w:qFormat/>
    <w:uiPriority w:val="99"/>
    <w:rPr>
      <w:rFonts w:ascii="Times New Roman" w:hAnsi="Times New Roman" w:eastAsia="宋体" w:cs="Times New Roman"/>
      <w:sz w:val="18"/>
      <w:szCs w:val="18"/>
    </w:rPr>
  </w:style>
  <w:style w:type="character" w:customStyle="1" w:styleId="74">
    <w:name w:val="正文文本缩进 2 字符"/>
    <w:basedOn w:val="41"/>
    <w:link w:val="21"/>
    <w:autoRedefine/>
    <w:qFormat/>
    <w:uiPriority w:val="0"/>
    <w:rPr>
      <w:rFonts w:ascii="宋体" w:hAnsi="Times New Roman" w:eastAsia="宋体" w:cs="Times New Roman"/>
      <w:sz w:val="28"/>
      <w:szCs w:val="24"/>
    </w:rPr>
  </w:style>
  <w:style w:type="character" w:customStyle="1" w:styleId="75">
    <w:name w:val="纯文本 Char2"/>
    <w:basedOn w:val="41"/>
    <w:autoRedefine/>
    <w:semiHidden/>
    <w:qFormat/>
    <w:uiPriority w:val="99"/>
    <w:rPr>
      <w:rFonts w:ascii="宋体" w:hAnsi="Courier New" w:eastAsia="宋体" w:cs="Courier New"/>
      <w:szCs w:val="21"/>
    </w:rPr>
  </w:style>
  <w:style w:type="character" w:customStyle="1" w:styleId="76">
    <w:name w:val="正文文本 Char1"/>
    <w:basedOn w:val="41"/>
    <w:autoRedefine/>
    <w:semiHidden/>
    <w:qFormat/>
    <w:uiPriority w:val="99"/>
    <w:rPr>
      <w:rFonts w:ascii="Times New Roman" w:hAnsi="Times New Roman" w:eastAsia="宋体" w:cs="Times New Roman"/>
      <w:szCs w:val="24"/>
    </w:rPr>
  </w:style>
  <w:style w:type="character" w:customStyle="1" w:styleId="77">
    <w:name w:val="正文文本缩进 Char1"/>
    <w:basedOn w:val="41"/>
    <w:autoRedefine/>
    <w:semiHidden/>
    <w:qFormat/>
    <w:uiPriority w:val="99"/>
    <w:rPr>
      <w:rFonts w:ascii="Times New Roman" w:hAnsi="Times New Roman" w:eastAsia="宋体" w:cs="Times New Roman"/>
      <w:szCs w:val="24"/>
    </w:rPr>
  </w:style>
  <w:style w:type="character" w:customStyle="1" w:styleId="78">
    <w:name w:val="正文文本 3 Char1"/>
    <w:basedOn w:val="41"/>
    <w:autoRedefine/>
    <w:semiHidden/>
    <w:qFormat/>
    <w:uiPriority w:val="99"/>
    <w:rPr>
      <w:rFonts w:ascii="Times New Roman" w:hAnsi="Times New Roman" w:eastAsia="宋体" w:cs="Times New Roman"/>
      <w:sz w:val="16"/>
      <w:szCs w:val="16"/>
    </w:rPr>
  </w:style>
  <w:style w:type="character" w:customStyle="1" w:styleId="79">
    <w:name w:val="日期 Char1"/>
    <w:basedOn w:val="41"/>
    <w:autoRedefine/>
    <w:semiHidden/>
    <w:qFormat/>
    <w:uiPriority w:val="99"/>
    <w:rPr>
      <w:rFonts w:ascii="Times New Roman" w:hAnsi="Times New Roman" w:eastAsia="宋体" w:cs="Times New Roman"/>
      <w:szCs w:val="24"/>
    </w:rPr>
  </w:style>
  <w:style w:type="character" w:customStyle="1" w:styleId="80">
    <w:name w:val="结束语 Char1"/>
    <w:basedOn w:val="41"/>
    <w:autoRedefine/>
    <w:semiHidden/>
    <w:qFormat/>
    <w:uiPriority w:val="99"/>
    <w:rPr>
      <w:rFonts w:ascii="Times New Roman" w:hAnsi="Times New Roman" w:eastAsia="宋体" w:cs="Times New Roman"/>
      <w:szCs w:val="24"/>
    </w:rPr>
  </w:style>
  <w:style w:type="character" w:customStyle="1" w:styleId="81">
    <w:name w:val="HTML 预设格式 Char1"/>
    <w:basedOn w:val="41"/>
    <w:autoRedefine/>
    <w:semiHidden/>
    <w:qFormat/>
    <w:uiPriority w:val="99"/>
    <w:rPr>
      <w:rFonts w:ascii="Courier New" w:hAnsi="Courier New" w:eastAsia="宋体" w:cs="Courier New"/>
      <w:sz w:val="20"/>
      <w:szCs w:val="20"/>
    </w:rPr>
  </w:style>
  <w:style w:type="character" w:customStyle="1" w:styleId="82">
    <w:name w:val="页眉 字符"/>
    <w:basedOn w:val="41"/>
    <w:link w:val="26"/>
    <w:autoRedefine/>
    <w:qFormat/>
    <w:uiPriority w:val="0"/>
    <w:rPr>
      <w:rFonts w:ascii="Times New Roman" w:hAnsi="Times New Roman" w:eastAsia="宋体" w:cs="Times New Roman"/>
      <w:sz w:val="18"/>
      <w:szCs w:val="18"/>
    </w:rPr>
  </w:style>
  <w:style w:type="character" w:customStyle="1" w:styleId="83">
    <w:name w:val="页脚 Char1"/>
    <w:basedOn w:val="41"/>
    <w:autoRedefine/>
    <w:semiHidden/>
    <w:qFormat/>
    <w:uiPriority w:val="99"/>
    <w:rPr>
      <w:rFonts w:ascii="Times New Roman" w:hAnsi="Times New Roman" w:eastAsia="宋体" w:cs="Times New Roman"/>
      <w:sz w:val="18"/>
      <w:szCs w:val="18"/>
    </w:rPr>
  </w:style>
  <w:style w:type="paragraph" w:customStyle="1" w:styleId="84">
    <w:name w:val="xl27"/>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85">
    <w:name w:val="Char Char Char Char"/>
    <w:basedOn w:val="1"/>
    <w:autoRedefine/>
    <w:qFormat/>
    <w:uiPriority w:val="0"/>
    <w:rPr>
      <w:kern w:val="0"/>
      <w:sz w:val="24"/>
      <w:szCs w:val="20"/>
    </w:rPr>
  </w:style>
  <w:style w:type="paragraph" w:customStyle="1" w:styleId="86">
    <w:name w:val="p0"/>
    <w:basedOn w:val="1"/>
    <w:autoRedefine/>
    <w:qFormat/>
    <w:uiPriority w:val="0"/>
    <w:pPr>
      <w:widowControl/>
    </w:pPr>
    <w:rPr>
      <w:kern w:val="0"/>
      <w:szCs w:val="21"/>
    </w:rPr>
  </w:style>
  <w:style w:type="character" w:customStyle="1" w:styleId="87">
    <w:name w:val="文档结构图 字符"/>
    <w:basedOn w:val="41"/>
    <w:link w:val="9"/>
    <w:autoRedefine/>
    <w:qFormat/>
    <w:uiPriority w:val="0"/>
    <w:rPr>
      <w:rFonts w:ascii="Times New Roman" w:hAnsi="Times New Roman" w:eastAsia="宋体" w:cs="Times New Roman"/>
      <w:szCs w:val="24"/>
      <w:shd w:val="clear" w:color="auto" w:fill="000080"/>
    </w:rPr>
  </w:style>
  <w:style w:type="paragraph" w:styleId="88">
    <w:name w:val="List Paragraph"/>
    <w:basedOn w:val="1"/>
    <w:autoRedefine/>
    <w:qFormat/>
    <w:uiPriority w:val="99"/>
    <w:pPr>
      <w:ind w:firstLine="420" w:firstLineChars="200"/>
    </w:pPr>
  </w:style>
  <w:style w:type="character" w:customStyle="1" w:styleId="89">
    <w:name w:val="批注文字 Char1"/>
    <w:basedOn w:val="41"/>
    <w:semiHidden/>
    <w:qFormat/>
    <w:uiPriority w:val="0"/>
    <w:rPr>
      <w:rFonts w:ascii="Times New Roman" w:hAnsi="Times New Roman" w:eastAsia="宋体" w:cs="Times New Roman"/>
      <w:szCs w:val="20"/>
    </w:rPr>
  </w:style>
  <w:style w:type="character" w:customStyle="1" w:styleId="90">
    <w:name w:val="文档结构图 Char1"/>
    <w:basedOn w:val="41"/>
    <w:semiHidden/>
    <w:qFormat/>
    <w:uiPriority w:val="99"/>
    <w:rPr>
      <w:rFonts w:ascii="宋体"/>
      <w:kern w:val="2"/>
      <w:sz w:val="18"/>
      <w:szCs w:val="18"/>
    </w:rPr>
  </w:style>
  <w:style w:type="character" w:customStyle="1" w:styleId="91">
    <w:name w:val="标题 2 Char1"/>
    <w:basedOn w:val="41"/>
    <w:qFormat/>
    <w:uiPriority w:val="0"/>
    <w:rPr>
      <w:rFonts w:ascii="Arial" w:hAnsi="Arial" w:eastAsia="黑体"/>
      <w:b/>
      <w:bCs/>
      <w:kern w:val="2"/>
      <w:sz w:val="32"/>
      <w:szCs w:val="32"/>
      <w:lang w:val="en-US" w:eastAsia="zh-CN" w:bidi="ar-SA"/>
    </w:rPr>
  </w:style>
  <w:style w:type="character" w:customStyle="1" w:styleId="92">
    <w:name w:val="font11"/>
    <w:basedOn w:val="41"/>
    <w:qFormat/>
    <w:uiPriority w:val="0"/>
    <w:rPr>
      <w:rFonts w:hint="eastAsia" w:ascii="宋体" w:hAnsi="宋体" w:eastAsia="宋体" w:cs="宋体"/>
      <w:color w:val="FF0000"/>
      <w:sz w:val="24"/>
      <w:szCs w:val="24"/>
      <w:u w:val="none"/>
    </w:rPr>
  </w:style>
  <w:style w:type="character" w:customStyle="1" w:styleId="93">
    <w:name w:val="Char Char1"/>
    <w:basedOn w:val="41"/>
    <w:qFormat/>
    <w:uiPriority w:val="0"/>
    <w:rPr>
      <w:rFonts w:eastAsia="宋体"/>
      <w:b/>
      <w:bCs/>
      <w:kern w:val="44"/>
      <w:sz w:val="44"/>
      <w:szCs w:val="44"/>
      <w:lang w:val="en-US" w:eastAsia="zh-CN" w:bidi="ar-SA"/>
    </w:rPr>
  </w:style>
  <w:style w:type="character" w:customStyle="1" w:styleId="94">
    <w:name w:val="disabled6"/>
    <w:basedOn w:val="41"/>
    <w:qFormat/>
    <w:uiPriority w:val="0"/>
    <w:rPr>
      <w:color w:val="929292"/>
      <w:szCs w:val="21"/>
      <w:bdr w:val="single" w:color="929292" w:sz="6" w:space="0"/>
    </w:rPr>
  </w:style>
  <w:style w:type="character" w:customStyle="1" w:styleId="95">
    <w:name w:val="正文1"/>
    <w:autoRedefine/>
    <w:qFormat/>
    <w:uiPriority w:val="0"/>
    <w:rPr>
      <w:rFonts w:hint="eastAsia" w:ascii="宋体" w:hAnsi="宋体" w:eastAsia="宋体"/>
      <w:color w:val="000000"/>
    </w:rPr>
  </w:style>
  <w:style w:type="character" w:customStyle="1" w:styleId="96">
    <w:name w:val="标题 2 Char2"/>
    <w:basedOn w:val="41"/>
    <w:autoRedefine/>
    <w:qFormat/>
    <w:uiPriority w:val="0"/>
    <w:rPr>
      <w:rFonts w:ascii="Arial" w:hAnsi="Arial" w:eastAsia="黑体" w:cs="Times New Roman"/>
      <w:b/>
      <w:bCs/>
      <w:sz w:val="32"/>
      <w:szCs w:val="32"/>
    </w:rPr>
  </w:style>
  <w:style w:type="character" w:customStyle="1" w:styleId="97">
    <w:name w:val="Char Char Char"/>
    <w:basedOn w:val="41"/>
    <w:autoRedefine/>
    <w:qFormat/>
    <w:uiPriority w:val="0"/>
    <w:rPr>
      <w:rFonts w:ascii="Arial" w:hAnsi="Arial" w:eastAsia="黑体"/>
      <w:b/>
      <w:bCs/>
      <w:kern w:val="2"/>
      <w:sz w:val="32"/>
      <w:szCs w:val="32"/>
      <w:lang w:val="en-US" w:eastAsia="zh-CN" w:bidi="ar-SA"/>
    </w:rPr>
  </w:style>
  <w:style w:type="character" w:customStyle="1" w:styleId="98">
    <w:name w:val="font21"/>
    <w:basedOn w:val="41"/>
    <w:autoRedefine/>
    <w:qFormat/>
    <w:uiPriority w:val="0"/>
    <w:rPr>
      <w:rFonts w:hint="default" w:ascii="Times New Roman" w:hAnsi="Times New Roman" w:cs="Times New Roman"/>
      <w:color w:val="000000"/>
      <w:sz w:val="24"/>
      <w:szCs w:val="24"/>
      <w:u w:val="none"/>
    </w:rPr>
  </w:style>
  <w:style w:type="character" w:customStyle="1" w:styleId="99">
    <w:name w:val="font31"/>
    <w:basedOn w:val="41"/>
    <w:autoRedefine/>
    <w:qFormat/>
    <w:uiPriority w:val="0"/>
    <w:rPr>
      <w:rFonts w:hint="eastAsia" w:ascii="宋体" w:hAnsi="宋体" w:eastAsia="宋体" w:cs="宋体"/>
      <w:color w:val="000000"/>
      <w:sz w:val="24"/>
      <w:szCs w:val="24"/>
      <w:u w:val="none"/>
    </w:rPr>
  </w:style>
  <w:style w:type="character" w:customStyle="1" w:styleId="100">
    <w:name w:val="纯文本 Char1"/>
    <w:qFormat/>
    <w:uiPriority w:val="0"/>
    <w:rPr>
      <w:rFonts w:ascii="宋体" w:hAnsi="Courier New" w:eastAsia="宋体"/>
      <w:sz w:val="24"/>
    </w:rPr>
  </w:style>
  <w:style w:type="character" w:customStyle="1" w:styleId="101">
    <w:name w:val="文档结构图 Char2"/>
    <w:basedOn w:val="41"/>
    <w:autoRedefine/>
    <w:semiHidden/>
    <w:qFormat/>
    <w:uiPriority w:val="99"/>
    <w:rPr>
      <w:rFonts w:ascii="宋体" w:hAnsi="Times New Roman" w:eastAsia="宋体" w:cs="Times New Roman"/>
      <w:sz w:val="18"/>
      <w:szCs w:val="18"/>
    </w:rPr>
  </w:style>
  <w:style w:type="character" w:customStyle="1" w:styleId="102">
    <w:name w:val="页眉 Char1"/>
    <w:basedOn w:val="41"/>
    <w:autoRedefine/>
    <w:semiHidden/>
    <w:qFormat/>
    <w:uiPriority w:val="99"/>
    <w:rPr>
      <w:rFonts w:ascii="Times New Roman" w:hAnsi="Times New Roman" w:eastAsia="宋体" w:cs="Times New Roman"/>
      <w:sz w:val="18"/>
      <w:szCs w:val="18"/>
    </w:rPr>
  </w:style>
  <w:style w:type="character" w:customStyle="1" w:styleId="103">
    <w:name w:val="正文文本 2 字符"/>
    <w:basedOn w:val="41"/>
    <w:link w:val="33"/>
    <w:qFormat/>
    <w:uiPriority w:val="0"/>
    <w:rPr>
      <w:rFonts w:ascii="宋体" w:hAnsi="宋体" w:eastAsia="宋体" w:cs="Times New Roman"/>
      <w:b/>
      <w:bCs/>
      <w:sz w:val="24"/>
      <w:szCs w:val="24"/>
    </w:rPr>
  </w:style>
  <w:style w:type="character" w:customStyle="1" w:styleId="104">
    <w:name w:val="信息标题 字符"/>
    <w:basedOn w:val="41"/>
    <w:link w:val="34"/>
    <w:qFormat/>
    <w:uiPriority w:val="0"/>
    <w:rPr>
      <w:rFonts w:ascii="Arial" w:hAnsi="Arial" w:eastAsia="宋体" w:cs="Times New Roman"/>
      <w:sz w:val="24"/>
      <w:szCs w:val="24"/>
    </w:rPr>
  </w:style>
  <w:style w:type="character" w:customStyle="1" w:styleId="105">
    <w:name w:val="正文文本缩进 2 Char1"/>
    <w:basedOn w:val="41"/>
    <w:autoRedefine/>
    <w:semiHidden/>
    <w:qFormat/>
    <w:uiPriority w:val="99"/>
    <w:rPr>
      <w:rFonts w:ascii="Times New Roman" w:hAnsi="Times New Roman" w:eastAsia="宋体" w:cs="Times New Roman"/>
      <w:szCs w:val="24"/>
    </w:rPr>
  </w:style>
  <w:style w:type="paragraph" w:customStyle="1" w:styleId="106">
    <w:name w:val="Char2"/>
    <w:basedOn w:val="1"/>
    <w:qFormat/>
    <w:uiPriority w:val="0"/>
    <w:pPr>
      <w:widowControl/>
      <w:spacing w:after="160" w:line="240" w:lineRule="exact"/>
      <w:jc w:val="left"/>
    </w:pPr>
  </w:style>
  <w:style w:type="paragraph" w:customStyle="1" w:styleId="107">
    <w:name w:val="样式 标题 3 + (中文) 黑体 小四 非加粗 段前: 7.8 磅 段后: 0 磅 行距: 固定值 20 磅"/>
    <w:basedOn w:val="4"/>
    <w:autoRedefine/>
    <w:qFormat/>
    <w:uiPriority w:val="0"/>
    <w:pPr>
      <w:spacing w:line="400" w:lineRule="exact"/>
    </w:pPr>
    <w:rPr>
      <w:rFonts w:eastAsia="黑体" w:cs="宋体"/>
      <w:b w:val="0"/>
      <w:bCs w:val="0"/>
      <w:szCs w:val="20"/>
    </w:rPr>
  </w:style>
  <w:style w:type="paragraph" w:customStyle="1" w:styleId="108">
    <w:name w:val="Char"/>
    <w:basedOn w:val="1"/>
    <w:autoRedefine/>
    <w:qFormat/>
    <w:uiPriority w:val="0"/>
  </w:style>
  <w:style w:type="paragraph" w:customStyle="1" w:styleId="109">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10">
    <w:name w:val="Char Char Char Char1"/>
    <w:basedOn w:val="1"/>
    <w:autoRedefine/>
    <w:qFormat/>
    <w:uiPriority w:val="0"/>
    <w:rPr>
      <w:kern w:val="0"/>
      <w:sz w:val="24"/>
      <w:szCs w:val="20"/>
    </w:rPr>
  </w:style>
  <w:style w:type="paragraph" w:customStyle="1" w:styleId="111">
    <w:name w:val="列出段落1"/>
    <w:basedOn w:val="1"/>
    <w:autoRedefine/>
    <w:qFormat/>
    <w:uiPriority w:val="34"/>
    <w:pPr>
      <w:ind w:firstLine="420" w:firstLineChars="200"/>
    </w:pPr>
  </w:style>
  <w:style w:type="paragraph" w:customStyle="1" w:styleId="112">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bCs w:val="0"/>
      <w:sz w:val="28"/>
      <w:szCs w:val="20"/>
    </w:rPr>
  </w:style>
  <w:style w:type="paragraph" w:customStyle="1" w:styleId="113">
    <w:name w:val="Char1"/>
    <w:basedOn w:val="1"/>
    <w:qFormat/>
    <w:uiPriority w:val="0"/>
  </w:style>
  <w:style w:type="paragraph" w:customStyle="1" w:styleId="114">
    <w:name w:val="Char Char11"/>
    <w:basedOn w:val="1"/>
    <w:qFormat/>
    <w:uiPriority w:val="0"/>
    <w:rPr>
      <w:szCs w:val="21"/>
    </w:rPr>
  </w:style>
  <w:style w:type="paragraph" w:customStyle="1" w:styleId="115">
    <w:name w:val="Char Char7"/>
    <w:basedOn w:val="1"/>
    <w:autoRedefine/>
    <w:qFormat/>
    <w:uiPriority w:val="0"/>
    <w:rPr>
      <w:szCs w:val="21"/>
    </w:rPr>
  </w:style>
  <w:style w:type="paragraph" w:customStyle="1" w:styleId="116">
    <w:name w:val="Char Char 字元 字元 字元 Char Char Char Char"/>
    <w:basedOn w:val="1"/>
    <w:qFormat/>
    <w:uiPriority w:val="0"/>
    <w:pPr>
      <w:adjustRightInd w:val="0"/>
      <w:spacing w:line="360" w:lineRule="auto"/>
    </w:pPr>
    <w:rPr>
      <w:kern w:val="0"/>
      <w:sz w:val="24"/>
      <w:szCs w:val="20"/>
    </w:rPr>
  </w:style>
  <w:style w:type="paragraph" w:customStyle="1" w:styleId="117">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118">
    <w:name w:val="正文文本首行缩进 字符"/>
    <w:basedOn w:val="61"/>
    <w:link w:val="38"/>
    <w:qFormat/>
    <w:uiPriority w:val="0"/>
    <w:rPr>
      <w:rFonts w:ascii="Calibri" w:eastAsia="宋体"/>
      <w:kern w:val="0"/>
      <w:sz w:val="20"/>
      <w:szCs w:val="24"/>
    </w:rPr>
  </w:style>
  <w:style w:type="character" w:customStyle="1" w:styleId="119">
    <w:name w:val="current1"/>
    <w:basedOn w:val="41"/>
    <w:autoRedefine/>
    <w:qFormat/>
    <w:uiPriority w:val="0"/>
    <w:rPr>
      <w:b/>
      <w:color w:val="FFFFFF"/>
      <w:shd w:val="clear" w:color="auto" w:fill="000000"/>
    </w:rPr>
  </w:style>
  <w:style w:type="character" w:customStyle="1" w:styleId="120">
    <w:name w:val="disabled9"/>
    <w:basedOn w:val="41"/>
    <w:qFormat/>
    <w:uiPriority w:val="0"/>
    <w:rPr>
      <w:color w:val="DDDDDD"/>
      <w:bdr w:val="single" w:color="EEEEEE" w:sz="6" w:space="0"/>
    </w:rPr>
  </w:style>
  <w:style w:type="character" w:customStyle="1" w:styleId="121">
    <w:name w:val="grp"/>
    <w:basedOn w:val="41"/>
    <w:qFormat/>
    <w:uiPriority w:val="0"/>
    <w:rPr>
      <w:b/>
    </w:rPr>
  </w:style>
  <w:style w:type="character" w:customStyle="1" w:styleId="122">
    <w:name w:val="current7"/>
    <w:basedOn w:val="41"/>
    <w:qFormat/>
    <w:uiPriority w:val="0"/>
    <w:rPr>
      <w:b/>
      <w:color w:val="FF0084"/>
    </w:rPr>
  </w:style>
  <w:style w:type="character" w:customStyle="1" w:styleId="123">
    <w:name w:val="current20"/>
    <w:basedOn w:val="41"/>
    <w:qFormat/>
    <w:uiPriority w:val="0"/>
    <w:rPr>
      <w:b/>
      <w:color w:val="FFFFFF"/>
      <w:bdr w:val="single" w:color="FF5A00" w:sz="12" w:space="0"/>
      <w:shd w:val="clear" w:color="auto" w:fill="FF6C16"/>
    </w:rPr>
  </w:style>
  <w:style w:type="character" w:customStyle="1" w:styleId="124">
    <w:name w:val="disabled2"/>
    <w:basedOn w:val="41"/>
    <w:qFormat/>
    <w:uiPriority w:val="0"/>
    <w:rPr>
      <w:vanish/>
    </w:rPr>
  </w:style>
  <w:style w:type="character" w:customStyle="1" w:styleId="125">
    <w:name w:val="current22"/>
    <w:basedOn w:val="41"/>
    <w:autoRedefine/>
    <w:qFormat/>
    <w:uiPriority w:val="0"/>
    <w:rPr>
      <w:b/>
      <w:color w:val="000000"/>
      <w:bdr w:val="single" w:color="E89954" w:sz="6" w:space="0"/>
      <w:shd w:val="clear" w:color="auto" w:fill="FFCA7D"/>
    </w:rPr>
  </w:style>
  <w:style w:type="character" w:customStyle="1" w:styleId="126">
    <w:name w:val="current14"/>
    <w:basedOn w:val="41"/>
    <w:autoRedefine/>
    <w:qFormat/>
    <w:uiPriority w:val="0"/>
    <w:rPr>
      <w:b/>
      <w:color w:val="FFFFFF"/>
      <w:shd w:val="clear" w:color="auto" w:fill="313131"/>
    </w:rPr>
  </w:style>
  <w:style w:type="character" w:customStyle="1" w:styleId="127">
    <w:name w:val="disabled10"/>
    <w:basedOn w:val="41"/>
    <w:autoRedefine/>
    <w:qFormat/>
    <w:uiPriority w:val="0"/>
    <w:rPr>
      <w:color w:val="808080"/>
      <w:bdr w:val="single" w:color="606060" w:sz="6" w:space="0"/>
    </w:rPr>
  </w:style>
  <w:style w:type="paragraph" w:customStyle="1" w:styleId="128">
    <w:name w:val="首行缩进两字"/>
    <w:basedOn w:val="1"/>
    <w:autoRedefine/>
    <w:qFormat/>
    <w:uiPriority w:val="0"/>
    <w:pPr>
      <w:ind w:firstLine="200" w:firstLineChars="200"/>
      <w:jc w:val="left"/>
    </w:pPr>
    <w:rPr>
      <w:rFonts w:hint="eastAsia" w:ascii="宋体" w:hAnsi="宋体"/>
      <w:color w:val="000000"/>
      <w:kern w:val="0"/>
      <w:sz w:val="28"/>
      <w:szCs w:val="20"/>
    </w:rPr>
  </w:style>
  <w:style w:type="character" w:customStyle="1" w:styleId="129">
    <w:name w:val="current5"/>
    <w:basedOn w:val="41"/>
    <w:autoRedefine/>
    <w:qFormat/>
    <w:uiPriority w:val="0"/>
    <w:rPr>
      <w:b/>
      <w:color w:val="FFFFFF"/>
      <w:bdr w:val="single" w:color="000080" w:sz="6" w:space="0"/>
      <w:shd w:val="clear" w:color="auto" w:fill="2E6AB1"/>
    </w:rPr>
  </w:style>
  <w:style w:type="character" w:customStyle="1" w:styleId="130">
    <w:name w:val="disabled21"/>
    <w:basedOn w:val="41"/>
    <w:autoRedefine/>
    <w:qFormat/>
    <w:uiPriority w:val="0"/>
    <w:rPr>
      <w:vanish/>
    </w:rPr>
  </w:style>
  <w:style w:type="character" w:customStyle="1" w:styleId="131">
    <w:name w:val="current6"/>
    <w:basedOn w:val="41"/>
    <w:autoRedefine/>
    <w:qFormat/>
    <w:uiPriority w:val="0"/>
    <w:rPr>
      <w:b/>
      <w:color w:val="000000"/>
    </w:rPr>
  </w:style>
  <w:style w:type="character" w:customStyle="1" w:styleId="132">
    <w:name w:val="标题 2 字符"/>
    <w:basedOn w:val="41"/>
    <w:autoRedefine/>
    <w:qFormat/>
    <w:uiPriority w:val="0"/>
    <w:rPr>
      <w:rFonts w:hint="default" w:ascii="Arial" w:hAnsi="Arial" w:eastAsia="黑体" w:cs="Arial"/>
      <w:b/>
      <w:sz w:val="32"/>
      <w:szCs w:val="32"/>
    </w:rPr>
  </w:style>
  <w:style w:type="character" w:customStyle="1" w:styleId="133">
    <w:name w:val="bid"/>
    <w:basedOn w:val="41"/>
    <w:autoRedefine/>
    <w:qFormat/>
    <w:uiPriority w:val="0"/>
    <w:rPr>
      <w:b/>
      <w:sz w:val="18"/>
      <w:szCs w:val="18"/>
      <w:bdr w:val="single" w:color="FF9900" w:sz="6" w:space="0"/>
      <w:shd w:val="clear" w:color="auto" w:fill="FFE7C1"/>
    </w:rPr>
  </w:style>
  <w:style w:type="character" w:customStyle="1" w:styleId="134">
    <w:name w:val="disabled4"/>
    <w:basedOn w:val="41"/>
    <w:autoRedefine/>
    <w:qFormat/>
    <w:uiPriority w:val="0"/>
    <w:rPr>
      <w:color w:val="DDDDDD"/>
      <w:bdr w:val="single" w:color="EEEEEE" w:sz="6" w:space="0"/>
    </w:rPr>
  </w:style>
  <w:style w:type="character" w:customStyle="1" w:styleId="135">
    <w:name w:val="current4"/>
    <w:basedOn w:val="41"/>
    <w:autoRedefine/>
    <w:qFormat/>
    <w:uiPriority w:val="0"/>
    <w:rPr>
      <w:b/>
      <w:color w:val="000000"/>
      <w:bdr w:val="single" w:color="FFFFFF" w:sz="12" w:space="0"/>
    </w:rPr>
  </w:style>
  <w:style w:type="character" w:customStyle="1" w:styleId="136">
    <w:name w:val="current"/>
    <w:basedOn w:val="41"/>
    <w:autoRedefine/>
    <w:qFormat/>
    <w:uiPriority w:val="0"/>
    <w:rPr>
      <w:b/>
      <w:color w:val="AAAAAA"/>
      <w:bdr w:val="single" w:color="E0E0E0" w:sz="6" w:space="0"/>
      <w:shd w:val="clear" w:color="auto" w:fill="F0F0F0"/>
    </w:rPr>
  </w:style>
  <w:style w:type="character" w:customStyle="1" w:styleId="137">
    <w:name w:val="current13"/>
    <w:basedOn w:val="41"/>
    <w:autoRedefine/>
    <w:qFormat/>
    <w:uiPriority w:val="0"/>
    <w:rPr>
      <w:b/>
      <w:color w:val="FFFFFF"/>
      <w:bdr w:val="single" w:color="000000" w:sz="6" w:space="0"/>
      <w:shd w:val="clear" w:color="auto" w:fill="000000"/>
    </w:rPr>
  </w:style>
  <w:style w:type="character" w:customStyle="1" w:styleId="138">
    <w:name w:val="current16"/>
    <w:basedOn w:val="41"/>
    <w:autoRedefine/>
    <w:qFormat/>
    <w:uiPriority w:val="0"/>
    <w:rPr>
      <w:b/>
      <w:color w:val="FFFFFF"/>
      <w:bdr w:val="single" w:color="D9D300" w:sz="6" w:space="0"/>
      <w:shd w:val="clear" w:color="auto" w:fill="D9D300"/>
    </w:rPr>
  </w:style>
  <w:style w:type="character" w:customStyle="1" w:styleId="139">
    <w:name w:val="disabled7"/>
    <w:basedOn w:val="41"/>
    <w:autoRedefine/>
    <w:qFormat/>
    <w:uiPriority w:val="0"/>
    <w:rPr>
      <w:vanish/>
    </w:rPr>
  </w:style>
  <w:style w:type="character" w:customStyle="1" w:styleId="140">
    <w:name w:val="disabled"/>
    <w:basedOn w:val="41"/>
    <w:autoRedefine/>
    <w:qFormat/>
    <w:uiPriority w:val="0"/>
    <w:rPr>
      <w:color w:val="CCCCCC"/>
      <w:bdr w:val="single" w:color="F3F3F3" w:sz="6" w:space="0"/>
    </w:rPr>
  </w:style>
  <w:style w:type="character" w:customStyle="1" w:styleId="141">
    <w:name w:val="页脚 字符1"/>
    <w:basedOn w:val="41"/>
    <w:autoRedefine/>
    <w:qFormat/>
    <w:uiPriority w:val="0"/>
    <w:rPr>
      <w:kern w:val="2"/>
      <w:sz w:val="18"/>
      <w:szCs w:val="18"/>
    </w:rPr>
  </w:style>
  <w:style w:type="character" w:customStyle="1" w:styleId="142">
    <w:name w:val="disabled5"/>
    <w:basedOn w:val="41"/>
    <w:autoRedefine/>
    <w:qFormat/>
    <w:uiPriority w:val="0"/>
    <w:rPr>
      <w:vanish/>
    </w:rPr>
  </w:style>
  <w:style w:type="character" w:customStyle="1" w:styleId="143">
    <w:name w:val="current8"/>
    <w:basedOn w:val="41"/>
    <w:autoRedefine/>
    <w:qFormat/>
    <w:uiPriority w:val="0"/>
    <w:rPr>
      <w:b/>
      <w:color w:val="000000"/>
      <w:bdr w:val="single" w:color="FFFFFF" w:sz="6" w:space="0"/>
      <w:shd w:val="clear" w:color="auto" w:fill="FFFFFF"/>
    </w:rPr>
  </w:style>
  <w:style w:type="character" w:customStyle="1" w:styleId="144">
    <w:name w:val="current21"/>
    <w:basedOn w:val="41"/>
    <w:autoRedefine/>
    <w:qFormat/>
    <w:uiPriority w:val="0"/>
    <w:rPr>
      <w:b/>
      <w:color w:val="FFFFFF"/>
      <w:bdr w:val="single" w:color="AAD83E" w:sz="6" w:space="0"/>
      <w:shd w:val="clear" w:color="auto" w:fill="AAD83E"/>
    </w:rPr>
  </w:style>
  <w:style w:type="character" w:customStyle="1" w:styleId="145">
    <w:name w:val="current19"/>
    <w:basedOn w:val="41"/>
    <w:autoRedefine/>
    <w:qFormat/>
    <w:uiPriority w:val="0"/>
    <w:rPr>
      <w:b/>
      <w:color w:val="444444"/>
      <w:bdr w:val="single" w:color="B7D8EE" w:sz="6" w:space="0"/>
      <w:shd w:val="clear" w:color="auto" w:fill="D2EAF6"/>
    </w:rPr>
  </w:style>
  <w:style w:type="character" w:customStyle="1" w:styleId="146">
    <w:name w:val="current12"/>
    <w:basedOn w:val="41"/>
    <w:autoRedefine/>
    <w:qFormat/>
    <w:uiPriority w:val="0"/>
    <w:rPr>
      <w:b/>
      <w:color w:val="FFFFFF"/>
      <w:bdr w:val="single" w:color="B2E05D" w:sz="6" w:space="0"/>
      <w:shd w:val="clear" w:color="auto" w:fill="B2E05D"/>
    </w:rPr>
  </w:style>
  <w:style w:type="character" w:customStyle="1" w:styleId="147">
    <w:name w:val="disabled23"/>
    <w:basedOn w:val="41"/>
    <w:autoRedefine/>
    <w:qFormat/>
    <w:uiPriority w:val="0"/>
    <w:rPr>
      <w:color w:val="CCCCCC"/>
      <w:bdr w:val="single" w:color="CCCCCC" w:sz="6" w:space="0"/>
    </w:rPr>
  </w:style>
  <w:style w:type="character" w:customStyle="1" w:styleId="148">
    <w:name w:val="cremain"/>
    <w:basedOn w:val="41"/>
    <w:autoRedefine/>
    <w:qFormat/>
    <w:uiPriority w:val="0"/>
    <w:rPr>
      <w:color w:val="FF0000"/>
    </w:rPr>
  </w:style>
  <w:style w:type="character" w:customStyle="1" w:styleId="149">
    <w:name w:val="disabled8"/>
    <w:basedOn w:val="41"/>
    <w:autoRedefine/>
    <w:qFormat/>
    <w:uiPriority w:val="0"/>
    <w:rPr>
      <w:color w:val="ADAAAD"/>
    </w:rPr>
  </w:style>
  <w:style w:type="character" w:customStyle="1" w:styleId="150">
    <w:name w:val="bidbd"/>
    <w:basedOn w:val="41"/>
    <w:autoRedefine/>
    <w:qFormat/>
    <w:uiPriority w:val="0"/>
    <w:rPr>
      <w:b/>
      <w:sz w:val="18"/>
      <w:szCs w:val="18"/>
      <w:bdr w:val="single" w:color="009933" w:sz="6" w:space="0"/>
      <w:shd w:val="clear" w:color="auto" w:fill="DDFFE8"/>
    </w:rPr>
  </w:style>
  <w:style w:type="character" w:customStyle="1" w:styleId="151">
    <w:name w:val="current9"/>
    <w:basedOn w:val="41"/>
    <w:autoRedefine/>
    <w:qFormat/>
    <w:uiPriority w:val="0"/>
    <w:rPr>
      <w:b/>
      <w:color w:val="FFFFFF"/>
      <w:bdr w:val="single" w:color="FFFFFF" w:sz="6" w:space="0"/>
      <w:shd w:val="clear" w:color="auto" w:fill="606060"/>
    </w:rPr>
  </w:style>
  <w:style w:type="character" w:customStyle="1" w:styleId="152">
    <w:name w:val="file"/>
    <w:basedOn w:val="41"/>
    <w:autoRedefine/>
    <w:qFormat/>
    <w:uiPriority w:val="0"/>
  </w:style>
  <w:style w:type="character" w:customStyle="1" w:styleId="153">
    <w:name w:val="disabled14"/>
    <w:basedOn w:val="41"/>
    <w:autoRedefine/>
    <w:qFormat/>
    <w:uiPriority w:val="0"/>
    <w:rPr>
      <w:color w:val="DDDDDD"/>
      <w:bdr w:val="single" w:color="EEEEEE" w:sz="6" w:space="0"/>
    </w:rPr>
  </w:style>
  <w:style w:type="character" w:customStyle="1" w:styleId="154">
    <w:name w:val="disabled19"/>
    <w:basedOn w:val="41"/>
    <w:autoRedefine/>
    <w:qFormat/>
    <w:uiPriority w:val="0"/>
    <w:rPr>
      <w:vanish/>
    </w:rPr>
  </w:style>
  <w:style w:type="character" w:customStyle="1" w:styleId="155">
    <w:name w:val="disabled16"/>
    <w:basedOn w:val="41"/>
    <w:autoRedefine/>
    <w:qFormat/>
    <w:uiPriority w:val="0"/>
    <w:rPr>
      <w:color w:val="797979"/>
      <w:shd w:val="clear" w:color="auto" w:fill="C1C1C1"/>
    </w:rPr>
  </w:style>
  <w:style w:type="character" w:customStyle="1" w:styleId="156">
    <w:name w:val="current15"/>
    <w:basedOn w:val="41"/>
    <w:autoRedefine/>
    <w:qFormat/>
    <w:uiPriority w:val="0"/>
    <w:rPr>
      <w:b/>
      <w:color w:val="303030"/>
      <w:shd w:val="clear" w:color="auto" w:fill="FFFFFF"/>
    </w:rPr>
  </w:style>
  <w:style w:type="character" w:customStyle="1" w:styleId="157">
    <w:name w:val="current11"/>
    <w:basedOn w:val="41"/>
    <w:qFormat/>
    <w:uiPriority w:val="0"/>
    <w:rPr>
      <w:b/>
      <w:color w:val="FF6500"/>
      <w:bdr w:val="single" w:color="FF6500" w:sz="6" w:space="0"/>
      <w:shd w:val="clear" w:color="auto" w:fill="FFBE94"/>
    </w:rPr>
  </w:style>
  <w:style w:type="character" w:customStyle="1" w:styleId="158">
    <w:name w:val="folder"/>
    <w:basedOn w:val="41"/>
    <w:qFormat/>
    <w:uiPriority w:val="0"/>
  </w:style>
  <w:style w:type="character" w:customStyle="1" w:styleId="159">
    <w:name w:val="Char Char Char1"/>
    <w:basedOn w:val="41"/>
    <w:qFormat/>
    <w:uiPriority w:val="0"/>
    <w:rPr>
      <w:rFonts w:hint="default" w:ascii="Arial" w:hAnsi="Arial" w:eastAsia="黑体" w:cs="Arial"/>
      <w:b/>
      <w:kern w:val="2"/>
      <w:sz w:val="32"/>
      <w:szCs w:val="32"/>
      <w:lang w:val="en-US" w:eastAsia="zh-CN"/>
    </w:rPr>
  </w:style>
  <w:style w:type="character" w:customStyle="1" w:styleId="160">
    <w:name w:val="disabled22"/>
    <w:basedOn w:val="41"/>
    <w:qFormat/>
    <w:uiPriority w:val="0"/>
    <w:rPr>
      <w:color w:val="CCCCCC"/>
      <w:bdr w:val="single" w:color="F3F3F3" w:sz="6" w:space="0"/>
    </w:rPr>
  </w:style>
  <w:style w:type="character" w:customStyle="1" w:styleId="161">
    <w:name w:val="z-窗体底端 字符"/>
    <w:basedOn w:val="41"/>
    <w:qFormat/>
    <w:uiPriority w:val="0"/>
    <w:rPr>
      <w:rFonts w:hint="default" w:ascii="Arial" w:hAnsi="Arial" w:cs="Arial"/>
      <w:vanish/>
      <w:sz w:val="16"/>
      <w:szCs w:val="16"/>
    </w:rPr>
  </w:style>
  <w:style w:type="character" w:customStyle="1" w:styleId="162">
    <w:name w:val="current3"/>
    <w:basedOn w:val="41"/>
    <w:qFormat/>
    <w:uiPriority w:val="0"/>
    <w:rPr>
      <w:b/>
      <w:color w:val="FFFFFF"/>
      <w:bdr w:val="single" w:color="000099" w:sz="6" w:space="0"/>
      <w:shd w:val="clear" w:color="auto" w:fill="000099"/>
    </w:rPr>
  </w:style>
  <w:style w:type="character" w:customStyle="1" w:styleId="163">
    <w:name w:val="disabled13"/>
    <w:basedOn w:val="41"/>
    <w:qFormat/>
    <w:uiPriority w:val="0"/>
    <w:rPr>
      <w:color w:val="CCCCCC"/>
      <w:bdr w:val="single" w:color="F3F3F3" w:sz="6" w:space="0"/>
    </w:rPr>
  </w:style>
  <w:style w:type="character" w:customStyle="1" w:styleId="164">
    <w:name w:val="sp12"/>
    <w:basedOn w:val="41"/>
    <w:qFormat/>
    <w:uiPriority w:val="0"/>
    <w:rPr>
      <w:u w:val="single"/>
    </w:rPr>
  </w:style>
  <w:style w:type="character" w:customStyle="1" w:styleId="165">
    <w:name w:val="disabled18"/>
    <w:basedOn w:val="41"/>
    <w:qFormat/>
    <w:uiPriority w:val="0"/>
    <w:rPr>
      <w:vanish/>
    </w:rPr>
  </w:style>
  <w:style w:type="character" w:customStyle="1" w:styleId="166">
    <w:name w:val="current17"/>
    <w:basedOn w:val="41"/>
    <w:qFormat/>
    <w:uiPriority w:val="0"/>
    <w:rPr>
      <w:color w:val="6D643C"/>
      <w:shd w:val="clear" w:color="auto" w:fill="F6EFCC"/>
    </w:rPr>
  </w:style>
  <w:style w:type="character" w:customStyle="1" w:styleId="167">
    <w:name w:val="disabled20"/>
    <w:basedOn w:val="41"/>
    <w:qFormat/>
    <w:uiPriority w:val="0"/>
    <w:rPr>
      <w:vanish/>
    </w:rPr>
  </w:style>
  <w:style w:type="character" w:customStyle="1" w:styleId="168">
    <w:name w:val="current10"/>
    <w:basedOn w:val="41"/>
    <w:qFormat/>
    <w:uiPriority w:val="0"/>
    <w:rPr>
      <w:b/>
      <w:color w:val="99210B"/>
    </w:rPr>
  </w:style>
  <w:style w:type="character" w:customStyle="1" w:styleId="169">
    <w:name w:val="current18"/>
    <w:basedOn w:val="41"/>
    <w:qFormat/>
    <w:uiPriority w:val="0"/>
    <w:rPr>
      <w:b/>
      <w:color w:val="000000"/>
    </w:rPr>
  </w:style>
  <w:style w:type="character" w:customStyle="1" w:styleId="170">
    <w:name w:val="z-窗体顶端 字符"/>
    <w:basedOn w:val="41"/>
    <w:qFormat/>
    <w:uiPriority w:val="0"/>
    <w:rPr>
      <w:rFonts w:hint="default" w:ascii="Arial" w:hAnsi="Arial" w:cs="Arial"/>
      <w:vanish/>
      <w:sz w:val="16"/>
      <w:szCs w:val="16"/>
    </w:rPr>
  </w:style>
  <w:style w:type="character" w:customStyle="1" w:styleId="171">
    <w:name w:val="disabled1"/>
    <w:basedOn w:val="41"/>
    <w:qFormat/>
    <w:uiPriority w:val="0"/>
    <w:rPr>
      <w:color w:val="444444"/>
      <w:shd w:val="clear" w:color="auto" w:fill="000000"/>
    </w:rPr>
  </w:style>
  <w:style w:type="character" w:customStyle="1" w:styleId="172">
    <w:name w:val="disabled3"/>
    <w:basedOn w:val="41"/>
    <w:qFormat/>
    <w:uiPriority w:val="0"/>
    <w:rPr>
      <w:vanish/>
    </w:rPr>
  </w:style>
  <w:style w:type="character" w:customStyle="1" w:styleId="173">
    <w:name w:val="批注文字 字符"/>
    <w:basedOn w:val="41"/>
    <w:qFormat/>
    <w:uiPriority w:val="0"/>
    <w:rPr>
      <w:kern w:val="2"/>
      <w:sz w:val="21"/>
      <w:szCs w:val="21"/>
    </w:rPr>
  </w:style>
  <w:style w:type="character" w:customStyle="1" w:styleId="174">
    <w:name w:val="disabled12"/>
    <w:basedOn w:val="41"/>
    <w:qFormat/>
    <w:uiPriority w:val="0"/>
    <w:rPr>
      <w:color w:val="FFE3C6"/>
      <w:bdr w:val="single" w:color="FFE3C6" w:sz="6" w:space="0"/>
    </w:rPr>
  </w:style>
  <w:style w:type="character" w:customStyle="1" w:styleId="175">
    <w:name w:val="disabled11"/>
    <w:basedOn w:val="41"/>
    <w:qFormat/>
    <w:uiPriority w:val="0"/>
    <w:rPr>
      <w:color w:val="ADAAAD"/>
    </w:rPr>
  </w:style>
  <w:style w:type="character" w:customStyle="1" w:styleId="176">
    <w:name w:val="font01"/>
    <w:basedOn w:val="41"/>
    <w:qFormat/>
    <w:uiPriority w:val="0"/>
    <w:rPr>
      <w:rFonts w:hint="eastAsia" w:ascii="宋体" w:hAnsi="宋体" w:eastAsia="宋体" w:cs="宋体"/>
      <w:color w:val="000000"/>
      <w:sz w:val="22"/>
      <w:szCs w:val="22"/>
      <w:u w:val="none"/>
    </w:rPr>
  </w:style>
  <w:style w:type="character" w:customStyle="1" w:styleId="177">
    <w:name w:val="disabled17"/>
    <w:basedOn w:val="41"/>
    <w:autoRedefine/>
    <w:qFormat/>
    <w:uiPriority w:val="0"/>
    <w:rPr>
      <w:color w:val="DDDDDD"/>
      <w:bdr w:val="single" w:color="EEEEEE" w:sz="6" w:space="0"/>
    </w:rPr>
  </w:style>
  <w:style w:type="character" w:customStyle="1" w:styleId="178">
    <w:name w:val="disabled15"/>
    <w:basedOn w:val="41"/>
    <w:qFormat/>
    <w:uiPriority w:val="0"/>
    <w:rPr>
      <w:color w:val="868686"/>
      <w:shd w:val="clear" w:color="auto" w:fill="3E3E3E"/>
    </w:rPr>
  </w:style>
  <w:style w:type="character" w:customStyle="1" w:styleId="179">
    <w:name w:val="current2"/>
    <w:basedOn w:val="41"/>
    <w:qFormat/>
    <w:uiPriority w:val="0"/>
    <w:rPr>
      <w:color w:val="000000"/>
      <w:shd w:val="clear" w:color="auto" w:fill="FFFFFF"/>
    </w:rPr>
  </w:style>
  <w:style w:type="character" w:customStyle="1" w:styleId="180">
    <w:name w:val="正文文本缩进 字符1"/>
    <w:basedOn w:val="41"/>
    <w:qFormat/>
    <w:uiPriority w:val="0"/>
    <w:rPr>
      <w:kern w:val="2"/>
      <w:sz w:val="21"/>
      <w:szCs w:val="21"/>
    </w:rPr>
  </w:style>
  <w:style w:type="character" w:customStyle="1" w:styleId="181">
    <w:name w:val="批注主题 字符1"/>
    <w:basedOn w:val="65"/>
    <w:qFormat/>
    <w:uiPriority w:val="0"/>
    <w:rPr>
      <w:rFonts w:eastAsia="宋体"/>
      <w:b/>
      <w:kern w:val="2"/>
      <w:sz w:val="21"/>
      <w:szCs w:val="21"/>
    </w:rPr>
  </w:style>
  <w:style w:type="character" w:customStyle="1" w:styleId="182">
    <w:name w:val="文档结构图 字符1"/>
    <w:basedOn w:val="41"/>
    <w:qFormat/>
    <w:uiPriority w:val="0"/>
    <w:rPr>
      <w:rFonts w:hint="eastAsia" w:ascii="Microsoft YaHei UI" w:hAnsi="Microsoft YaHei UI" w:eastAsia="Microsoft YaHei UI" w:cs="Microsoft YaHei UI"/>
      <w:kern w:val="2"/>
      <w:sz w:val="18"/>
      <w:szCs w:val="18"/>
    </w:rPr>
  </w:style>
  <w:style w:type="character" w:customStyle="1" w:styleId="183">
    <w:name w:val="日期 字符1"/>
    <w:basedOn w:val="41"/>
    <w:qFormat/>
    <w:uiPriority w:val="0"/>
    <w:rPr>
      <w:kern w:val="2"/>
      <w:sz w:val="21"/>
      <w:szCs w:val="21"/>
    </w:rPr>
  </w:style>
  <w:style w:type="character" w:customStyle="1" w:styleId="184">
    <w:name w:val="正文文本缩进 2 字符1"/>
    <w:basedOn w:val="41"/>
    <w:qFormat/>
    <w:uiPriority w:val="0"/>
    <w:rPr>
      <w:kern w:val="2"/>
      <w:sz w:val="21"/>
      <w:szCs w:val="21"/>
    </w:rPr>
  </w:style>
  <w:style w:type="character" w:customStyle="1" w:styleId="185">
    <w:name w:val="批注框文本 字符1"/>
    <w:basedOn w:val="41"/>
    <w:qFormat/>
    <w:uiPriority w:val="0"/>
    <w:rPr>
      <w:kern w:val="2"/>
      <w:sz w:val="18"/>
      <w:szCs w:val="18"/>
    </w:rPr>
  </w:style>
  <w:style w:type="character" w:customStyle="1" w:styleId="186">
    <w:name w:val="页眉 字符1"/>
    <w:basedOn w:val="41"/>
    <w:qFormat/>
    <w:uiPriority w:val="0"/>
    <w:rPr>
      <w:kern w:val="2"/>
      <w:sz w:val="18"/>
      <w:szCs w:val="18"/>
    </w:rPr>
  </w:style>
  <w:style w:type="character" w:customStyle="1" w:styleId="187">
    <w:name w:val="z-窗体顶端 字符1"/>
    <w:basedOn w:val="41"/>
    <w:qFormat/>
    <w:uiPriority w:val="0"/>
    <w:rPr>
      <w:rFonts w:hint="default" w:ascii="Arial" w:hAnsi="Arial" w:cs="Arial"/>
      <w:vanish/>
      <w:kern w:val="2"/>
      <w:sz w:val="16"/>
      <w:szCs w:val="16"/>
    </w:rPr>
  </w:style>
  <w:style w:type="character" w:customStyle="1" w:styleId="188">
    <w:name w:val="z-窗体底端 字符1"/>
    <w:basedOn w:val="41"/>
    <w:qFormat/>
    <w:uiPriority w:val="0"/>
    <w:rPr>
      <w:rFonts w:hint="default" w:ascii="Arial" w:hAnsi="Arial" w:cs="Arial"/>
      <w:vanish/>
      <w:kern w:val="2"/>
      <w:sz w:val="16"/>
      <w:szCs w:val="16"/>
    </w:rPr>
  </w:style>
  <w:style w:type="paragraph" w:customStyle="1" w:styleId="189">
    <w:name w:val="Table Paragraph"/>
    <w:basedOn w:val="1"/>
    <w:qFormat/>
    <w:uiPriority w:val="99"/>
    <w:rPr>
      <w:rFonts w:ascii="宋体" w:hAnsi="宋体" w:cs="宋体"/>
      <w:lang w:val="zh-CN"/>
    </w:rPr>
  </w:style>
  <w:style w:type="paragraph" w:customStyle="1" w:styleId="190">
    <w:name w:val="修订1"/>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191">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73</Pages>
  <Words>20933</Words>
  <Characters>21990</Characters>
  <Lines>235</Lines>
  <Paragraphs>66</Paragraphs>
  <TotalTime>4</TotalTime>
  <ScaleCrop>false</ScaleCrop>
  <LinksUpToDate>false</LinksUpToDate>
  <CharactersWithSpaces>23285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2020-08-07T01:14:00Z</dcterms:created>
  <dc:creator>PC</dc:creator>
  <cp:lastModifiedBy>AAAA</cp:lastModifiedBy>
  <cp:lastPrinted>2025-04-01T08:22:53Z</cp:lastPrinted>
  <dcterms:modified xsi:type="dcterms:W3CDTF">2025-04-01T08:33:22Z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AD1648F0CBD24630BBD3D76023BAECC2_13</vt:lpwstr>
  </property>
  <property fmtid="{D5CDD505-2E9C-101B-9397-08002B2CF9AE}" pid="4" name="KSOTemplateDocerSaveRecord">
    <vt:lpwstr>eyJoZGlkIjoiMjU3MjhlNjhlY2MxNmVjMWJmZDk1MmNmZGJkMThkYmMiLCJ1c2VySWQiOiIzNTYyMzk0MzMifQ==</vt:lpwstr>
  </property>
</Properties>
</file>