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B716">
      <w:pPr>
        <w:pStyle w:val="18"/>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邹城市钢山街道办事处钢山花园小区李官村三期室外雨污水及弱电管网工程</w:t>
      </w:r>
    </w:p>
    <w:p w14:paraId="2DFC204C">
      <w:pPr>
        <w:pStyle w:val="18"/>
        <w:jc w:val="center"/>
        <w:rPr>
          <w:rFonts w:hint="eastAsia" w:hAnsi="宋体"/>
          <w:b/>
          <w:color w:val="auto"/>
          <w:sz w:val="52"/>
          <w:szCs w:val="52"/>
          <w:lang w:eastAsia="zh-CN"/>
        </w:rPr>
      </w:pPr>
    </w:p>
    <w:p w14:paraId="2CC7E217">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14:paraId="2D3D12F1">
      <w:pPr>
        <w:pStyle w:val="18"/>
        <w:jc w:val="center"/>
        <w:rPr>
          <w:rFonts w:hint="eastAsia" w:hAnsi="宋体" w:eastAsia="宋体"/>
          <w:b/>
          <w:color w:val="auto"/>
          <w:sz w:val="18"/>
          <w:szCs w:val="18"/>
          <w:lang w:eastAsia="zh-CN"/>
        </w:rPr>
      </w:pPr>
    </w:p>
    <w:p w14:paraId="43C55680">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SDTS-ZCZB2024-035</w:t>
      </w:r>
    </w:p>
    <w:p w14:paraId="5CB8D601">
      <w:pPr>
        <w:jc w:val="center"/>
        <w:rPr>
          <w:rFonts w:ascii="宋体" w:hAnsi="宋体"/>
          <w:b/>
          <w:color w:val="auto"/>
          <w:sz w:val="36"/>
          <w:szCs w:val="36"/>
        </w:rPr>
      </w:pPr>
    </w:p>
    <w:p w14:paraId="6ED48152">
      <w:pPr>
        <w:jc w:val="center"/>
        <w:rPr>
          <w:rFonts w:ascii="宋体" w:hAnsi="宋体"/>
          <w:b/>
          <w:color w:val="auto"/>
          <w:sz w:val="36"/>
          <w:szCs w:val="36"/>
        </w:rPr>
      </w:pPr>
    </w:p>
    <w:p w14:paraId="5AE4D7DC">
      <w:pPr>
        <w:jc w:val="center"/>
        <w:rPr>
          <w:rFonts w:ascii="宋体" w:hAnsi="宋体"/>
          <w:b/>
          <w:bCs/>
          <w:color w:val="auto"/>
          <w:kern w:val="16"/>
          <w:sz w:val="36"/>
          <w:szCs w:val="36"/>
        </w:rPr>
      </w:pPr>
    </w:p>
    <w:p w14:paraId="63644B83">
      <w:pPr>
        <w:pStyle w:val="10"/>
        <w:rPr>
          <w:rFonts w:ascii="宋体" w:hAnsi="宋体"/>
          <w:b/>
          <w:bCs/>
          <w:color w:val="auto"/>
          <w:kern w:val="16"/>
          <w:sz w:val="36"/>
          <w:szCs w:val="36"/>
        </w:rPr>
      </w:pPr>
    </w:p>
    <w:p w14:paraId="0511BFDE">
      <w:pPr>
        <w:rPr>
          <w:rFonts w:ascii="宋体" w:hAnsi="宋体"/>
          <w:b/>
          <w:bCs/>
          <w:color w:val="auto"/>
          <w:kern w:val="16"/>
          <w:sz w:val="36"/>
          <w:szCs w:val="36"/>
        </w:rPr>
      </w:pPr>
    </w:p>
    <w:p w14:paraId="1310C065">
      <w:pPr>
        <w:rPr>
          <w:rFonts w:ascii="宋体" w:hAnsi="宋体"/>
          <w:b/>
          <w:bCs/>
          <w:color w:val="auto"/>
          <w:kern w:val="16"/>
          <w:sz w:val="36"/>
          <w:szCs w:val="36"/>
        </w:rPr>
      </w:pPr>
    </w:p>
    <w:p w14:paraId="33AFBB1B">
      <w:pPr>
        <w:pStyle w:val="85"/>
        <w:spacing w:line="600" w:lineRule="auto"/>
        <w:ind w:firstLine="1446" w:firstLineChars="400"/>
        <w:jc w:val="both"/>
        <w:rPr>
          <w:rFonts w:hint="eastAsia" w:ascii="宋体" w:hAnsi="宋体"/>
          <w:b/>
          <w:color w:val="auto"/>
          <w:sz w:val="36"/>
          <w:szCs w:val="36"/>
        </w:rPr>
      </w:pPr>
    </w:p>
    <w:p w14:paraId="61728ACE">
      <w:pPr>
        <w:pStyle w:val="85"/>
        <w:spacing w:line="600" w:lineRule="auto"/>
        <w:ind w:firstLine="1446" w:firstLineChars="400"/>
        <w:jc w:val="both"/>
        <w:rPr>
          <w:rFonts w:hint="eastAsia" w:ascii="宋体" w:hAnsi="宋体"/>
          <w:b/>
          <w:color w:val="auto"/>
          <w:sz w:val="36"/>
          <w:szCs w:val="36"/>
        </w:rPr>
      </w:pPr>
    </w:p>
    <w:p w14:paraId="7EC2A74E">
      <w:pPr>
        <w:pStyle w:val="85"/>
        <w:spacing w:line="600" w:lineRule="auto"/>
        <w:ind w:firstLine="1446" w:firstLineChars="400"/>
        <w:jc w:val="both"/>
        <w:rPr>
          <w:rFonts w:hint="eastAsia" w:ascii="宋体" w:hAnsi="宋体"/>
          <w:b/>
          <w:color w:val="auto"/>
          <w:sz w:val="36"/>
          <w:szCs w:val="36"/>
        </w:rPr>
      </w:pPr>
    </w:p>
    <w:p w14:paraId="57485BB4">
      <w:pPr>
        <w:pStyle w:val="85"/>
        <w:spacing w:line="600" w:lineRule="auto"/>
        <w:ind w:firstLine="1446" w:firstLineChars="400"/>
        <w:jc w:val="both"/>
        <w:rPr>
          <w:rFonts w:hint="eastAsia" w:ascii="宋体" w:hAnsi="宋体"/>
          <w:b/>
          <w:color w:val="auto"/>
          <w:sz w:val="36"/>
          <w:szCs w:val="36"/>
        </w:rPr>
      </w:pPr>
    </w:p>
    <w:p w14:paraId="0F5DDC13">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邹城市钢山街道李官庄村村民委员会</w:t>
      </w:r>
    </w:p>
    <w:p w14:paraId="0D0217CC">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山东泰山工程项目管理有限公司</w:t>
      </w:r>
    </w:p>
    <w:p w14:paraId="6AD434E3">
      <w:pPr>
        <w:tabs>
          <w:tab w:val="left" w:pos="1080"/>
        </w:tabs>
        <w:spacing w:line="600" w:lineRule="auto"/>
        <w:ind w:firstLine="1446" w:firstLineChars="400"/>
        <w:rPr>
          <w:rFonts w:ascii="宋体" w:hAnsi="宋体"/>
          <w:b/>
          <w:color w:val="auto"/>
          <w:sz w:val="36"/>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四</w:t>
      </w:r>
      <w:r>
        <w:rPr>
          <w:rFonts w:hint="eastAsia" w:ascii="宋体" w:hAnsi="宋体"/>
          <w:b/>
          <w:color w:val="auto"/>
          <w:sz w:val="36"/>
          <w:szCs w:val="36"/>
        </w:rPr>
        <w:t>年</w:t>
      </w:r>
      <w:r>
        <w:rPr>
          <w:rFonts w:hint="eastAsia" w:ascii="宋体" w:hAnsi="宋体"/>
          <w:b/>
          <w:color w:val="auto"/>
          <w:sz w:val="36"/>
          <w:szCs w:val="36"/>
          <w:lang w:eastAsia="zh-CN"/>
        </w:rPr>
        <w:t>八</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40FEAF89">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05E9238A">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14:paraId="5F79D498">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BA63B10">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AC3BD2">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9B94CE">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48A765A">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743DA7">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C548A8">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14:paraId="48A14670">
      <w:pPr>
        <w:spacing w:line="360" w:lineRule="auto"/>
        <w:jc w:val="center"/>
        <w:outlineLvl w:val="9"/>
        <w:rPr>
          <w:rFonts w:ascii="宋体" w:hAnsi="宋体"/>
          <w:b/>
          <w:color w:val="auto"/>
          <w:sz w:val="32"/>
          <w:szCs w:val="32"/>
        </w:rPr>
      </w:pPr>
      <w:bookmarkStart w:id="4" w:name="_Toc15040"/>
      <w:bookmarkStart w:id="168" w:name="_GoBack"/>
      <w:bookmarkEnd w:id="168"/>
    </w:p>
    <w:p w14:paraId="7207DBF6">
      <w:pPr>
        <w:spacing w:line="360" w:lineRule="auto"/>
        <w:jc w:val="center"/>
        <w:outlineLvl w:val="9"/>
        <w:rPr>
          <w:rFonts w:ascii="宋体" w:hAnsi="宋体"/>
          <w:b/>
          <w:color w:val="auto"/>
          <w:sz w:val="32"/>
          <w:szCs w:val="32"/>
        </w:rPr>
      </w:pPr>
    </w:p>
    <w:p w14:paraId="55535E10">
      <w:pPr>
        <w:spacing w:line="360" w:lineRule="auto"/>
        <w:jc w:val="center"/>
        <w:outlineLvl w:val="9"/>
        <w:rPr>
          <w:rFonts w:ascii="宋体" w:hAnsi="宋体"/>
          <w:color w:val="auto"/>
          <w:sz w:val="32"/>
          <w:szCs w:val="32"/>
        </w:rPr>
      </w:pPr>
    </w:p>
    <w:p w14:paraId="3E3CF25B">
      <w:pPr>
        <w:tabs>
          <w:tab w:val="left" w:pos="6210"/>
        </w:tabs>
        <w:rPr>
          <w:rFonts w:ascii="宋体" w:hAnsi="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1C62FE24">
      <w:pPr>
        <w:pStyle w:val="3"/>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14:paraId="0AE6A364">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6" w:name="_Hlk62638239"/>
      <w:r>
        <w:rPr>
          <w:rFonts w:hint="eastAsia" w:ascii="宋体" w:hAnsi="宋体" w:cs="Helvetica"/>
          <w:b/>
          <w:bCs/>
          <w:color w:val="auto"/>
          <w:kern w:val="0"/>
          <w:sz w:val="24"/>
          <w:lang w:val="en" w:eastAsia="zh-CN"/>
        </w:rPr>
        <w:t>邹城市钢山街道办事处钢山花园小区李官村三期室外雨污水及弱电管网工程</w:t>
      </w:r>
    </w:p>
    <w:p w14:paraId="737E155A">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14:paraId="3EFC4338">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邹城市钢山街道李官庄村村民委员会</w:t>
      </w:r>
    </w:p>
    <w:p w14:paraId="7E5CD56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邹城市钢山街道办事处钢山花园小区李官村三期室外雨污水及弱电管网工程</w:t>
      </w:r>
    </w:p>
    <w:p w14:paraId="72089A75">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SDTS-ZCZB2024-035</w:t>
      </w:r>
    </w:p>
    <w:p w14:paraId="2B8FFC3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415938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szCs w:val="24"/>
          <w:lang w:eastAsia="zh-CN"/>
        </w:rPr>
        <w:t>邹城市钢山街道办事处钢山花园小区李官村三期室外雨污水及弱电管网工程包括图纸范围内（以施工界面划分为准）的全部内容，主要包括室外雨污水管网铺设，室外照明系统及弱电管网铺设；发包人分包的给水系统、热力系统、强电、强电系统、燃气系统等各项施工中的配合及预留的接口闭合等全部内容（详见工程量清单，以工程量清单为准）。施工界面划分如下（注：此界面划分供各施工单位厘清施工范围，界面划分标准中不属于室外工程施工单位的施工内容，已在本次招标的工程量清单中剔除）：（1）室外雨污水管网与主楼管网连接处，以出外墙1.5米为界</w:t>
      </w:r>
      <w:r>
        <w:rPr>
          <w:rFonts w:hint="eastAsia" w:ascii="宋体" w:hAnsi="宋体" w:eastAsia="宋体" w:cs="宋体"/>
          <w:color w:val="auto"/>
          <w:sz w:val="24"/>
          <w:szCs w:val="24"/>
          <w:lang w:eastAsia="zh-CN"/>
        </w:rPr>
        <w:t>。采购预算为</w:t>
      </w:r>
      <w:r>
        <w:rPr>
          <w:rFonts w:hint="eastAsia" w:ascii="宋体" w:hAnsi="宋体" w:cs="宋体"/>
          <w:color w:val="auto"/>
          <w:sz w:val="24"/>
          <w:szCs w:val="24"/>
          <w:lang w:val="en-US" w:eastAsia="zh-CN"/>
        </w:rPr>
        <w:t>3696178.24</w:t>
      </w:r>
      <w:r>
        <w:rPr>
          <w:rFonts w:hint="eastAsia" w:ascii="宋体" w:hAnsi="宋体" w:eastAsia="宋体" w:cs="宋体"/>
          <w:color w:val="auto"/>
          <w:sz w:val="24"/>
          <w:szCs w:val="24"/>
          <w:lang w:eastAsia="zh-CN"/>
        </w:rPr>
        <w:t>元 (详见第四章采购内容及要求)</w:t>
      </w:r>
      <w:r>
        <w:rPr>
          <w:rFonts w:hint="eastAsia" w:ascii="宋体" w:hAnsi="宋体" w:cs="宋体"/>
          <w:color w:val="auto"/>
          <w:kern w:val="0"/>
          <w:sz w:val="24"/>
          <w:shd w:val="clear" w:color="auto" w:fill="FFFFFF"/>
          <w:lang w:val="en-US" w:eastAsia="zh-CN" w:bidi="ar"/>
        </w:rPr>
        <w:t>。</w:t>
      </w:r>
    </w:p>
    <w:p w14:paraId="4A8221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57EBB84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09C9037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48191F8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7D291F2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33AC6D0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41A4DB9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5DCD9F2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0CFEE1C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建筑工程施工总承包三级（含）以上资质</w:t>
      </w:r>
      <w:r>
        <w:rPr>
          <w:rFonts w:hint="eastAsia" w:ascii="宋体" w:hAnsi="宋体" w:eastAsia="宋体" w:cs="宋体"/>
          <w:i w:val="0"/>
          <w:iCs w:val="0"/>
          <w:caps w:val="0"/>
          <w:color w:val="auto"/>
          <w:spacing w:val="0"/>
          <w:sz w:val="24"/>
          <w:szCs w:val="24"/>
          <w:shd w:val="clear" w:fill="FFFFFF"/>
        </w:rPr>
        <w:t>，并在人员、设备、资金等</w:t>
      </w:r>
      <w:r>
        <w:rPr>
          <w:rFonts w:hint="eastAsia" w:ascii="宋体" w:hAnsi="宋体" w:eastAsia="宋体" w:cs="宋体"/>
          <w:i w:val="0"/>
          <w:iCs w:val="0"/>
          <w:caps w:val="0"/>
          <w:color w:val="auto"/>
          <w:spacing w:val="0"/>
          <w:sz w:val="24"/>
          <w:szCs w:val="24"/>
          <w:shd w:val="clear" w:fill="FFFFFF"/>
        </w:rPr>
        <w:t>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w:t>
      </w:r>
      <w:r>
        <w:rPr>
          <w:rFonts w:hint="eastAsia" w:ascii="宋体" w:hAnsi="宋体" w:eastAsia="宋体" w:cs="宋体"/>
          <w:i w:val="0"/>
          <w:iCs w:val="0"/>
          <w:caps w:val="0"/>
          <w:color w:val="auto"/>
          <w:spacing w:val="0"/>
          <w:sz w:val="24"/>
          <w:szCs w:val="24"/>
          <w:shd w:val="clear" w:fill="FFFFFF"/>
        </w:rPr>
        <w:t>他在施建设工程项目的项目经理</w:t>
      </w:r>
      <w:r>
        <w:rPr>
          <w:rFonts w:hint="eastAsia" w:ascii="宋体" w:hAnsi="宋体" w:cs="宋体"/>
          <w:bCs/>
          <w:color w:val="auto"/>
          <w:kern w:val="0"/>
          <w:sz w:val="24"/>
        </w:rPr>
        <w:t>。</w:t>
      </w:r>
    </w:p>
    <w:p w14:paraId="09E1330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FD4FB4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原件或加盖单位公章复印件）、法定代表人或授权委托人有效身份证原件及法人授权委托书原件以及竞争性磋商文件第三部分磋商组织、步骤与评审方法中要求的相关证件资料等。</w:t>
      </w:r>
    </w:p>
    <w:p w14:paraId="62D6061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03700E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14:paraId="3880D54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14:paraId="1C19E1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日至</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3628FC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14:paraId="6B2479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14:paraId="576787C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14:paraId="08F83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邹城市钢山街道李官庄村村民委员会</w:t>
      </w:r>
      <w:r>
        <w:rPr>
          <w:rFonts w:hint="eastAsia" w:ascii="宋体" w:hAnsi="宋体" w:eastAsia="宋体" w:cs="宋体"/>
          <w:color w:val="auto"/>
          <w:sz w:val="24"/>
          <w:szCs w:val="24"/>
          <w:lang w:eastAsia="zh-CN"/>
        </w:rPr>
        <w:t>会于</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分磋商开始前在</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受理供应商磋商响应文件的递交；</w:t>
      </w:r>
    </w:p>
    <w:p w14:paraId="503398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14:paraId="0A6A529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14:paraId="07934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254DE7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w:t>
      </w:r>
    </w:p>
    <w:p w14:paraId="0167F99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14:paraId="522F11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邹城市钢山街道李官庄村村民委员会</w:t>
      </w:r>
    </w:p>
    <w:p w14:paraId="1BAF9C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邹城市护驾山路3666号钢山花园社区高层2号楼</w:t>
      </w:r>
    </w:p>
    <w:p w14:paraId="0E8DBE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王主任</w:t>
      </w:r>
    </w:p>
    <w:p w14:paraId="159698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18865044555</w:t>
      </w:r>
    </w:p>
    <w:p w14:paraId="6D37D3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山东泰山工程项目管理有限公司</w:t>
      </w:r>
    </w:p>
    <w:p w14:paraId="6AB2BF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济南市经十东路28666号超算中心科技园2号楼4层</w:t>
      </w:r>
    </w:p>
    <w:p w14:paraId="32425E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顾晓斌</w:t>
      </w:r>
    </w:p>
    <w:p w14:paraId="642FF4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18354743698</w:t>
      </w:r>
      <w:r>
        <w:rPr>
          <w:rFonts w:hint="eastAsia" w:ascii="宋体" w:hAnsi="宋体" w:eastAsia="宋体" w:cs="宋体"/>
          <w:color w:val="auto"/>
          <w:sz w:val="24"/>
          <w:szCs w:val="24"/>
          <w:lang w:val="en-US" w:eastAsia="zh-CN"/>
        </w:rPr>
        <w:t xml:space="preserve">     </w:t>
      </w:r>
    </w:p>
    <w:p w14:paraId="46CBE1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sdtszcfgs@163.com</w:t>
      </w:r>
    </w:p>
    <w:p w14:paraId="380C09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14:paraId="593C01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14:paraId="36D7EB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2、竞争性磋商文件等相关资料一经在邹城外宣网 (http://w.mencius.gov.cn/）发布，视作已发放给所有潜在供应商 (发布时间即为发出磋商文件的时间)，各供应商应随时关注邹城市外宣网下载电子版磋商文件，否则所造成的一切后果由供应商自负。</w:t>
      </w:r>
    </w:p>
    <w:p w14:paraId="789865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14:paraId="34E8B4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邹城市钢山街道李官庄村村民委员会</w:t>
      </w:r>
    </w:p>
    <w:p w14:paraId="43DB7F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山东泰山工程项目管理有限公司</w:t>
      </w:r>
      <w:r>
        <w:rPr>
          <w:rFonts w:hint="eastAsia" w:ascii="宋体" w:hAnsi="宋体" w:eastAsia="宋体" w:cs="宋体"/>
          <w:color w:val="auto"/>
          <w:sz w:val="24"/>
          <w:szCs w:val="24"/>
          <w:lang w:eastAsia="zh-CN"/>
        </w:rPr>
        <w:t xml:space="preserve"> </w:t>
      </w:r>
    </w:p>
    <w:p w14:paraId="123F73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日</w:t>
      </w:r>
    </w:p>
    <w:p w14:paraId="60614B6D">
      <w:pPr>
        <w:widowControl/>
        <w:shd w:val="clear" w:color="auto" w:fill="FFFFFF"/>
        <w:spacing w:line="560" w:lineRule="exact"/>
        <w:ind w:firstLine="480"/>
        <w:jc w:val="left"/>
        <w:rPr>
          <w:rFonts w:ascii="宋体" w:hAnsi="宋体" w:cs="Helvetica"/>
          <w:color w:val="auto"/>
          <w:kern w:val="0"/>
          <w:sz w:val="24"/>
          <w:lang w:val="en"/>
        </w:rPr>
      </w:pPr>
    </w:p>
    <w:p w14:paraId="73824522">
      <w:pPr>
        <w:widowControl/>
        <w:shd w:val="clear" w:color="auto" w:fill="FFFFFF"/>
        <w:spacing w:line="560" w:lineRule="exact"/>
        <w:ind w:firstLine="480"/>
        <w:jc w:val="left"/>
        <w:rPr>
          <w:rFonts w:ascii="宋体" w:hAnsi="宋体" w:cs="Helvetica"/>
          <w:color w:val="auto"/>
          <w:kern w:val="0"/>
          <w:sz w:val="24"/>
          <w:lang w:val="en"/>
        </w:rPr>
      </w:pPr>
    </w:p>
    <w:p w14:paraId="0E783956">
      <w:pPr>
        <w:widowControl/>
        <w:shd w:val="clear" w:color="auto" w:fill="FFFFFF"/>
        <w:spacing w:line="560" w:lineRule="exact"/>
        <w:ind w:firstLine="480"/>
        <w:jc w:val="left"/>
        <w:rPr>
          <w:rFonts w:ascii="宋体" w:hAnsi="宋体" w:cs="Helvetica"/>
          <w:color w:val="auto"/>
          <w:kern w:val="0"/>
          <w:sz w:val="24"/>
          <w:lang w:val="en"/>
        </w:rPr>
      </w:pPr>
    </w:p>
    <w:p w14:paraId="1F7490C1">
      <w:pPr>
        <w:widowControl/>
        <w:shd w:val="clear" w:color="auto" w:fill="FFFFFF"/>
        <w:spacing w:line="560" w:lineRule="exact"/>
        <w:ind w:firstLine="480"/>
        <w:jc w:val="left"/>
        <w:rPr>
          <w:rFonts w:ascii="宋体" w:hAnsi="宋体" w:cs="Helvetica"/>
          <w:color w:val="auto"/>
          <w:kern w:val="0"/>
          <w:sz w:val="24"/>
          <w:lang w:val="en"/>
        </w:rPr>
      </w:pPr>
    </w:p>
    <w:p w14:paraId="58314EB2">
      <w:pPr>
        <w:rPr>
          <w:rFonts w:hint="eastAsia" w:ascii="宋体" w:hAnsi="宋体" w:eastAsia="宋体" w:cs="宋体"/>
          <w:color w:val="auto"/>
          <w:sz w:val="24"/>
          <w:szCs w:val="24"/>
          <w:lang w:eastAsia="zh-CN"/>
        </w:rPr>
      </w:pPr>
      <w:bookmarkStart w:id="8" w:name="_Toc474"/>
      <w:bookmarkStart w:id="9" w:name="_Toc17307"/>
      <w:r>
        <w:rPr>
          <w:rFonts w:hint="eastAsia" w:ascii="宋体" w:hAnsi="宋体" w:eastAsia="宋体" w:cs="宋体"/>
          <w:color w:val="auto"/>
          <w:sz w:val="24"/>
          <w:szCs w:val="24"/>
          <w:lang w:eastAsia="zh-CN"/>
        </w:rPr>
        <w:br w:type="page"/>
      </w:r>
    </w:p>
    <w:p w14:paraId="7714E92B">
      <w:pPr>
        <w:pStyle w:val="3"/>
        <w:bidi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14:paraId="3E44A7D5">
      <w:pPr>
        <w:pStyle w:val="10"/>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14:paraId="0978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D858D7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14:paraId="30FF3A1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14:paraId="7433DD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5853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14:paraId="52DC460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14:paraId="07D59CC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14:paraId="76ABBE73">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邹城市钢山街道办事处钢山花园小区李官村三期室外雨污水及弱电管网工程</w:t>
            </w:r>
          </w:p>
        </w:tc>
      </w:tr>
      <w:tr w14:paraId="656D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14:paraId="1EBAD86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14:paraId="22EBBE8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14:paraId="56A828C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SDTS-ZCZB2024-035</w:t>
            </w:r>
          </w:p>
        </w:tc>
      </w:tr>
      <w:tr w14:paraId="4D7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AEDB8D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14:paraId="69C0310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14:paraId="1268164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邹城市钢山街道办事处钢山花园小区社区内</w:t>
            </w:r>
          </w:p>
        </w:tc>
      </w:tr>
      <w:tr w14:paraId="20AC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165C5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14:paraId="68211AD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14:paraId="729F4416">
            <w:pPr>
              <w:spacing w:line="440" w:lineRule="exact"/>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35日历天</w:t>
            </w:r>
          </w:p>
          <w:p w14:paraId="7A374A45">
            <w:pPr>
              <w:spacing w:line="440" w:lineRule="exact"/>
              <w:ind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tc>
      </w:tr>
      <w:tr w14:paraId="174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14:paraId="59C4530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14:paraId="1D0CC881">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14:paraId="1098EE4B">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14:paraId="1097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58E1FE1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14:paraId="174DBC0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14:paraId="47C65517">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00B4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487A5C4D">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14:paraId="5CB14C95">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14:paraId="426540F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3D2527F8">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（2）整体工程施工全部完成，并经甲方及监理方验收合格后，累计支付实际完成总额工程造价的85%（同比例扣除发包人供应材料、设备价款）。</w:t>
            </w:r>
          </w:p>
          <w:p w14:paraId="1003E77E">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（3）整体工程竣工验收合格移交工程竣工资料并工程备案完毕、经具有工程造价咨询资质的机构审计完成，竣工结算办理完毕手续后累计支付到结算值的97%（全额扣除发包人供应材料、设备价款）。</w:t>
            </w:r>
          </w:p>
          <w:p w14:paraId="284FEC23">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3046713F">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工程结算总价=确认的固定含税全费用综合单价×实测工程量+设计变更、洽商、签证＋依据本合同的增加项目-依据本合同的减少项目-违约金和（或）损失赔偿额；结算资料需双方签字盖章方为有效，不符合条件的工程结算资料依据均属无效，双方不作为办理结算的依据。</w:t>
            </w:r>
          </w:p>
        </w:tc>
      </w:tr>
      <w:tr w14:paraId="1D63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615677B">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14:paraId="21AB25E8">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14:paraId="48C0CA0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7DDE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72A71CC7">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14:paraId="1657B0B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14:paraId="17AB8F6E">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310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48B26B2">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14:paraId="5D2F90F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14:paraId="3287A536">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2D8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0D399E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14:paraId="6A1788C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14:paraId="41E5A2CF">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14:paraId="3D2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AB6FDE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14:paraId="1868981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14:paraId="72B4773C">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cs="宋体"/>
                <w:color w:val="auto"/>
                <w:sz w:val="24"/>
                <w:szCs w:val="24"/>
                <w:lang w:eastAsia="zh-CN"/>
              </w:rPr>
              <w:t>叁</w:t>
            </w:r>
            <w:r>
              <w:rPr>
                <w:rFonts w:hint="eastAsia" w:ascii="宋体" w:hAnsi="宋体" w:eastAsia="宋体" w:cs="宋体"/>
                <w:color w:val="auto"/>
                <w:sz w:val="24"/>
                <w:szCs w:val="24"/>
              </w:rPr>
              <w:t>份</w:t>
            </w:r>
          </w:p>
        </w:tc>
      </w:tr>
      <w:tr w14:paraId="0E3F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30C8E66">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14:paraId="4EE7357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14:paraId="4D3A1400">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180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2F956BB">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14:paraId="2C7803A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14:paraId="7680F2DF">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6A2A4CF7">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cs="宋体"/>
                <w:bCs/>
                <w:color w:val="auto"/>
                <w:sz w:val="24"/>
                <w:szCs w:val="24"/>
                <w:lang w:eastAsia="zh-CN"/>
              </w:rPr>
              <w:t>四</w:t>
            </w:r>
            <w:r>
              <w:rPr>
                <w:rFonts w:hint="eastAsia" w:ascii="宋体" w:hAnsi="宋体" w:eastAsia="宋体" w:cs="宋体"/>
                <w:bCs/>
                <w:color w:val="auto"/>
                <w:sz w:val="24"/>
                <w:szCs w:val="24"/>
              </w:rPr>
              <w:t>份，一份正本和</w:t>
            </w:r>
            <w:r>
              <w:rPr>
                <w:rFonts w:hint="eastAsia" w:ascii="宋体" w:hAnsi="宋体" w:cs="宋体"/>
                <w:bCs/>
                <w:color w:val="auto"/>
                <w:sz w:val="24"/>
                <w:szCs w:val="24"/>
                <w:lang w:eastAsia="zh-CN"/>
              </w:rPr>
              <w:t>三</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14:paraId="0D99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8A03BD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14:paraId="44B6C2E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14:paraId="03E5181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邹城市钢山街道公共资源交易中心开标室</w:t>
            </w:r>
          </w:p>
          <w:p w14:paraId="1CC327F7">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tc>
      </w:tr>
      <w:tr w14:paraId="4A5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C603E4F">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14:paraId="654990A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14:paraId="3B2F6175">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eastAsia="zh-CN"/>
              </w:rPr>
              <w:t>分</w:t>
            </w:r>
          </w:p>
          <w:p w14:paraId="6B57C84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邹城市钢山街道公共资源交易中心开标室</w:t>
            </w:r>
          </w:p>
        </w:tc>
      </w:tr>
      <w:tr w14:paraId="4FD4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0E94BE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14:paraId="5B17CDE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14:paraId="306F42D5">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4ADBBB73">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030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1042722">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14:paraId="3A8B05D6">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14:paraId="5076494D">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3B47DE9E">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采购代理费为采购预算的</w:t>
            </w:r>
            <w:r>
              <w:rPr>
                <w:rFonts w:hint="eastAsia" w:ascii="宋体" w:hAnsi="宋体" w:cs="宋体"/>
                <w:color w:val="auto"/>
                <w:sz w:val="24"/>
                <w:szCs w:val="24"/>
                <w:highlight w:val="none"/>
                <w:lang w:val="en-US" w:eastAsia="zh-CN"/>
              </w:rPr>
              <w:t>0.7%</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p w14:paraId="38518D69">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3、本项目代收评审费11449.00元，</w:t>
            </w:r>
            <w:r>
              <w:rPr>
                <w:rFonts w:hint="eastAsia" w:ascii="宋体" w:hAnsi="宋体" w:eastAsia="宋体" w:cs="宋体"/>
                <w:color w:val="auto"/>
                <w:sz w:val="24"/>
                <w:szCs w:val="24"/>
                <w:highlight w:val="none"/>
              </w:rPr>
              <w:t>成交通知书发出前，成交人从其账户一次性汇入代理机构指定账户。</w:t>
            </w:r>
          </w:p>
        </w:tc>
      </w:tr>
      <w:tr w14:paraId="4E4C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3F532B2">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14:paraId="66937945">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14:paraId="2B536E1C">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3696178.24</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14:paraId="69E240B4">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14:paraId="062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14:paraId="7EBE9941">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14:paraId="11F87C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14:paraId="7C640FFE">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63A8703E">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4E87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14:paraId="195A5599">
            <w:pPr>
              <w:spacing w:line="440" w:lineRule="exact"/>
              <w:jc w:val="center"/>
              <w:rPr>
                <w:rFonts w:hint="eastAsia" w:ascii="宋体" w:hAnsi="宋体" w:eastAsia="宋体" w:cs="宋体"/>
                <w:color w:val="auto"/>
                <w:sz w:val="24"/>
                <w:szCs w:val="24"/>
              </w:rPr>
            </w:pPr>
          </w:p>
        </w:tc>
        <w:tc>
          <w:tcPr>
            <w:tcW w:w="1716" w:type="dxa"/>
            <w:noWrap w:val="0"/>
            <w:vAlign w:val="center"/>
          </w:tcPr>
          <w:p w14:paraId="0E5E283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14:paraId="2CE3EAD5">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sdtszcfgs@163.com</w:t>
            </w:r>
            <w:r>
              <w:rPr>
                <w:rFonts w:hint="eastAsia" w:ascii="宋体" w:hAnsi="宋体" w:eastAsia="宋体" w:cs="宋体"/>
                <w:color w:val="auto"/>
                <w:sz w:val="24"/>
                <w:szCs w:val="24"/>
                <w:highlight w:val="none"/>
              </w:rPr>
              <w:t>。</w:t>
            </w:r>
          </w:p>
        </w:tc>
      </w:tr>
    </w:tbl>
    <w:p w14:paraId="12551842">
      <w:pPr>
        <w:numPr>
          <w:ilvl w:val="0"/>
          <w:numId w:val="0"/>
        </w:numPr>
        <w:jc w:val="both"/>
        <w:rPr>
          <w:rFonts w:hint="eastAsia" w:ascii="宋体" w:hAnsi="宋体" w:eastAsia="宋体" w:cs="宋体"/>
          <w:b w:val="0"/>
          <w:bCs/>
          <w:color w:val="auto"/>
          <w:kern w:val="0"/>
          <w:sz w:val="24"/>
          <w:szCs w:val="24"/>
          <w:highlight w:val="none"/>
        </w:rPr>
      </w:pPr>
    </w:p>
    <w:p w14:paraId="4D3F8B42">
      <w:pPr>
        <w:numPr>
          <w:ilvl w:val="0"/>
          <w:numId w:val="0"/>
        </w:numPr>
        <w:jc w:val="center"/>
        <w:rPr>
          <w:rFonts w:hint="eastAsia" w:ascii="宋体" w:hAnsi="宋体" w:eastAsia="宋体" w:cs="宋体"/>
          <w:b/>
          <w:color w:val="auto"/>
          <w:kern w:val="0"/>
          <w:sz w:val="24"/>
          <w:szCs w:val="24"/>
          <w:highlight w:val="none"/>
        </w:rPr>
      </w:pPr>
    </w:p>
    <w:p w14:paraId="176D764F">
      <w:pPr>
        <w:numPr>
          <w:ilvl w:val="0"/>
          <w:numId w:val="0"/>
        </w:numPr>
        <w:jc w:val="center"/>
        <w:rPr>
          <w:rFonts w:hint="eastAsia" w:ascii="宋体" w:hAnsi="宋体" w:eastAsia="宋体" w:cs="宋体"/>
          <w:b/>
          <w:color w:val="auto"/>
          <w:kern w:val="0"/>
          <w:sz w:val="24"/>
          <w:szCs w:val="24"/>
          <w:highlight w:val="none"/>
        </w:rPr>
      </w:pPr>
    </w:p>
    <w:p w14:paraId="0499B1DD">
      <w:pPr>
        <w:numPr>
          <w:ilvl w:val="0"/>
          <w:numId w:val="0"/>
        </w:numPr>
        <w:jc w:val="center"/>
        <w:rPr>
          <w:rFonts w:hint="eastAsia" w:ascii="宋体" w:hAnsi="宋体" w:eastAsia="宋体" w:cs="宋体"/>
          <w:b/>
          <w:color w:val="auto"/>
          <w:kern w:val="0"/>
          <w:sz w:val="24"/>
          <w:szCs w:val="24"/>
          <w:highlight w:val="none"/>
        </w:rPr>
      </w:pPr>
    </w:p>
    <w:p w14:paraId="57EC802E">
      <w:pPr>
        <w:numPr>
          <w:ilvl w:val="0"/>
          <w:numId w:val="0"/>
        </w:numPr>
        <w:jc w:val="center"/>
        <w:rPr>
          <w:rFonts w:hint="eastAsia" w:ascii="宋体" w:hAnsi="宋体" w:eastAsia="宋体" w:cs="宋体"/>
          <w:b/>
          <w:color w:val="auto"/>
          <w:kern w:val="0"/>
          <w:sz w:val="24"/>
          <w:szCs w:val="24"/>
          <w:highlight w:val="none"/>
        </w:rPr>
      </w:pPr>
    </w:p>
    <w:p w14:paraId="707E8265">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54881F77">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66057B82">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邹城市钢山街道办事处钢山花园小区李官村三期室外雨污水及弱电管网工程</w:t>
      </w:r>
      <w:r>
        <w:rPr>
          <w:rFonts w:hint="eastAsia" w:ascii="宋体" w:hAnsi="宋体"/>
          <w:color w:val="auto"/>
          <w:sz w:val="24"/>
        </w:rPr>
        <w:t>。</w:t>
      </w:r>
    </w:p>
    <w:p w14:paraId="7AF710A3">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03769EB8">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邹城市钢山街道李官庄村村民委员会</w:t>
      </w:r>
      <w:r>
        <w:rPr>
          <w:rFonts w:hint="eastAsia" w:ascii="宋体" w:hAnsi="宋体" w:cs="Arial Unicode MS"/>
          <w:color w:val="auto"/>
          <w:sz w:val="24"/>
        </w:rPr>
        <w:t>；</w:t>
      </w:r>
    </w:p>
    <w:p w14:paraId="5119EB93">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山东泰山工程项目管理有限公司</w:t>
      </w:r>
      <w:r>
        <w:rPr>
          <w:rFonts w:hint="eastAsia" w:ascii="宋体" w:hAnsi="宋体" w:cs="Arial Unicode MS"/>
          <w:color w:val="auto"/>
          <w:sz w:val="24"/>
        </w:rPr>
        <w:t>；</w:t>
      </w:r>
    </w:p>
    <w:p w14:paraId="65C3D672">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43A35B35">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44ABF3C1">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339B179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14:paraId="5F6051D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14:paraId="556F16DF">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14:paraId="0494FB8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14:paraId="079FFC9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14:paraId="13F72988">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14:paraId="25E5490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14:paraId="6404C0B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建筑工程施工总承包三级（含）以上资质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14:paraId="73BFEBF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4196411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eastAsia="宋体" w:cs="宋体"/>
          <w:i w:val="0"/>
          <w:iCs w:val="0"/>
          <w:caps w:val="0"/>
          <w:color w:val="auto"/>
          <w:spacing w:val="0"/>
          <w:sz w:val="24"/>
          <w:szCs w:val="24"/>
          <w:shd w:val="clear" w:fill="FFFFFF"/>
        </w:rPr>
        <w:t>4、</w:t>
      </w:r>
      <w:r>
        <w:rPr>
          <w:rFonts w:hint="eastAsia" w:ascii="宋体" w:hAnsi="宋体" w:cs="宋体"/>
          <w:bCs/>
          <w:color w:val="auto"/>
          <w:kern w:val="0"/>
          <w:sz w:val="24"/>
        </w:rPr>
        <w:t>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原件或加盖单位公章复印件）、法定代表人或授权委托人有效身份证原件及法人授权委托书原件以及竞争性磋商文件第三部分磋商组织、步骤与评审方法中要求的相关证件资料等。</w:t>
      </w:r>
    </w:p>
    <w:p w14:paraId="45FA967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eastAsia="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eastAsia="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32842654">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14:paraId="32E0E9E1">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6B2F3B4A">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60DB0FE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3C3CD1A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4EA64F80">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2AED793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004189D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451DE04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5ADA3E0E">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7F990320">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sdtszcfgs@163.com</w:t>
      </w:r>
      <w:r>
        <w:rPr>
          <w:rFonts w:hint="eastAsia" w:ascii="宋体" w:hAnsi="宋体" w:cs="宋体"/>
          <w:color w:val="auto"/>
          <w:sz w:val="24"/>
        </w:rPr>
        <w:t>；</w:t>
      </w:r>
    </w:p>
    <w:p w14:paraId="269E208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7A05DFA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0A68B5F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6144BDA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2D9A99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089174E3">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61EFC340">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3D36BE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4D13D9C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394A19A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4D07739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3172B6EE">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3DB28E0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5D88886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673165A2">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25CF7FC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5C07449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6DFB77A1">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三</w:t>
      </w:r>
      <w:r>
        <w:rPr>
          <w:rFonts w:hint="eastAsia" w:ascii="宋体" w:hAnsi="宋体" w:cs="黑体"/>
          <w:b w:val="0"/>
          <w:bCs/>
          <w:color w:val="auto"/>
          <w:kern w:val="0"/>
          <w:sz w:val="24"/>
        </w:rPr>
        <w:t>份副本。在每一份磋商响应文件上要明确注明“正本”或“副本”字样，一旦正本和副本有差异，以正本为准；</w:t>
      </w:r>
    </w:p>
    <w:p w14:paraId="75D51B2F">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14:paraId="284C91EE">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4D23542E">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lang w:eastAsia="zh-CN"/>
        </w:rPr>
        <w:t>2024年</w:t>
      </w:r>
      <w:r>
        <w:rPr>
          <w:rFonts w:hint="eastAsia" w:ascii="宋体" w:hAnsi="宋体" w:cs="宋体"/>
          <w:b/>
          <w:color w:val="auto"/>
          <w:kern w:val="0"/>
          <w:sz w:val="24"/>
          <w:lang w:val="en-US" w:eastAsia="zh-CN"/>
        </w:rPr>
        <w:t>9</w:t>
      </w:r>
      <w:r>
        <w:rPr>
          <w:rFonts w:hint="eastAsia" w:ascii="宋体" w:hAnsi="宋体" w:cs="宋体"/>
          <w:b/>
          <w:color w:val="auto"/>
          <w:kern w:val="0"/>
          <w:sz w:val="24"/>
          <w:lang w:eastAsia="zh-CN"/>
        </w:rPr>
        <w:t>月</w:t>
      </w:r>
      <w:r>
        <w:rPr>
          <w:rFonts w:hint="eastAsia" w:ascii="宋体" w:hAnsi="宋体" w:cs="宋体"/>
          <w:b/>
          <w:color w:val="auto"/>
          <w:kern w:val="0"/>
          <w:sz w:val="24"/>
          <w:lang w:val="en-US" w:eastAsia="zh-CN"/>
        </w:rPr>
        <w:t>13</w:t>
      </w:r>
      <w:r>
        <w:rPr>
          <w:rFonts w:hint="eastAsia" w:ascii="宋体" w:hAnsi="宋体" w:cs="宋体"/>
          <w:b/>
          <w:color w:val="auto"/>
          <w:kern w:val="0"/>
          <w:sz w:val="24"/>
          <w:lang w:eastAsia="zh-CN"/>
        </w:rPr>
        <w:t>日</w:t>
      </w:r>
      <w:r>
        <w:rPr>
          <w:rFonts w:hint="eastAsia" w:ascii="宋体" w:hAnsi="宋体" w:cs="宋体"/>
          <w:b/>
          <w:color w:val="auto"/>
          <w:kern w:val="0"/>
          <w:sz w:val="24"/>
          <w:lang w:val="en-US" w:eastAsia="zh-CN"/>
        </w:rPr>
        <w:t>10</w:t>
      </w:r>
      <w:r>
        <w:rPr>
          <w:rFonts w:hint="eastAsia" w:ascii="宋体" w:hAnsi="宋体" w:cs="宋体"/>
          <w:b/>
          <w:color w:val="auto"/>
          <w:kern w:val="0"/>
          <w:sz w:val="24"/>
          <w:lang w:eastAsia="zh-CN"/>
        </w:rPr>
        <w:t>时</w:t>
      </w:r>
      <w:r>
        <w:rPr>
          <w:rFonts w:hint="eastAsia" w:ascii="宋体" w:hAnsi="宋体" w:cs="宋体"/>
          <w:b/>
          <w:color w:val="auto"/>
          <w:kern w:val="0"/>
          <w:sz w:val="24"/>
          <w:lang w:val="en-US" w:eastAsia="zh-CN"/>
        </w:rPr>
        <w:t>30</w:t>
      </w:r>
      <w:r>
        <w:rPr>
          <w:rFonts w:hint="eastAsia" w:ascii="宋体" w:hAnsi="宋体" w:cs="宋体"/>
          <w:b/>
          <w:color w:val="auto"/>
          <w:kern w:val="0"/>
          <w:sz w:val="24"/>
          <w:lang w:eastAsia="zh-CN"/>
        </w:rPr>
        <w:t>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邹城市钢山街道公共资源交易中心开标室</w:t>
      </w:r>
      <w:r>
        <w:rPr>
          <w:rFonts w:hint="eastAsia" w:ascii="宋体" w:hAnsi="宋体" w:cs="宋体"/>
          <w:b/>
          <w:color w:val="auto"/>
          <w:kern w:val="0"/>
          <w:sz w:val="24"/>
        </w:rPr>
        <w:t>。</w:t>
      </w:r>
    </w:p>
    <w:p w14:paraId="598B2D7F">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312000E6">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31290F7E">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14:paraId="3A489CF2">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78393DDA">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6F7AC297">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cs="黑体"/>
          <w:b/>
          <w:bCs/>
          <w:color w:val="auto"/>
          <w:kern w:val="0"/>
          <w:sz w:val="24"/>
        </w:rPr>
        <w:t>1、本项目采用固定含税全费用综合单价合同形式。</w:t>
      </w:r>
    </w:p>
    <w:p w14:paraId="1A7D824D">
      <w:pPr>
        <w:widowControl/>
        <w:shd w:val="clear" w:color="auto" w:fill="FFFFFF"/>
        <w:spacing w:line="360" w:lineRule="auto"/>
        <w:ind w:firstLine="480"/>
        <w:jc w:val="left"/>
        <w:rPr>
          <w:rFonts w:ascii="宋体" w:hAnsi="宋体" w:cs="黑体"/>
          <w:b/>
          <w:bCs/>
          <w:color w:val="auto"/>
          <w:kern w:val="0"/>
          <w:sz w:val="24"/>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给定的工程量清单逐项填报单价和合价，并以此汇总计算总价，供应商的报价包括施工设备、劳务、材料（含辅材）、安装、运输、维护、保险（含劳动保险等）、管理费、</w:t>
      </w:r>
      <w:r>
        <w:rPr>
          <w:rFonts w:hint="eastAsia" w:ascii="宋体" w:hAnsi="宋体" w:cs="黑体"/>
          <w:b/>
          <w:bCs/>
          <w:color w:val="auto"/>
          <w:kern w:val="0"/>
          <w:sz w:val="24"/>
          <w:lang w:eastAsia="zh-CN"/>
        </w:rPr>
        <w:t>利润及税金、</w:t>
      </w:r>
      <w:r>
        <w:rPr>
          <w:rFonts w:hint="eastAsia" w:ascii="宋体" w:hAnsi="宋体" w:cs="黑体"/>
          <w:b/>
          <w:bCs/>
          <w:color w:val="auto"/>
          <w:kern w:val="0"/>
          <w:sz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w:t>
      </w:r>
      <w:r>
        <w:rPr>
          <w:rFonts w:hint="eastAsia" w:ascii="宋体" w:hAnsi="宋体" w:cs="黑体"/>
          <w:b/>
          <w:bCs/>
          <w:color w:val="auto"/>
          <w:kern w:val="0"/>
          <w:sz w:val="24"/>
          <w:lang w:eastAsia="zh-CN"/>
        </w:rPr>
        <w:t>隐含的为完成该项目而必须发生的费用（包括发包人分包的给水系统、热力系统、强电、强电系统、燃气系统等各项施工中的配合及预留的接口闭合等相关费用）</w:t>
      </w:r>
      <w:r>
        <w:rPr>
          <w:rFonts w:hint="eastAsia" w:ascii="宋体" w:hAnsi="宋体" w:cs="黑体"/>
          <w:b/>
          <w:bCs/>
          <w:color w:val="auto"/>
          <w:kern w:val="0"/>
          <w:sz w:val="24"/>
        </w:rPr>
        <w:t>、在合同实施期间不因市场变化因素而变动。除固定含税全费用综合单价外，承包人无权再向发包人主张任何价款及费用。</w:t>
      </w:r>
    </w:p>
    <w:p w14:paraId="057DC238">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14:paraId="2E306E1D">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1B1752BB">
      <w:pPr>
        <w:spacing w:line="560" w:lineRule="exact"/>
        <w:ind w:firstLine="482" w:firstLineChars="200"/>
        <w:rPr>
          <w:rFonts w:hint="eastAsia" w:ascii="宋体" w:hAnsi="宋体" w:cs="黑体"/>
          <w:b/>
          <w:bCs/>
          <w:color w:val="auto"/>
          <w:kern w:val="0"/>
          <w:sz w:val="24"/>
          <w:lang w:eastAsia="zh-CN"/>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w:t>
      </w:r>
      <w:r>
        <w:rPr>
          <w:rFonts w:hint="eastAsia" w:ascii="宋体" w:hAnsi="宋体" w:cs="宋体"/>
          <w:b/>
          <w:color w:val="auto"/>
          <w:sz w:val="24"/>
          <w:szCs w:val="24"/>
          <w:lang w:eastAsia="zh-CN"/>
        </w:rPr>
        <w:t>给定的工程量清单</w:t>
      </w:r>
      <w:r>
        <w:rPr>
          <w:rFonts w:hint="eastAsia" w:ascii="宋体" w:hAnsi="宋体" w:eastAsia="宋体" w:cs="宋体"/>
          <w:b/>
          <w:color w:val="auto"/>
          <w:sz w:val="24"/>
          <w:szCs w:val="24"/>
        </w:rPr>
        <w:t>格式</w:t>
      </w:r>
      <w:r>
        <w:rPr>
          <w:rFonts w:hint="eastAsia" w:ascii="宋体" w:hAnsi="宋体" w:cs="黑体"/>
          <w:b/>
          <w:bCs/>
          <w:color w:val="auto"/>
          <w:kern w:val="0"/>
          <w:sz w:val="24"/>
        </w:rPr>
        <w:t>逐项填报固定含税全费用综合单价和合价，并以此汇总计算</w:t>
      </w:r>
      <w:r>
        <w:rPr>
          <w:rFonts w:hint="eastAsia" w:ascii="宋体" w:hAnsi="宋体" w:cs="黑体"/>
          <w:b/>
          <w:bCs/>
          <w:color w:val="auto"/>
          <w:kern w:val="0"/>
          <w:sz w:val="24"/>
          <w:lang w:eastAsia="zh-CN"/>
        </w:rPr>
        <w:t>初次报价</w:t>
      </w:r>
      <w:r>
        <w:rPr>
          <w:rFonts w:hint="eastAsia" w:ascii="宋体" w:hAnsi="宋体" w:cs="黑体"/>
          <w:b/>
          <w:bCs/>
          <w:color w:val="auto"/>
          <w:kern w:val="0"/>
          <w:sz w:val="24"/>
        </w:rPr>
        <w:t>总价</w:t>
      </w:r>
      <w:r>
        <w:rPr>
          <w:rFonts w:hint="eastAsia" w:ascii="宋体" w:hAnsi="宋体" w:cs="黑体"/>
          <w:b/>
          <w:bCs/>
          <w:color w:val="auto"/>
          <w:kern w:val="0"/>
          <w:sz w:val="24"/>
          <w:lang w:eastAsia="zh-CN"/>
        </w:rPr>
        <w:t>。</w:t>
      </w:r>
    </w:p>
    <w:p w14:paraId="1E70E42C">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后递交，最终报价只报总价，分项明细报价按最终报价与初次报价的比率，同比例下调。供应商两次报价均不得超出采购预算（控制价）且最终报价不得超出初次报价，如若超出按无效响应处理。</w:t>
      </w:r>
    </w:p>
    <w:p w14:paraId="6446F7AD">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14:paraId="6C4DE5BD">
      <w:pPr>
        <w:widowControl/>
        <w:shd w:val="clear" w:color="auto" w:fill="FFFFFF"/>
        <w:spacing w:line="360" w:lineRule="auto"/>
        <w:ind w:firstLine="480"/>
        <w:jc w:val="left"/>
        <w:rPr>
          <w:rFonts w:hint="default" w:ascii="宋体" w:hAnsi="宋体" w:eastAsia="宋体" w:cs="黑体"/>
          <w:b/>
          <w:color w:val="auto"/>
          <w:kern w:val="0"/>
          <w:sz w:val="24"/>
          <w:u w:val="single"/>
          <w:lang w:val="en-US"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hint="eastAsia" w:ascii="宋体" w:hAnsi="宋体" w:cs="宋体"/>
          <w:b/>
          <w:color w:val="auto"/>
          <w:kern w:val="0"/>
          <w:sz w:val="24"/>
          <w:u w:val="single"/>
          <w:lang w:val="en-US" w:eastAsia="zh-CN"/>
        </w:rPr>
        <w:t>3696178.24</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 xml:space="preserve">叁佰陆拾玖万陆仟壹佰柒拾捌元贰角肆分 </w:t>
      </w:r>
    </w:p>
    <w:p w14:paraId="3749A7C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0D13D43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7F91EDD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42CBD656">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0D9EFD4F">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7A1CC4DE">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采购代理费为采购预算的</w:t>
      </w:r>
      <w:r>
        <w:rPr>
          <w:rFonts w:hint="eastAsia" w:ascii="宋体" w:hAnsi="宋体" w:cs="宋体"/>
          <w:color w:val="auto"/>
          <w:sz w:val="24"/>
          <w:szCs w:val="24"/>
          <w:highlight w:val="none"/>
          <w:lang w:val="en-US" w:eastAsia="zh-CN"/>
        </w:rPr>
        <w:t>0.7%</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p w14:paraId="4D22EE5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s="宋体"/>
          <w:color w:val="auto"/>
          <w:sz w:val="24"/>
          <w:szCs w:val="24"/>
          <w:highlight w:val="none"/>
          <w:lang w:val="en-US" w:eastAsia="zh-CN"/>
        </w:rPr>
        <w:t>3、本项目代收评审费11449.00元，</w:t>
      </w:r>
      <w:r>
        <w:rPr>
          <w:rFonts w:hint="eastAsia" w:ascii="宋体" w:hAnsi="宋体" w:eastAsia="宋体" w:cs="宋体"/>
          <w:color w:val="auto"/>
          <w:sz w:val="24"/>
          <w:szCs w:val="24"/>
          <w:highlight w:val="none"/>
        </w:rPr>
        <w:t>成交通知书发出前，成交人从其账户一次性汇入代理机构指定账户</w:t>
      </w:r>
      <w:r>
        <w:rPr>
          <w:rFonts w:hint="eastAsia" w:ascii="宋体" w:hAnsi="宋体" w:cs="宋体"/>
          <w:color w:val="auto"/>
          <w:sz w:val="24"/>
          <w:szCs w:val="24"/>
          <w:highlight w:val="none"/>
          <w:lang w:eastAsia="zh-CN"/>
        </w:rPr>
        <w:t>。</w:t>
      </w:r>
    </w:p>
    <w:p w14:paraId="225C60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14:paraId="67B2D6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4EC71E4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14:paraId="22070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none"/>
          <w:lang w:eastAsia="zh-CN"/>
        </w:rPr>
        <w:t>（</w:t>
      </w:r>
      <w:r>
        <w:rPr>
          <w:rFonts w:hint="eastAsia" w:ascii="宋体" w:hAnsi="宋体"/>
          <w:b/>
          <w:bCs/>
          <w:color w:val="auto"/>
          <w:sz w:val="24"/>
          <w:szCs w:val="24"/>
          <w:u w:val="none"/>
          <w:lang w:val="en-US" w:eastAsia="zh-CN"/>
        </w:rPr>
        <w:t>1</w:t>
      </w:r>
      <w:r>
        <w:rPr>
          <w:rFonts w:hint="eastAsia" w:ascii="宋体" w:hAnsi="宋体"/>
          <w:b/>
          <w:bCs/>
          <w:color w:val="auto"/>
          <w:sz w:val="24"/>
          <w:szCs w:val="24"/>
          <w:u w:val="none"/>
          <w:lang w:eastAsia="zh-CN"/>
        </w:rPr>
        <w:t>）</w:t>
      </w:r>
      <w:r>
        <w:rPr>
          <w:rFonts w:hint="eastAsia" w:ascii="宋体" w:hAnsi="宋体"/>
          <w:b/>
          <w:bCs/>
          <w:color w:val="auto"/>
          <w:sz w:val="24"/>
          <w:szCs w:val="24"/>
          <w:u w:val="single"/>
        </w:rPr>
        <w:t>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1D8177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none"/>
          <w:lang w:eastAsia="zh-CN"/>
        </w:rPr>
        <w:t>（</w:t>
      </w:r>
      <w:r>
        <w:rPr>
          <w:rFonts w:hint="eastAsia" w:ascii="宋体" w:hAnsi="宋体"/>
          <w:b/>
          <w:bCs/>
          <w:color w:val="auto"/>
          <w:sz w:val="24"/>
          <w:szCs w:val="24"/>
          <w:u w:val="none"/>
          <w:lang w:val="en-US" w:eastAsia="zh-CN"/>
        </w:rPr>
        <w:t>2</w:t>
      </w:r>
      <w:r>
        <w:rPr>
          <w:rFonts w:hint="eastAsia" w:ascii="宋体" w:hAnsi="宋体"/>
          <w:b/>
          <w:bCs/>
          <w:color w:val="auto"/>
          <w:sz w:val="24"/>
          <w:szCs w:val="24"/>
          <w:u w:val="none"/>
          <w:lang w:eastAsia="zh-CN"/>
        </w:rPr>
        <w:t>）</w:t>
      </w:r>
      <w:r>
        <w:rPr>
          <w:rFonts w:hint="eastAsia" w:ascii="宋体" w:hAnsi="宋体"/>
          <w:b/>
          <w:bCs/>
          <w:color w:val="auto"/>
          <w:sz w:val="24"/>
          <w:szCs w:val="24"/>
          <w:u w:val="single"/>
        </w:rPr>
        <w:t>整体工程施工全部完成，并经甲方及监理方验收合格后，累计支付实际完成总额工程造价的85%（同比例扣除发包人供应材料、设备价款）。</w:t>
      </w:r>
    </w:p>
    <w:p w14:paraId="507845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single"/>
        </w:rPr>
        <w:t>（</w:t>
      </w:r>
      <w:r>
        <w:rPr>
          <w:rFonts w:hint="eastAsia" w:ascii="宋体" w:hAnsi="宋体"/>
          <w:b/>
          <w:bCs/>
          <w:color w:val="auto"/>
          <w:sz w:val="24"/>
          <w:szCs w:val="24"/>
          <w:u w:val="single"/>
          <w:lang w:val="en-US" w:eastAsia="zh-CN"/>
        </w:rPr>
        <w:t>3</w:t>
      </w:r>
      <w:r>
        <w:rPr>
          <w:rFonts w:hint="eastAsia" w:ascii="宋体" w:hAnsi="宋体"/>
          <w:b/>
          <w:bCs/>
          <w:color w:val="auto"/>
          <w:sz w:val="24"/>
          <w:szCs w:val="24"/>
          <w:u w:val="single"/>
        </w:rPr>
        <w:t>）整体工程竣工验收合格移交工程竣工资料并工程备案完毕、</w:t>
      </w:r>
      <w:r>
        <w:rPr>
          <w:rFonts w:hint="eastAsia" w:ascii="宋体" w:hAnsi="宋体"/>
          <w:b/>
          <w:bCs/>
          <w:color w:val="auto"/>
          <w:sz w:val="24"/>
          <w:szCs w:val="24"/>
          <w:u w:val="single"/>
        </w:rPr>
        <w:t>经</w:t>
      </w:r>
      <w:r>
        <w:rPr>
          <w:rFonts w:hint="eastAsia" w:ascii="宋体" w:hAnsi="宋体"/>
          <w:b/>
          <w:bCs/>
          <w:color w:val="auto"/>
          <w:sz w:val="24"/>
          <w:szCs w:val="24"/>
          <w:u w:val="single"/>
          <w:lang w:val="en-US" w:eastAsia="zh-CN"/>
        </w:rPr>
        <w:t>具有工程造价咨询资质的机构</w:t>
      </w:r>
      <w:r>
        <w:rPr>
          <w:rFonts w:hint="eastAsia" w:ascii="宋体" w:hAnsi="宋体"/>
          <w:b/>
          <w:bCs/>
          <w:color w:val="auto"/>
          <w:sz w:val="24"/>
          <w:szCs w:val="24"/>
          <w:u w:val="single"/>
        </w:rPr>
        <w:t>审计完成</w:t>
      </w:r>
      <w:r>
        <w:rPr>
          <w:rFonts w:hint="eastAsia" w:ascii="宋体" w:hAnsi="宋体"/>
          <w:b/>
          <w:bCs/>
          <w:color w:val="auto"/>
          <w:sz w:val="24"/>
          <w:szCs w:val="24"/>
          <w:u w:val="single"/>
        </w:rPr>
        <w:t>，竣工结算办理完毕手续后累计支付到结算值的97%（全额扣除发包人供应材料、设备价款）。</w:t>
      </w:r>
    </w:p>
    <w:p w14:paraId="2DE430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single"/>
        </w:rPr>
        <w:t>（</w:t>
      </w:r>
      <w:r>
        <w:rPr>
          <w:rFonts w:hint="eastAsia" w:ascii="宋体" w:hAnsi="宋体"/>
          <w:b/>
          <w:bCs/>
          <w:color w:val="auto"/>
          <w:sz w:val="24"/>
          <w:szCs w:val="24"/>
          <w:u w:val="single"/>
          <w:lang w:val="en-US" w:eastAsia="zh-CN"/>
        </w:rPr>
        <w:t>4</w:t>
      </w:r>
      <w:r>
        <w:rPr>
          <w:rFonts w:hint="eastAsia" w:ascii="宋体" w:hAnsi="宋体"/>
          <w:b/>
          <w:bCs/>
          <w:color w:val="auto"/>
          <w:sz w:val="24"/>
          <w:szCs w:val="24"/>
          <w:u w:val="single"/>
        </w:rPr>
        <w:t>）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31ADBD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single"/>
          <w:lang w:val="zh-CN"/>
        </w:rPr>
        <w:t>（</w:t>
      </w:r>
      <w:r>
        <w:rPr>
          <w:rFonts w:hint="eastAsia" w:ascii="宋体" w:hAnsi="宋体"/>
          <w:b/>
          <w:bCs/>
          <w:color w:val="auto"/>
          <w:sz w:val="24"/>
          <w:szCs w:val="24"/>
          <w:u w:val="single"/>
          <w:lang w:val="en-US" w:eastAsia="zh-CN"/>
        </w:rPr>
        <w:t>5</w:t>
      </w:r>
      <w:r>
        <w:rPr>
          <w:rFonts w:hint="eastAsia" w:ascii="宋体" w:hAnsi="宋体"/>
          <w:b/>
          <w:bCs/>
          <w:color w:val="auto"/>
          <w:sz w:val="24"/>
          <w:szCs w:val="24"/>
          <w:u w:val="single"/>
          <w:lang w:val="zh-CN"/>
        </w:rPr>
        <w:t>）工程结算总价</w:t>
      </w:r>
      <w:r>
        <w:rPr>
          <w:rFonts w:hint="eastAsia" w:ascii="宋体" w:hAnsi="宋体"/>
          <w:b/>
          <w:bCs/>
          <w:color w:val="auto"/>
          <w:sz w:val="24"/>
          <w:szCs w:val="24"/>
          <w:u w:val="single"/>
        </w:rPr>
        <w:t>=确认的固定含税全费用综合单价×实测工程量</w:t>
      </w:r>
      <w:r>
        <w:rPr>
          <w:rFonts w:hint="eastAsia" w:ascii="宋体" w:hAnsi="宋体"/>
          <w:b/>
          <w:bCs/>
          <w:color w:val="auto"/>
          <w:sz w:val="24"/>
          <w:szCs w:val="24"/>
          <w:u w:val="single"/>
          <w:lang w:val="zh-CN"/>
        </w:rPr>
        <w:t>+设计变更、洽商、签证＋依据本合同的增加项目-依据本合同的减少项目-违约金和（或）损失赔偿额；</w:t>
      </w:r>
      <w:r>
        <w:rPr>
          <w:rFonts w:hint="eastAsia" w:ascii="宋体" w:hAnsi="宋体"/>
          <w:b/>
          <w:bCs/>
          <w:color w:val="auto"/>
          <w:sz w:val="24"/>
          <w:szCs w:val="24"/>
          <w:u w:val="single"/>
        </w:rPr>
        <w:t>结算资料需双方签字盖章方为有效，不符合条件的工程结算资料依据均属无效，双方不作为办理结算的依据。</w:t>
      </w:r>
    </w:p>
    <w:p w14:paraId="2C0061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14:paraId="3B70DF9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1B4C694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21BCAEB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14:paraId="431F614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14:paraId="2C85CB8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14:paraId="6314F8A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14:paraId="38028FA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14:paraId="2730A60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14:paraId="29F89B1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14:paraId="6540BE4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14:paraId="284C28A5">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14:paraId="3349AD2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14:paraId="7F97F306">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2A70227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14:paraId="7FA67FD5">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14:paraId="37A1C670">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13E96529">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14:paraId="60C50825">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1B124366">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13EE731D">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14:paraId="67357BE4">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789E3096">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51268B53">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11977"/>
      <w:bookmarkStart w:id="11" w:name="_Toc5023"/>
      <w:bookmarkStart w:id="12" w:name="_Toc2034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14:paraId="0DF3A551">
      <w:pPr>
        <w:spacing w:line="360" w:lineRule="auto"/>
        <w:rPr>
          <w:rFonts w:ascii="宋体" w:hAnsi="宋体"/>
          <w:b/>
          <w:color w:val="auto"/>
          <w:sz w:val="24"/>
        </w:rPr>
      </w:pPr>
      <w:r>
        <w:rPr>
          <w:rFonts w:hint="eastAsia" w:ascii="宋体" w:hAnsi="宋体"/>
          <w:b/>
          <w:color w:val="auto"/>
          <w:sz w:val="24"/>
        </w:rPr>
        <w:t>一、磋商组织：</w:t>
      </w:r>
    </w:p>
    <w:p w14:paraId="6FD6DE94">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3D7EF4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1EED71C5">
      <w:pPr>
        <w:spacing w:line="360" w:lineRule="auto"/>
        <w:rPr>
          <w:rFonts w:ascii="宋体" w:hAnsi="宋体"/>
          <w:b/>
          <w:color w:val="auto"/>
          <w:sz w:val="24"/>
        </w:rPr>
      </w:pPr>
      <w:r>
        <w:rPr>
          <w:rFonts w:hint="eastAsia" w:ascii="宋体" w:hAnsi="宋体"/>
          <w:b/>
          <w:color w:val="auto"/>
          <w:sz w:val="24"/>
        </w:rPr>
        <w:t>二、磋商步骤：</w:t>
      </w:r>
    </w:p>
    <w:p w14:paraId="5041CC3F">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2BB657FA">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09B98170">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03BB1C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0C5EE91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39180DF9">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73B62628">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87"/>
        <w:gridCol w:w="878"/>
        <w:gridCol w:w="6257"/>
      </w:tblGrid>
      <w:tr w14:paraId="43F4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14:paraId="3360A3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878" w:type="dxa"/>
            <w:tcBorders>
              <w:tl2br w:val="nil"/>
              <w:tr2bl w:val="nil"/>
            </w:tcBorders>
            <w:vAlign w:val="center"/>
          </w:tcPr>
          <w:p w14:paraId="22FC64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257" w:type="dxa"/>
            <w:tcBorders>
              <w:tl2br w:val="nil"/>
              <w:tr2bl w:val="nil"/>
            </w:tcBorders>
            <w:vAlign w:val="center"/>
          </w:tcPr>
          <w:p w14:paraId="72B2A9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7907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EDC76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387" w:type="dxa"/>
            <w:tcBorders>
              <w:tl2br w:val="nil"/>
              <w:tr2bl w:val="nil"/>
            </w:tcBorders>
            <w:vAlign w:val="center"/>
          </w:tcPr>
          <w:p w14:paraId="682BEB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878" w:type="dxa"/>
            <w:tcBorders>
              <w:tl2br w:val="nil"/>
              <w:tr2bl w:val="nil"/>
            </w:tcBorders>
            <w:vAlign w:val="center"/>
          </w:tcPr>
          <w:p w14:paraId="409557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6257" w:type="dxa"/>
            <w:tcBorders>
              <w:tl2br w:val="nil"/>
              <w:tr2bl w:val="nil"/>
            </w:tcBorders>
            <w:vAlign w:val="center"/>
          </w:tcPr>
          <w:p w14:paraId="1FE23E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14:paraId="241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4" w:type="dxa"/>
            <w:tcBorders>
              <w:tl2br w:val="nil"/>
              <w:tr2bl w:val="nil"/>
            </w:tcBorders>
            <w:vAlign w:val="center"/>
          </w:tcPr>
          <w:p w14:paraId="451BD1F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2387" w:type="dxa"/>
            <w:tcBorders>
              <w:tl2br w:val="nil"/>
              <w:tr2bl w:val="nil"/>
            </w:tcBorders>
            <w:vAlign w:val="center"/>
          </w:tcPr>
          <w:p w14:paraId="7405E25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878" w:type="dxa"/>
            <w:tcBorders>
              <w:tl2br w:val="nil"/>
              <w:tr2bl w:val="nil"/>
            </w:tcBorders>
            <w:vAlign w:val="center"/>
          </w:tcPr>
          <w:p w14:paraId="454D3DE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257" w:type="dxa"/>
            <w:tcBorders>
              <w:tl2br w:val="nil"/>
              <w:tr2bl w:val="nil"/>
            </w:tcBorders>
            <w:vAlign w:val="center"/>
          </w:tcPr>
          <w:p w14:paraId="6F59C76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4A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81D099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87" w:type="dxa"/>
            <w:tcBorders>
              <w:tl2br w:val="nil"/>
              <w:tr2bl w:val="nil"/>
            </w:tcBorders>
            <w:vAlign w:val="center"/>
          </w:tcPr>
          <w:p w14:paraId="3781E42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8" w:type="dxa"/>
            <w:tcBorders>
              <w:tl2br w:val="nil"/>
              <w:tr2bl w:val="nil"/>
            </w:tcBorders>
            <w:vAlign w:val="center"/>
          </w:tcPr>
          <w:p w14:paraId="01BF0F7E">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46C7AC9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8D0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4" w:type="dxa"/>
            <w:tcBorders>
              <w:tl2br w:val="nil"/>
              <w:tr2bl w:val="nil"/>
            </w:tcBorders>
            <w:vAlign w:val="center"/>
          </w:tcPr>
          <w:p w14:paraId="0D16D97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387" w:type="dxa"/>
            <w:tcBorders>
              <w:tl2br w:val="nil"/>
              <w:tr2bl w:val="nil"/>
            </w:tcBorders>
            <w:vAlign w:val="center"/>
          </w:tcPr>
          <w:p w14:paraId="78A0436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施工方案与技术措施</w:t>
            </w:r>
          </w:p>
        </w:tc>
        <w:tc>
          <w:tcPr>
            <w:tcW w:w="878" w:type="dxa"/>
            <w:tcBorders>
              <w:tl2br w:val="nil"/>
              <w:tr2bl w:val="nil"/>
            </w:tcBorders>
            <w:vAlign w:val="center"/>
          </w:tcPr>
          <w:p w14:paraId="745279F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lang w:val="en-US" w:eastAsia="zh-CN"/>
              </w:rPr>
              <w:t>7</w:t>
            </w:r>
          </w:p>
        </w:tc>
        <w:tc>
          <w:tcPr>
            <w:tcW w:w="6257" w:type="dxa"/>
            <w:tcBorders>
              <w:tl2br w:val="nil"/>
              <w:tr2bl w:val="nil"/>
            </w:tcBorders>
            <w:vAlign w:val="top"/>
          </w:tcPr>
          <w:p w14:paraId="21A6354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rPr>
              <w:t>缺项不得分。</w:t>
            </w:r>
          </w:p>
        </w:tc>
      </w:tr>
      <w:tr w14:paraId="2D1C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4" w:type="dxa"/>
            <w:tcBorders>
              <w:tl2br w:val="nil"/>
              <w:tr2bl w:val="nil"/>
            </w:tcBorders>
            <w:vAlign w:val="center"/>
          </w:tcPr>
          <w:p w14:paraId="1958CF6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387" w:type="dxa"/>
            <w:tcBorders>
              <w:tl2br w:val="nil"/>
              <w:tr2bl w:val="nil"/>
            </w:tcBorders>
            <w:vAlign w:val="center"/>
          </w:tcPr>
          <w:p w14:paraId="3CC1D9E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质量管理体系与措施</w:t>
            </w:r>
          </w:p>
        </w:tc>
        <w:tc>
          <w:tcPr>
            <w:tcW w:w="878" w:type="dxa"/>
            <w:tcBorders>
              <w:tl2br w:val="nil"/>
              <w:tr2bl w:val="nil"/>
            </w:tcBorders>
            <w:vAlign w:val="center"/>
          </w:tcPr>
          <w:p w14:paraId="280DE077">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0D3ABA6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color w:val="auto"/>
                <w:sz w:val="24"/>
                <w:szCs w:val="24"/>
                <w:highlight w:val="none"/>
              </w:rPr>
              <w:t>缺项不得分。</w:t>
            </w:r>
          </w:p>
        </w:tc>
      </w:tr>
      <w:tr w14:paraId="5CD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0F8FE7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387" w:type="dxa"/>
            <w:tcBorders>
              <w:tl2br w:val="nil"/>
              <w:tr2bl w:val="nil"/>
            </w:tcBorders>
            <w:vAlign w:val="center"/>
          </w:tcPr>
          <w:p w14:paraId="234DBC4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安全管理体系与措施</w:t>
            </w:r>
          </w:p>
        </w:tc>
        <w:tc>
          <w:tcPr>
            <w:tcW w:w="878" w:type="dxa"/>
            <w:tcBorders>
              <w:tl2br w:val="nil"/>
              <w:tr2bl w:val="nil"/>
            </w:tcBorders>
            <w:vAlign w:val="center"/>
          </w:tcPr>
          <w:p w14:paraId="41B6F771">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23564B4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03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41FD2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387" w:type="dxa"/>
            <w:tcBorders>
              <w:tl2br w:val="nil"/>
              <w:tr2bl w:val="nil"/>
            </w:tcBorders>
            <w:vAlign w:val="center"/>
          </w:tcPr>
          <w:p w14:paraId="7DC2703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工程进度计划与措施（附施工进度横道图或网络图）</w:t>
            </w:r>
          </w:p>
        </w:tc>
        <w:tc>
          <w:tcPr>
            <w:tcW w:w="878" w:type="dxa"/>
            <w:tcBorders>
              <w:tl2br w:val="nil"/>
              <w:tr2bl w:val="nil"/>
            </w:tcBorders>
            <w:vAlign w:val="center"/>
          </w:tcPr>
          <w:p w14:paraId="3AE1F4C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BCE6CC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7DB7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6AF8E01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387" w:type="dxa"/>
            <w:tcBorders>
              <w:tl2br w:val="nil"/>
              <w:tr2bl w:val="nil"/>
            </w:tcBorders>
            <w:vAlign w:val="center"/>
          </w:tcPr>
          <w:p w14:paraId="1324AA3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环保管理体系与措施</w:t>
            </w:r>
          </w:p>
        </w:tc>
        <w:tc>
          <w:tcPr>
            <w:tcW w:w="878" w:type="dxa"/>
            <w:tcBorders>
              <w:tl2br w:val="nil"/>
              <w:tr2bl w:val="nil"/>
            </w:tcBorders>
            <w:vAlign w:val="center"/>
          </w:tcPr>
          <w:p w14:paraId="03A75BC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718A299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4D0D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l2br w:val="nil"/>
              <w:tr2bl w:val="nil"/>
            </w:tcBorders>
            <w:vAlign w:val="center"/>
          </w:tcPr>
          <w:p w14:paraId="7AB9339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387" w:type="dxa"/>
            <w:tcBorders>
              <w:tl2br w:val="nil"/>
              <w:tr2bl w:val="nil"/>
            </w:tcBorders>
            <w:vAlign w:val="center"/>
          </w:tcPr>
          <w:p w14:paraId="5871059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文明管理体系与措施</w:t>
            </w:r>
          </w:p>
        </w:tc>
        <w:tc>
          <w:tcPr>
            <w:tcW w:w="878" w:type="dxa"/>
            <w:tcBorders>
              <w:tl2br w:val="nil"/>
              <w:tr2bl w:val="nil"/>
            </w:tcBorders>
            <w:vAlign w:val="center"/>
          </w:tcPr>
          <w:p w14:paraId="3D283A9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6426AD3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D3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7548E0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387" w:type="dxa"/>
            <w:tcBorders>
              <w:tl2br w:val="nil"/>
              <w:tr2bl w:val="nil"/>
            </w:tcBorders>
            <w:vAlign w:val="center"/>
          </w:tcPr>
          <w:p w14:paraId="4A8002AF">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施工管理及措施</w:t>
            </w:r>
          </w:p>
        </w:tc>
        <w:tc>
          <w:tcPr>
            <w:tcW w:w="878" w:type="dxa"/>
            <w:tcBorders>
              <w:tl2br w:val="nil"/>
              <w:tr2bl w:val="nil"/>
            </w:tcBorders>
            <w:vAlign w:val="center"/>
          </w:tcPr>
          <w:p w14:paraId="6F866C56">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13DC27A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5D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15D140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387" w:type="dxa"/>
            <w:tcBorders>
              <w:tl2br w:val="nil"/>
              <w:tr2bl w:val="nil"/>
            </w:tcBorders>
            <w:vAlign w:val="center"/>
          </w:tcPr>
          <w:p w14:paraId="3B06810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资源配备计划及措施（附劳动力计划表、主要施工设备表、试验和检测仪器设备表）</w:t>
            </w:r>
          </w:p>
        </w:tc>
        <w:tc>
          <w:tcPr>
            <w:tcW w:w="878" w:type="dxa"/>
            <w:tcBorders>
              <w:tl2br w:val="nil"/>
              <w:tr2bl w:val="nil"/>
            </w:tcBorders>
            <w:vAlign w:val="center"/>
          </w:tcPr>
          <w:p w14:paraId="656AA63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4F5EBD19">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09C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5632AE0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7" w:type="dxa"/>
            <w:tcBorders>
              <w:tl2br w:val="nil"/>
              <w:tr2bl w:val="nil"/>
            </w:tcBorders>
            <w:vAlign w:val="center"/>
          </w:tcPr>
          <w:p w14:paraId="3D57D30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施工关键部位、材料采购要点的控制及措施</w:t>
            </w:r>
          </w:p>
        </w:tc>
        <w:tc>
          <w:tcPr>
            <w:tcW w:w="878" w:type="dxa"/>
            <w:tcBorders>
              <w:tl2br w:val="nil"/>
              <w:tr2bl w:val="nil"/>
            </w:tcBorders>
            <w:vAlign w:val="center"/>
          </w:tcPr>
          <w:p w14:paraId="0E9A5022">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658BE77">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r>
              <w:rPr>
                <w:rFonts w:hint="eastAsia" w:ascii="宋体" w:hAnsi="宋体" w:eastAsia="宋体" w:cs="宋体"/>
                <w:color w:val="auto"/>
                <w:sz w:val="24"/>
                <w:szCs w:val="24"/>
                <w:highlight w:val="none"/>
              </w:rPr>
              <w:t>。</w:t>
            </w:r>
          </w:p>
        </w:tc>
      </w:tr>
    </w:tbl>
    <w:p w14:paraId="328456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70C612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5245B6B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14:paraId="7E3DCB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5F0F092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4F3740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62CDD9BA">
      <w:pPr>
        <w:widowControl/>
        <w:jc w:val="left"/>
        <w:rPr>
          <w:rFonts w:ascii="宋体" w:hAnsi="宋体"/>
          <w:b/>
          <w:color w:val="auto"/>
          <w:sz w:val="24"/>
        </w:rPr>
      </w:pPr>
      <w:r>
        <w:rPr>
          <w:rFonts w:ascii="宋体" w:hAnsi="宋体"/>
          <w:b/>
          <w:color w:val="auto"/>
          <w:sz w:val="24"/>
        </w:rPr>
        <w:br w:type="page"/>
      </w:r>
    </w:p>
    <w:p w14:paraId="743258D0">
      <w:pPr>
        <w:pStyle w:val="3"/>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14:paraId="317682EE">
      <w:pPr>
        <w:spacing w:line="540" w:lineRule="exact"/>
        <w:rPr>
          <w:rFonts w:ascii="宋体" w:hAnsi="宋体"/>
          <w:color w:val="auto"/>
          <w:sz w:val="24"/>
        </w:rPr>
      </w:pPr>
      <w:r>
        <w:rPr>
          <w:rFonts w:hint="eastAsia" w:ascii="宋体" w:hAnsi="宋体"/>
          <w:b/>
          <w:bCs/>
          <w:color w:val="auto"/>
          <w:sz w:val="24"/>
        </w:rPr>
        <w:t>一、项目内容及要求</w:t>
      </w:r>
    </w:p>
    <w:p w14:paraId="5EB06DE7">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14:paraId="530850D4">
      <w:pPr>
        <w:spacing w:line="540" w:lineRule="exact"/>
        <w:ind w:firstLine="480" w:firstLineChars="200"/>
        <w:rPr>
          <w:rFonts w:hint="eastAsia" w:ascii="宋体" w:hAnsi="宋体"/>
          <w:color w:val="auto"/>
          <w:sz w:val="24"/>
          <w:highlight w:val="none"/>
        </w:rPr>
      </w:pPr>
      <w:r>
        <w:rPr>
          <w:rFonts w:hint="eastAsia"/>
          <w:color w:val="auto"/>
          <w:sz w:val="24"/>
          <w:szCs w:val="24"/>
          <w:lang w:eastAsia="zh-CN"/>
        </w:rPr>
        <w:t>邹城市钢山街道办事处钢山花园小区李官村三期室外雨污水及弱电管网工程包括图纸范围内（以施工界面划分为准）的全部内容，主要包括室外雨污水管网铺设，室外照明系统及弱电管网铺设；发包人分包的给水系统、热力系统、强电、强电系统、燃气系统等各项施工中的配合及预留的接口闭合等全部内容（详见工程量清单，以工程量清单为准）。施工界面划分如下（注：此界面划分供各施工单位厘清施工范围，界面划分标准中不属于室外工程施工单位的施工内容，已在本次招标的工程量清单中剔除）：（1）室外雨污水管网与主楼管网连接处，以出外墙1.5米为界</w:t>
      </w:r>
      <w:r>
        <w:rPr>
          <w:rFonts w:hint="eastAsia" w:ascii="宋体" w:hAnsi="宋体"/>
          <w:color w:val="auto"/>
          <w:sz w:val="24"/>
          <w:highlight w:val="none"/>
        </w:rPr>
        <w:t>。</w:t>
      </w:r>
    </w:p>
    <w:p w14:paraId="6D7B1B79">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color w:val="auto"/>
          <w:sz w:val="24"/>
          <w:szCs w:val="24"/>
          <w:lang w:eastAsia="zh-CN"/>
        </w:rPr>
        <w:t>邹城市钢山街道办事处钢山花园小区社区内</w:t>
      </w:r>
      <w:r>
        <w:rPr>
          <w:rFonts w:hint="eastAsia" w:ascii="宋体" w:hAnsi="宋体" w:cs="黑体"/>
          <w:bCs/>
          <w:color w:val="auto"/>
          <w:kern w:val="0"/>
          <w:sz w:val="24"/>
          <w:highlight w:val="none"/>
        </w:rPr>
        <w:t>。</w:t>
      </w:r>
    </w:p>
    <w:p w14:paraId="096FB7DA">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3696178.24</w:t>
      </w:r>
      <w:r>
        <w:rPr>
          <w:rFonts w:hint="eastAsia" w:ascii="宋体" w:hAnsi="宋体"/>
          <w:color w:val="auto"/>
          <w:sz w:val="24"/>
          <w:highlight w:val="none"/>
        </w:rPr>
        <w:t>元。</w:t>
      </w:r>
    </w:p>
    <w:p w14:paraId="64A0CEAE">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35日历天</w:t>
      </w:r>
      <w:r>
        <w:rPr>
          <w:rFonts w:hint="eastAsia" w:ascii="宋体" w:hAnsi="宋体" w:cs="宋体"/>
          <w:color w:val="auto"/>
          <w:sz w:val="24"/>
          <w:highlight w:val="none"/>
        </w:rPr>
        <w:t>。</w:t>
      </w:r>
      <w:bookmarkEnd w:id="16"/>
    </w:p>
    <w:p w14:paraId="363298A0">
      <w:pPr>
        <w:spacing w:line="540" w:lineRule="exact"/>
        <w:ind w:firstLine="480" w:firstLineChars="200"/>
        <w:rPr>
          <w:rFonts w:hint="eastAsia" w:ascii="宋体" w:hAnsi="宋体"/>
          <w:color w:val="auto"/>
          <w:sz w:val="24"/>
          <w:highlight w:val="none"/>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2BC0471F">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14:paraId="0285EB1C">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14:paraId="215A3340">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864211B">
      <w:pPr>
        <w:numPr>
          <w:ilvl w:val="0"/>
          <w:numId w:val="0"/>
        </w:numPr>
        <w:spacing w:line="360" w:lineRule="auto"/>
        <w:ind w:leftChars="0"/>
        <w:rPr>
          <w:rFonts w:hint="eastAsia" w:ascii="宋体" w:hAnsi="宋体" w:cs="宋体"/>
          <w:b/>
          <w:color w:val="auto"/>
          <w:sz w:val="24"/>
          <w:szCs w:val="24"/>
          <w:lang w:eastAsia="zh-CN"/>
        </w:rPr>
      </w:pPr>
      <w:r>
        <w:rPr>
          <w:rFonts w:hint="eastAsia" w:ascii="宋体" w:hAnsi="宋体" w:cs="宋体"/>
          <w:b/>
          <w:color w:val="auto"/>
          <w:sz w:val="24"/>
          <w:szCs w:val="24"/>
          <w:lang w:eastAsia="zh-CN"/>
        </w:rPr>
        <w:t>二、</w:t>
      </w:r>
      <w:r>
        <w:rPr>
          <w:rFonts w:hint="eastAsia" w:ascii="宋体" w:hAnsi="宋体" w:eastAsia="宋体" w:cs="宋体"/>
          <w:b/>
          <w:color w:val="auto"/>
          <w:sz w:val="24"/>
          <w:szCs w:val="24"/>
        </w:rPr>
        <w:t>工程量清单</w:t>
      </w:r>
      <w:r>
        <w:rPr>
          <w:rFonts w:hint="eastAsia" w:ascii="宋体" w:hAnsi="宋体" w:cs="宋体"/>
          <w:b/>
          <w:color w:val="auto"/>
          <w:sz w:val="24"/>
          <w:szCs w:val="24"/>
          <w:lang w:eastAsia="zh-CN"/>
        </w:rPr>
        <w:t>说明</w:t>
      </w:r>
    </w:p>
    <w:p w14:paraId="38B7A0DE">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7" w:name="_Toc300232554"/>
      <w:bookmarkStart w:id="18" w:name="_Toc10308"/>
      <w:bookmarkStart w:id="19" w:name="_Toc9708"/>
      <w:bookmarkStart w:id="20" w:name="_Toc15408"/>
      <w:bookmarkStart w:id="21" w:name="_Toc14502"/>
      <w:r>
        <w:rPr>
          <w:rFonts w:hint="eastAsia" w:ascii="宋体" w:hAnsi="宋体" w:eastAsia="宋体" w:cs="宋体"/>
          <w:color w:val="auto"/>
          <w:sz w:val="24"/>
          <w:szCs w:val="24"/>
          <w:highlight w:val="none"/>
        </w:rPr>
        <w:t>1、工程量清单说明</w:t>
      </w:r>
      <w:bookmarkEnd w:id="17"/>
      <w:bookmarkEnd w:id="18"/>
      <w:bookmarkEnd w:id="19"/>
      <w:bookmarkEnd w:id="20"/>
      <w:bookmarkEnd w:id="21"/>
    </w:p>
    <w:p w14:paraId="544BE37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1.1本工程量清单是</w:t>
      </w:r>
      <w:r>
        <w:rPr>
          <w:rFonts w:hint="eastAsia" w:ascii="宋体" w:hAnsi="宋体" w:cs="宋体"/>
          <w:color w:val="auto"/>
          <w:sz w:val="24"/>
          <w:szCs w:val="24"/>
          <w:highlight w:val="none"/>
          <w:lang w:eastAsia="zh-CN" w:bidi="ar"/>
        </w:rPr>
        <w:t>参照</w:t>
      </w:r>
      <w:r>
        <w:rPr>
          <w:rFonts w:hint="eastAsia" w:ascii="宋体" w:hAnsi="宋体" w:cs="宋体"/>
          <w:color w:val="auto"/>
          <w:sz w:val="24"/>
          <w:szCs w:val="24"/>
          <w:highlight w:val="none"/>
          <w:lang w:bidi="ar"/>
        </w:rPr>
        <w:t>中华人民共和国国家标准《建设工程工程量清单计价规范》(以下简称“计价规范”)、 《山东省建设工程工程量清单计价规则》以及</w:t>
      </w:r>
      <w:r>
        <w:rPr>
          <w:rFonts w:hint="eastAsia" w:ascii="宋体" w:hAnsi="宋体" w:cs="宋体"/>
          <w:color w:val="auto"/>
          <w:sz w:val="24"/>
          <w:szCs w:val="24"/>
          <w:highlight w:val="none"/>
          <w:lang w:eastAsia="zh-CN" w:bidi="ar"/>
        </w:rPr>
        <w:t>采购文件</w:t>
      </w:r>
      <w:r>
        <w:rPr>
          <w:rFonts w:hint="eastAsia" w:ascii="宋体" w:hAnsi="宋体" w:cs="宋体"/>
          <w:color w:val="auto"/>
          <w:sz w:val="24"/>
          <w:szCs w:val="24"/>
          <w:highlight w:val="none"/>
          <w:lang w:bidi="ar"/>
        </w:rPr>
        <w:t>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666FAA8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1.2本工程量清单应与</w:t>
      </w:r>
      <w:r>
        <w:rPr>
          <w:rFonts w:hint="eastAsia" w:ascii="宋体" w:hAnsi="宋体" w:cs="宋体"/>
          <w:color w:val="auto"/>
          <w:sz w:val="24"/>
          <w:szCs w:val="24"/>
          <w:highlight w:val="none"/>
          <w:lang w:eastAsia="zh-CN" w:bidi="ar"/>
        </w:rPr>
        <w:t>采购文件</w:t>
      </w:r>
      <w:r>
        <w:rPr>
          <w:rFonts w:hint="eastAsia" w:ascii="宋体" w:hAnsi="宋体" w:cs="宋体"/>
          <w:color w:val="auto"/>
          <w:sz w:val="24"/>
          <w:szCs w:val="24"/>
          <w:highlight w:val="none"/>
          <w:lang w:bidi="ar"/>
        </w:rPr>
        <w:t>中的</w:t>
      </w:r>
      <w:r>
        <w:rPr>
          <w:rFonts w:hint="eastAsia" w:ascii="宋体" w:hAnsi="宋体" w:cs="宋体"/>
          <w:color w:val="auto"/>
          <w:sz w:val="24"/>
          <w:szCs w:val="24"/>
          <w:highlight w:val="none"/>
          <w:lang w:eastAsia="zh-CN" w:bidi="ar"/>
        </w:rPr>
        <w:t>供应商</w:t>
      </w:r>
      <w:r>
        <w:rPr>
          <w:rFonts w:hint="eastAsia" w:ascii="宋体" w:hAnsi="宋体" w:cs="宋体"/>
          <w:color w:val="auto"/>
          <w:sz w:val="24"/>
          <w:szCs w:val="24"/>
          <w:highlight w:val="none"/>
          <w:lang w:bidi="ar"/>
        </w:rPr>
        <w:t>须知、通用合同条款、专用合同条款、技术标准和要求及图纸等章节内容一起阅读和理解。</w:t>
      </w:r>
    </w:p>
    <w:p w14:paraId="1E768B8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1.3本工程量清单仅是投标报价的共同基础，竣工结算的工程量按合同约定确定。合同价格的确定以及价款支付应遵循合同条款(包括通用合同条款和专用合同条款)、技术标准和要求以及本章的有关约定。</w:t>
      </w:r>
    </w:p>
    <w:p w14:paraId="390EA61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1.4补充子目的子目特征、计量单位、工程量计算规则及工作内容说明如下：</w:t>
      </w:r>
    </w:p>
    <w:p w14:paraId="2A4C3D3A">
      <w:pPr>
        <w:pageBreakBefore w:val="0"/>
        <w:kinsoku/>
        <w:wordWrap/>
        <w:overflowPunct/>
        <w:topLinePunct w:val="0"/>
        <w:autoSpaceDE/>
        <w:autoSpaceDN/>
        <w:bidi w:val="0"/>
        <w:adjustRightInd/>
        <w:snapToGrid/>
        <w:spacing w:line="360" w:lineRule="auto"/>
        <w:ind w:left="741" w:hanging="847" w:hangingChars="353"/>
        <w:textAlignment w:val="auto"/>
        <w:rPr>
          <w:rFonts w:hint="eastAsia" w:ascii="宋体" w:hAnsi="宋体" w:cs="宋体"/>
          <w:b/>
          <w:color w:val="auto"/>
          <w:sz w:val="24"/>
          <w:szCs w:val="24"/>
          <w:highlight w:val="none"/>
        </w:rPr>
      </w:pP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lang w:bidi="ar"/>
        </w:rPr>
        <w:t xml:space="preserve">                  ／                            。</w:t>
      </w:r>
    </w:p>
    <w:p w14:paraId="436573B3">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1.5本条第1.1款中约定的计量和计价规则适用于合同履约过程中工程量计量与价款支付、工程变更、索赔和工程结算。</w:t>
      </w:r>
    </w:p>
    <w:p w14:paraId="4FD3F695">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1.6本条与下述</w:t>
      </w:r>
      <w:r>
        <w:rPr>
          <w:rFonts w:hint="eastAsia" w:ascii="宋体" w:hAnsi="宋体" w:cs="宋体"/>
          <w:color w:val="auto"/>
          <w:sz w:val="24"/>
          <w:szCs w:val="24"/>
          <w:highlight w:val="none"/>
          <w:lang w:eastAsia="zh-CN" w:bidi="ar"/>
        </w:rPr>
        <w:t>相关</w:t>
      </w:r>
      <w:r>
        <w:rPr>
          <w:rFonts w:hint="eastAsia" w:ascii="宋体" w:hAnsi="宋体" w:cs="宋体"/>
          <w:color w:val="auto"/>
          <w:sz w:val="24"/>
          <w:szCs w:val="24"/>
          <w:highlight w:val="none"/>
          <w:lang w:bidi="ar"/>
        </w:rPr>
        <w:t>说明内容是构成合同文件的已标价工程量清单的组成部分。</w:t>
      </w:r>
    </w:p>
    <w:p w14:paraId="42A73695">
      <w:pPr>
        <w:pStyle w:val="3"/>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22" w:name="_Toc6844"/>
      <w:bookmarkStart w:id="23" w:name="_Toc5922"/>
      <w:bookmarkStart w:id="24" w:name="_Toc300232555"/>
      <w:bookmarkStart w:id="25" w:name="_Toc3055"/>
      <w:bookmarkStart w:id="26" w:name="_Toc22283"/>
      <w:r>
        <w:rPr>
          <w:rFonts w:hint="eastAsia" w:ascii="宋体" w:hAnsi="宋体" w:eastAsia="宋体" w:cs="宋体"/>
          <w:color w:val="auto"/>
          <w:sz w:val="24"/>
          <w:szCs w:val="24"/>
          <w:highlight w:val="none"/>
        </w:rPr>
        <w:t>2、投标报价说明</w:t>
      </w:r>
      <w:bookmarkEnd w:id="22"/>
      <w:bookmarkEnd w:id="23"/>
      <w:bookmarkEnd w:id="24"/>
      <w:bookmarkEnd w:id="25"/>
      <w:bookmarkEnd w:id="26"/>
    </w:p>
    <w:p w14:paraId="66625C5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2.1投标报价应根据</w:t>
      </w:r>
      <w:r>
        <w:rPr>
          <w:rFonts w:hint="eastAsia" w:ascii="宋体" w:hAnsi="宋体" w:cs="宋体"/>
          <w:color w:val="auto"/>
          <w:sz w:val="24"/>
          <w:szCs w:val="24"/>
          <w:highlight w:val="none"/>
          <w:lang w:eastAsia="zh-CN" w:bidi="ar"/>
        </w:rPr>
        <w:t>采购文件</w:t>
      </w:r>
      <w:r>
        <w:rPr>
          <w:rFonts w:hint="eastAsia" w:ascii="宋体" w:hAnsi="宋体" w:cs="宋体"/>
          <w:color w:val="auto"/>
          <w:sz w:val="24"/>
          <w:szCs w:val="24"/>
          <w:highlight w:val="none"/>
          <w:lang w:bidi="ar"/>
        </w:rPr>
        <w:t>中的有关计价要求，并按照下列依据自主报价。</w:t>
      </w:r>
    </w:p>
    <w:p w14:paraId="58D7E9B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w:t>
      </w:r>
      <w:r>
        <w:rPr>
          <w:rFonts w:hint="eastAsia" w:ascii="宋体" w:hAnsi="宋体" w:cs="宋体"/>
          <w:color w:val="auto"/>
          <w:sz w:val="24"/>
          <w:szCs w:val="24"/>
          <w:highlight w:val="none"/>
          <w:lang w:eastAsia="zh-CN" w:bidi="ar"/>
        </w:rPr>
        <w:t>采购文件</w:t>
      </w:r>
      <w:r>
        <w:rPr>
          <w:rFonts w:hint="eastAsia" w:ascii="宋体" w:hAnsi="宋体" w:cs="宋体"/>
          <w:color w:val="auto"/>
          <w:sz w:val="24"/>
          <w:szCs w:val="24"/>
          <w:highlight w:val="none"/>
          <w:lang w:bidi="ar"/>
        </w:rPr>
        <w:t>；</w:t>
      </w:r>
    </w:p>
    <w:p w14:paraId="3BDB4AC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国家或省级、行业建设主管部门颁发的计价办法；</w:t>
      </w:r>
    </w:p>
    <w:p w14:paraId="02EF213E">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企业定额，国家或省级、行业建设主管部门颁发的计价定额；</w:t>
      </w:r>
    </w:p>
    <w:p w14:paraId="5F3A03A5">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bidi="ar"/>
        </w:rPr>
        <w:t>采购文件</w:t>
      </w:r>
      <w:r>
        <w:rPr>
          <w:rFonts w:hint="eastAsia" w:ascii="宋体" w:hAnsi="宋体" w:cs="宋体"/>
          <w:color w:val="auto"/>
          <w:sz w:val="24"/>
          <w:szCs w:val="24"/>
          <w:highlight w:val="none"/>
          <w:lang w:bidi="ar"/>
        </w:rPr>
        <w:t>(包括工程量清单)的澄清、补充和修改文件；</w:t>
      </w:r>
    </w:p>
    <w:p w14:paraId="530D5C8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建设工程设计文件及相关资料；</w:t>
      </w:r>
    </w:p>
    <w:p w14:paraId="5AEB5E1B">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施工现场情况、工程特点及拟定的投标施工组织设计或施工方案；</w:t>
      </w:r>
    </w:p>
    <w:p w14:paraId="6E70B060">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color w:val="auto"/>
          <w:sz w:val="24"/>
          <w:szCs w:val="24"/>
          <w:highlight w:val="none"/>
        </w:rPr>
      </w:pPr>
      <w:r>
        <w:rPr>
          <w:rFonts w:hint="eastAsia" w:ascii="Times New Roman" w:hAnsi="Times New Roman" w:cs="宋体"/>
          <w:color w:val="auto"/>
          <w:sz w:val="24"/>
          <w:szCs w:val="24"/>
          <w:highlight w:val="none"/>
          <w:lang w:bidi="ar"/>
        </w:rPr>
        <w:t>与建设项目相关的标准、规定等技术资料；</w:t>
      </w:r>
    </w:p>
    <w:p w14:paraId="6987E5A3">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color w:val="auto"/>
          <w:sz w:val="24"/>
          <w:szCs w:val="24"/>
          <w:highlight w:val="none"/>
        </w:rPr>
      </w:pPr>
      <w:r>
        <w:rPr>
          <w:rFonts w:hint="eastAsia" w:ascii="Times New Roman" w:hAnsi="Times New Roman" w:cs="宋体"/>
          <w:color w:val="auto"/>
          <w:sz w:val="24"/>
          <w:szCs w:val="24"/>
          <w:highlight w:val="none"/>
          <w:lang w:bidi="ar"/>
        </w:rPr>
        <w:t>市场价格信息或工程造价管理机构发布的工程造价信息；</w:t>
      </w:r>
    </w:p>
    <w:p w14:paraId="61CA0B6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color w:val="auto"/>
          <w:sz w:val="24"/>
          <w:szCs w:val="24"/>
          <w:highlight w:val="none"/>
        </w:rPr>
      </w:pPr>
      <w:r>
        <w:rPr>
          <w:rFonts w:hint="eastAsia" w:ascii="Times New Roman" w:hAnsi="Times New Roman" w:cs="宋体"/>
          <w:color w:val="auto"/>
          <w:sz w:val="24"/>
          <w:szCs w:val="24"/>
          <w:highlight w:val="none"/>
          <w:lang w:bidi="ar"/>
        </w:rPr>
        <w:t>其他的相关资料。</w:t>
      </w:r>
    </w:p>
    <w:p w14:paraId="2BB30E8D">
      <w:pPr>
        <w:pageBreakBefore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ascii="Times New Roman" w:hAnsi="Times New Roman"/>
          <w:color w:val="auto"/>
          <w:sz w:val="24"/>
          <w:szCs w:val="24"/>
          <w:highlight w:val="none"/>
          <w:lang w:bidi="ar"/>
        </w:rPr>
        <w:t>2.2</w:t>
      </w:r>
      <w:r>
        <w:rPr>
          <w:rFonts w:hint="eastAsia" w:ascii="Times New Roman" w:hAnsi="Times New Roman" w:cs="宋体"/>
          <w:color w:val="auto"/>
          <w:sz w:val="24"/>
          <w:szCs w:val="24"/>
          <w:highlight w:val="none"/>
          <w:lang w:bidi="ar"/>
        </w:rPr>
        <w:t>工程量清单中的每一子目须填入单价或价格，且只允许有一个报价。</w:t>
      </w:r>
    </w:p>
    <w:p w14:paraId="367F02D6">
      <w:pPr>
        <w:pageBreakBefore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ascii="Times New Roman" w:hAnsi="Times New Roman"/>
          <w:color w:val="auto"/>
          <w:sz w:val="24"/>
          <w:szCs w:val="24"/>
          <w:highlight w:val="none"/>
          <w:lang w:bidi="ar"/>
        </w:rPr>
        <w:t>2.3</w:t>
      </w:r>
      <w:r>
        <w:rPr>
          <w:rFonts w:hint="eastAsia" w:ascii="Times New Roman" w:hAnsi="Times New Roman" w:cs="宋体"/>
          <w:color w:val="auto"/>
          <w:sz w:val="24"/>
          <w:szCs w:val="24"/>
          <w:highlight w:val="none"/>
          <w:lang w:bidi="ar"/>
        </w:rPr>
        <w:t>已标价工程量清单中</w:t>
      </w:r>
      <w:r>
        <w:rPr>
          <w:rFonts w:hint="eastAsia" w:ascii="Times New Roman" w:hAnsi="Times New Roman" w:cs="宋体"/>
          <w:color w:val="auto"/>
          <w:sz w:val="24"/>
          <w:szCs w:val="24"/>
          <w:highlight w:val="none"/>
          <w:lang w:eastAsia="zh-CN" w:bidi="ar"/>
        </w:rPr>
        <w:t>供应商</w:t>
      </w:r>
      <w:r>
        <w:rPr>
          <w:rFonts w:hint="eastAsia" w:ascii="Times New Roman" w:hAnsi="Times New Roman" w:cs="宋体"/>
          <w:color w:val="auto"/>
          <w:sz w:val="24"/>
          <w:szCs w:val="24"/>
          <w:highlight w:val="none"/>
          <w:lang w:bidi="ar"/>
        </w:rPr>
        <w:t>没有填入单价或价格的子目，其费用视为已分摊在工程量清单中其他已标价的相关子目的单价或价格之中。</w:t>
      </w:r>
    </w:p>
    <w:p w14:paraId="2146BC4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color w:val="auto"/>
          <w:sz w:val="24"/>
          <w:szCs w:val="24"/>
          <w:highlight w:val="none"/>
          <w:lang w:bidi="ar"/>
        </w:rPr>
      </w:pPr>
      <w:r>
        <w:rPr>
          <w:rFonts w:hint="eastAsia" w:ascii="Times New Roman" w:hAnsi="Times New Roman" w:eastAsia="宋体" w:cs="宋体"/>
          <w:b/>
          <w:bCs/>
          <w:color w:val="auto"/>
          <w:sz w:val="24"/>
          <w:szCs w:val="24"/>
          <w:highlight w:val="none"/>
          <w:lang w:val="en-US" w:eastAsia="zh-CN" w:bidi="ar"/>
        </w:rPr>
        <w:t>2.4</w:t>
      </w:r>
      <w:r>
        <w:rPr>
          <w:rFonts w:hint="eastAsia" w:ascii="Times New Roman" w:hAnsi="Times New Roman" w:eastAsia="宋体" w:cs="宋体"/>
          <w:b/>
          <w:bCs/>
          <w:color w:val="auto"/>
          <w:sz w:val="24"/>
          <w:szCs w:val="24"/>
          <w:highlight w:val="none"/>
          <w:lang w:bidi="ar"/>
        </w:rPr>
        <w:t>本</w:t>
      </w:r>
      <w:r>
        <w:rPr>
          <w:rFonts w:hint="eastAsia" w:ascii="Times New Roman" w:hAnsi="Times New Roman" w:eastAsia="宋体" w:cs="宋体"/>
          <w:b/>
          <w:bCs/>
          <w:color w:val="auto"/>
          <w:sz w:val="24"/>
          <w:szCs w:val="24"/>
          <w:highlight w:val="none"/>
          <w:lang w:eastAsia="zh-CN" w:bidi="ar"/>
        </w:rPr>
        <w:t>项目</w:t>
      </w:r>
      <w:r>
        <w:rPr>
          <w:rFonts w:hint="eastAsia" w:ascii="Times New Roman" w:hAnsi="Times New Roman" w:eastAsia="宋体" w:cs="宋体"/>
          <w:b/>
          <w:bCs/>
          <w:color w:val="auto"/>
          <w:sz w:val="24"/>
          <w:szCs w:val="24"/>
          <w:highlight w:val="none"/>
          <w:lang w:bidi="ar"/>
        </w:rPr>
        <w:t>采用固定含税全费用综合单价合同形式。</w:t>
      </w:r>
    </w:p>
    <w:p w14:paraId="6E29123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color w:val="auto"/>
          <w:sz w:val="24"/>
          <w:szCs w:val="24"/>
          <w:highlight w:val="none"/>
          <w:lang w:eastAsia="zh-CN" w:bidi="ar"/>
        </w:rPr>
      </w:pPr>
      <w:r>
        <w:rPr>
          <w:rFonts w:hint="eastAsia" w:ascii="Times New Roman" w:hAnsi="Times New Roman" w:eastAsia="宋体" w:cs="宋体"/>
          <w:b/>
          <w:bCs/>
          <w:color w:val="auto"/>
          <w:sz w:val="24"/>
          <w:szCs w:val="24"/>
          <w:highlight w:val="none"/>
          <w:lang w:eastAsia="zh-CN" w:bidi="ar"/>
        </w:rPr>
        <w:t>各</w:t>
      </w:r>
      <w:r>
        <w:rPr>
          <w:rFonts w:hint="eastAsia" w:ascii="Times New Roman" w:hAnsi="Times New Roman" w:cs="宋体"/>
          <w:b/>
          <w:bCs/>
          <w:color w:val="auto"/>
          <w:sz w:val="24"/>
          <w:szCs w:val="24"/>
          <w:highlight w:val="none"/>
          <w:lang w:eastAsia="zh-CN" w:bidi="ar"/>
        </w:rPr>
        <w:t>供应商</w:t>
      </w:r>
      <w:r>
        <w:rPr>
          <w:rFonts w:hint="eastAsia" w:ascii="Times New Roman" w:hAnsi="Times New Roman" w:eastAsia="宋体" w:cs="宋体"/>
          <w:b/>
          <w:bCs/>
          <w:color w:val="auto"/>
          <w:sz w:val="24"/>
          <w:szCs w:val="24"/>
          <w:highlight w:val="none"/>
          <w:lang w:eastAsia="zh-CN" w:bidi="ar"/>
        </w:rPr>
        <w:t>应根据</w:t>
      </w:r>
      <w:r>
        <w:rPr>
          <w:rFonts w:hint="eastAsia" w:ascii="Times New Roman" w:hAnsi="Times New Roman" w:cs="宋体"/>
          <w:b/>
          <w:bCs/>
          <w:color w:val="auto"/>
          <w:sz w:val="24"/>
          <w:szCs w:val="24"/>
          <w:highlight w:val="none"/>
          <w:lang w:eastAsia="zh-CN" w:bidi="ar"/>
        </w:rPr>
        <w:t>采购文件</w:t>
      </w:r>
      <w:r>
        <w:rPr>
          <w:rFonts w:hint="eastAsia" w:ascii="Times New Roman" w:hAnsi="Times New Roman" w:eastAsia="宋体" w:cs="宋体"/>
          <w:b/>
          <w:bCs/>
          <w:color w:val="auto"/>
          <w:sz w:val="24"/>
          <w:szCs w:val="24"/>
          <w:highlight w:val="none"/>
          <w:lang w:eastAsia="zh-CN" w:bidi="ar"/>
        </w:rPr>
        <w:t>给定的工程量清单逐项填报单价和合价，并以此汇总计算总价。</w:t>
      </w:r>
    </w:p>
    <w:p w14:paraId="1EE39DCD">
      <w:pPr>
        <w:pageBreakBefore w:val="0"/>
        <w:kinsoku/>
        <w:wordWrap/>
        <w:overflowPunct/>
        <w:topLinePunct w:val="0"/>
        <w:autoSpaceDE/>
        <w:autoSpaceDN/>
        <w:bidi w:val="0"/>
        <w:adjustRightInd/>
        <w:snapToGrid/>
        <w:spacing w:line="360" w:lineRule="auto"/>
        <w:ind w:firstLine="482" w:firstLineChars="200"/>
        <w:textAlignment w:val="auto"/>
        <w:rPr>
          <w:color w:val="auto"/>
          <w:sz w:val="24"/>
          <w:szCs w:val="24"/>
        </w:rPr>
      </w:pPr>
      <w:r>
        <w:rPr>
          <w:rFonts w:hint="eastAsia" w:ascii="Times New Roman" w:hAnsi="Times New Roman" w:cs="宋体"/>
          <w:b/>
          <w:bCs/>
          <w:color w:val="auto"/>
          <w:sz w:val="24"/>
          <w:szCs w:val="24"/>
          <w:highlight w:val="none"/>
          <w:lang w:eastAsia="zh-CN" w:bidi="ar"/>
        </w:rPr>
        <w:t>供应商</w:t>
      </w:r>
      <w:r>
        <w:rPr>
          <w:rFonts w:hint="eastAsia" w:ascii="Times New Roman" w:hAnsi="Times New Roman" w:eastAsia="宋体" w:cs="宋体"/>
          <w:b/>
          <w:bCs/>
          <w:color w:val="auto"/>
          <w:sz w:val="24"/>
          <w:szCs w:val="24"/>
          <w:highlight w:val="none"/>
          <w:lang w:eastAsia="zh-CN" w:bidi="ar"/>
        </w:rPr>
        <w:t>的报价</w:t>
      </w:r>
      <w:r>
        <w:rPr>
          <w:rFonts w:hint="eastAsia" w:ascii="Times New Roman" w:hAnsi="Times New Roman" w:eastAsia="宋体" w:cs="宋体"/>
          <w:b/>
          <w:bCs/>
          <w:color w:val="auto"/>
          <w:sz w:val="24"/>
          <w:szCs w:val="24"/>
          <w:highlight w:val="none"/>
          <w:lang w:bidi="ar"/>
        </w:rPr>
        <w:t>包括图纸范围内的全部工作内容，包含</w:t>
      </w:r>
      <w:r>
        <w:rPr>
          <w:rFonts w:hint="eastAsia" w:ascii="Times New Roman" w:hAnsi="Times New Roman" w:eastAsia="宋体" w:cs="宋体"/>
          <w:b/>
          <w:bCs/>
          <w:color w:val="auto"/>
          <w:sz w:val="24"/>
          <w:szCs w:val="24"/>
          <w:highlight w:val="none"/>
          <w:lang w:eastAsia="zh-CN" w:bidi="ar"/>
        </w:rPr>
        <w:t>施工设备、劳务、材料（含辅材）、安装、运输、维护、保险（含劳动保险等）、管理费、利润及税金、水电费用（在付款时扣除）、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w:t>
      </w:r>
      <w:r>
        <w:rPr>
          <w:rFonts w:hint="eastAsia" w:cs="宋体"/>
          <w:b/>
          <w:bCs/>
          <w:color w:val="auto"/>
          <w:sz w:val="24"/>
          <w:szCs w:val="24"/>
          <w:highlight w:val="none"/>
          <w:lang w:eastAsia="zh-CN" w:bidi="ar"/>
        </w:rPr>
        <w:t>隐含的为完成该项目而必须发生的费用（包括发包人分包的给水系统、热力系统、强电、强电系统、燃气系统等各项施工中的配合及预留的接口闭合等相关费用）</w:t>
      </w:r>
      <w:r>
        <w:rPr>
          <w:rFonts w:hint="eastAsia" w:ascii="Times New Roman" w:hAnsi="Times New Roman" w:eastAsia="宋体" w:cs="宋体"/>
          <w:b/>
          <w:bCs/>
          <w:color w:val="auto"/>
          <w:sz w:val="24"/>
          <w:szCs w:val="24"/>
          <w:highlight w:val="none"/>
          <w:lang w:eastAsia="zh-CN" w:bidi="ar"/>
        </w:rPr>
        <w:t>、在合同实施期间不因市场变化因素而变动。除固定含税全费用综合单价外，承包人无权再向发包人主张任何价款及费用</w:t>
      </w:r>
      <w:r>
        <w:rPr>
          <w:rFonts w:hint="eastAsia" w:ascii="Times New Roman" w:hAnsi="Times New Roman" w:eastAsia="宋体" w:cs="宋体"/>
          <w:b/>
          <w:bCs/>
          <w:color w:val="auto"/>
          <w:sz w:val="24"/>
          <w:szCs w:val="24"/>
          <w:highlight w:val="none"/>
          <w:lang w:bidi="ar"/>
        </w:rPr>
        <w:t>。</w:t>
      </w:r>
    </w:p>
    <w:p w14:paraId="5268682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color w:val="auto"/>
          <w:sz w:val="24"/>
          <w:szCs w:val="24"/>
          <w:highlight w:val="none"/>
          <w:lang w:eastAsia="zh-CN" w:bidi="ar"/>
        </w:rPr>
      </w:pPr>
      <w:r>
        <w:rPr>
          <w:rFonts w:hint="eastAsia" w:ascii="Times New Roman" w:hAnsi="Times New Roman" w:eastAsia="宋体" w:cs="宋体"/>
          <w:b/>
          <w:bCs/>
          <w:color w:val="auto"/>
          <w:sz w:val="24"/>
          <w:szCs w:val="24"/>
          <w:highlight w:val="none"/>
          <w:lang w:eastAsia="zh-CN" w:bidi="ar"/>
        </w:rPr>
        <w:t>各</w:t>
      </w:r>
      <w:r>
        <w:rPr>
          <w:rFonts w:hint="eastAsia" w:ascii="Times New Roman" w:hAnsi="Times New Roman" w:cs="宋体"/>
          <w:b/>
          <w:bCs/>
          <w:color w:val="auto"/>
          <w:sz w:val="24"/>
          <w:szCs w:val="24"/>
          <w:highlight w:val="none"/>
          <w:lang w:eastAsia="zh-CN" w:bidi="ar"/>
        </w:rPr>
        <w:t>供应商</w:t>
      </w:r>
      <w:r>
        <w:rPr>
          <w:rFonts w:hint="eastAsia" w:ascii="Times New Roman" w:hAnsi="Times New Roman" w:eastAsia="宋体" w:cs="宋体"/>
          <w:b/>
          <w:bCs/>
          <w:color w:val="auto"/>
          <w:sz w:val="24"/>
          <w:szCs w:val="24"/>
          <w:highlight w:val="none"/>
          <w:lang w:eastAsia="zh-CN" w:bidi="ar"/>
        </w:rPr>
        <w:t>不得对清单中的“项目名称项目特征”、“计量单位”及“工程量”做任何变动，否则，评标委员会应否决其投标。</w:t>
      </w:r>
    </w:p>
    <w:p w14:paraId="1A5F5F35">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宋体"/>
          <w:b/>
          <w:bCs/>
          <w:color w:val="auto"/>
          <w:sz w:val="24"/>
          <w:szCs w:val="24"/>
          <w:highlight w:val="none"/>
          <w:lang w:val="en-US" w:eastAsia="zh-CN" w:bidi="ar"/>
        </w:rPr>
      </w:pPr>
      <w:r>
        <w:rPr>
          <w:rFonts w:hint="eastAsia" w:ascii="Times New Roman" w:hAnsi="Times New Roman" w:cs="宋体"/>
          <w:b/>
          <w:bCs/>
          <w:color w:val="auto"/>
          <w:sz w:val="24"/>
          <w:szCs w:val="24"/>
          <w:highlight w:val="none"/>
          <w:lang w:val="en-US" w:eastAsia="zh-CN" w:bidi="ar"/>
        </w:rPr>
        <w:t>3、工程量清单</w:t>
      </w:r>
    </w:p>
    <w:p w14:paraId="12150DC4">
      <w:pPr>
        <w:jc w:val="center"/>
        <w:rPr>
          <w:rFonts w:hint="eastAsia" w:eastAsiaTheme="minorEastAsia"/>
          <w:b/>
          <w:bCs/>
          <w:color w:val="auto"/>
          <w:sz w:val="24"/>
          <w:szCs w:val="24"/>
          <w:lang w:eastAsia="zh-CN"/>
        </w:rPr>
      </w:pPr>
      <w:r>
        <w:rPr>
          <w:rFonts w:hint="eastAsia"/>
          <w:b/>
          <w:bCs/>
          <w:color w:val="auto"/>
          <w:sz w:val="24"/>
          <w:szCs w:val="24"/>
          <w:lang w:eastAsia="zh-CN"/>
        </w:rPr>
        <w:t>工程量清单</w:t>
      </w:r>
    </w:p>
    <w:p w14:paraId="70858102">
      <w:pPr>
        <w:rPr>
          <w:color w:val="auto"/>
          <w:sz w:val="24"/>
          <w:szCs w:val="24"/>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437"/>
        <w:gridCol w:w="1742"/>
        <w:gridCol w:w="2182"/>
      </w:tblGrid>
      <w:tr w14:paraId="13AE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1FF2A3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工程名称：室外雨污水管网</w:t>
            </w:r>
          </w:p>
        </w:tc>
      </w:tr>
      <w:tr w14:paraId="655F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003F68">
            <w:pPr>
              <w:keepNext w:val="0"/>
              <w:keepLines w:val="0"/>
              <w:widowControl/>
              <w:suppressLineNumbers w:val="0"/>
              <w:jc w:val="center"/>
              <w:textAlignment w:val="center"/>
              <w:rPr>
                <w:rFonts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序号</w:t>
            </w:r>
          </w:p>
        </w:tc>
        <w:tc>
          <w:tcPr>
            <w:tcW w:w="23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A944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项目名称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项目特征</w:t>
            </w:r>
          </w:p>
        </w:tc>
        <w:tc>
          <w:tcPr>
            <w:tcW w:w="93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E17B5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计量单位</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788F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工程量</w:t>
            </w:r>
          </w:p>
        </w:tc>
      </w:tr>
      <w:tr w14:paraId="2295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DE005">
            <w:pPr>
              <w:jc w:val="center"/>
              <w:rPr>
                <w:rFonts w:hint="default" w:ascii="Arial" w:hAnsi="Arial" w:eastAsia="宋体" w:cs="Arial"/>
                <w:i w:val="0"/>
                <w:iCs w:val="0"/>
                <w:color w:val="auto"/>
                <w:sz w:val="24"/>
                <w:szCs w:val="24"/>
                <w:u w:val="none"/>
              </w:rPr>
            </w:pPr>
          </w:p>
        </w:tc>
        <w:tc>
          <w:tcPr>
            <w:tcW w:w="2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804CF">
            <w:pPr>
              <w:jc w:val="center"/>
              <w:rPr>
                <w:rFonts w:hint="default" w:ascii="Arial" w:hAnsi="Arial" w:eastAsia="宋体" w:cs="Arial"/>
                <w:i w:val="0"/>
                <w:iCs w:val="0"/>
                <w:color w:val="auto"/>
                <w:sz w:val="24"/>
                <w:szCs w:val="24"/>
                <w:u w:val="none"/>
              </w:rPr>
            </w:pPr>
          </w:p>
        </w:tc>
        <w:tc>
          <w:tcPr>
            <w:tcW w:w="93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58B95">
            <w:pPr>
              <w:jc w:val="center"/>
              <w:rPr>
                <w:rFonts w:hint="default" w:ascii="Arial" w:hAnsi="Arial" w:eastAsia="宋体" w:cs="Arial"/>
                <w:i w:val="0"/>
                <w:iCs w:val="0"/>
                <w:color w:val="auto"/>
                <w:sz w:val="24"/>
                <w:szCs w:val="24"/>
                <w:u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0EF2C">
            <w:pPr>
              <w:jc w:val="center"/>
              <w:rPr>
                <w:rFonts w:hint="default" w:ascii="Arial" w:hAnsi="Arial" w:eastAsia="宋体" w:cs="Arial"/>
                <w:i w:val="0"/>
                <w:iCs w:val="0"/>
                <w:color w:val="auto"/>
                <w:sz w:val="24"/>
                <w:szCs w:val="24"/>
                <w:u w:val="none"/>
              </w:rPr>
            </w:pPr>
          </w:p>
        </w:tc>
      </w:tr>
      <w:tr w14:paraId="4C76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7A92F">
            <w:pPr>
              <w:jc w:val="center"/>
              <w:rPr>
                <w:rFonts w:hint="default" w:ascii="Arial" w:hAnsi="Arial" w:eastAsia="宋体" w:cs="Arial"/>
                <w:i w:val="0"/>
                <w:iCs w:val="0"/>
                <w:color w:val="auto"/>
                <w:sz w:val="24"/>
                <w:szCs w:val="24"/>
                <w:u w:val="none"/>
              </w:rPr>
            </w:pP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697A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室外雨水</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68D20">
            <w:pPr>
              <w:jc w:val="center"/>
              <w:rPr>
                <w:rFonts w:hint="default" w:ascii="Arial" w:hAnsi="Arial" w:eastAsia="宋体" w:cs="Arial"/>
                <w:i w:val="0"/>
                <w:iCs w:val="0"/>
                <w:color w:val="auto"/>
                <w:sz w:val="24"/>
                <w:szCs w:val="24"/>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B3DD8">
            <w:pPr>
              <w:jc w:val="center"/>
              <w:rPr>
                <w:rFonts w:hint="default" w:ascii="Arial" w:hAnsi="Arial" w:eastAsia="宋体" w:cs="Arial"/>
                <w:i w:val="0"/>
                <w:iCs w:val="0"/>
                <w:color w:val="auto"/>
                <w:sz w:val="24"/>
                <w:szCs w:val="24"/>
                <w:u w:val="none"/>
              </w:rPr>
            </w:pPr>
          </w:p>
        </w:tc>
      </w:tr>
      <w:tr w14:paraId="1730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1AD9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0591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2.规格：DN800环刚度不小于8KN/m2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BC20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B606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7.02</w:t>
            </w:r>
          </w:p>
        </w:tc>
      </w:tr>
      <w:tr w14:paraId="1515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F0A8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113A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2.规格：DN600环刚度不小于8KN/m2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DDD8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FE6A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54.98</w:t>
            </w:r>
          </w:p>
        </w:tc>
      </w:tr>
      <w:tr w14:paraId="21AA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BD04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30CD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2.规格：DN500     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BDFA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45CB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178.26</w:t>
            </w:r>
          </w:p>
        </w:tc>
      </w:tr>
      <w:tr w14:paraId="5722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DB34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0FCE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2.规格：DN400环刚度不小于8KN/m2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89DB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3B13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169.88</w:t>
            </w:r>
          </w:p>
        </w:tc>
      </w:tr>
      <w:tr w14:paraId="0DC7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9C23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2E02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2.规格：DN300环刚度不小于8KN/m2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A735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BFC5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1092.38</w:t>
            </w:r>
          </w:p>
        </w:tc>
      </w:tr>
      <w:tr w14:paraId="56C1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D604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E748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2.规格：DN200环刚度不小于8KN/m2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96F3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FD7C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198.62</w:t>
            </w:r>
          </w:p>
        </w:tc>
      </w:tr>
      <w:tr w14:paraId="4A3F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0726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79FA2">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铸铁管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2.介质：污水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3.材质、规格：承插式抗震排水铸铁管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4.连接形式:柔性接口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B5B2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8092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10.66</w:t>
            </w:r>
          </w:p>
        </w:tc>
      </w:tr>
      <w:tr w14:paraId="2803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F509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79FE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雨水口</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1.名称：新型复合材质平箅式雨水口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2.规格：雨水口均设300mm深沉泥室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87FB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99A0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51</w:t>
            </w:r>
          </w:p>
        </w:tc>
      </w:tr>
      <w:tr w14:paraId="1902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3EC0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129C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雨水检查井</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1.名称：雨水检查井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2.规格：Ф1000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3.材质：混凝土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FFAF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A912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48</w:t>
            </w:r>
          </w:p>
        </w:tc>
      </w:tr>
      <w:tr w14:paraId="242C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66D4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E5CF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管道基础</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1.名称：管道基础采用中粗砂基础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2.厚度：100mm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BB1F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044C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157.4</w:t>
            </w:r>
          </w:p>
        </w:tc>
      </w:tr>
      <w:tr w14:paraId="4E60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742A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74DF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挖沟槽土方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1.土壤类别：普通土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2.挖土深度：综合考虑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D9AF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D907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2833.31</w:t>
            </w:r>
          </w:p>
        </w:tc>
      </w:tr>
      <w:tr w14:paraId="056A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36C1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369FD">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回填方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1.密实度要求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2.填方材料品种：符合要求的原土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846A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BACF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2108.41</w:t>
            </w:r>
          </w:p>
        </w:tc>
      </w:tr>
      <w:tr w14:paraId="35D3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A42E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230F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余方弃置</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1.废弃料品种：普通土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2.运距：暂按5KM计算</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2138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3378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724.9</w:t>
            </w:r>
          </w:p>
        </w:tc>
      </w:tr>
      <w:tr w14:paraId="0DA7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0AD22">
            <w:pPr>
              <w:jc w:val="center"/>
              <w:rPr>
                <w:rFonts w:hint="default" w:ascii="Arial" w:hAnsi="Arial" w:eastAsia="宋体" w:cs="Arial"/>
                <w:i w:val="0"/>
                <w:iCs w:val="0"/>
                <w:color w:val="auto"/>
                <w:sz w:val="24"/>
                <w:szCs w:val="24"/>
                <w:u w:val="none"/>
              </w:rPr>
            </w:pP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AAB3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室外污水</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02736">
            <w:pPr>
              <w:jc w:val="center"/>
              <w:rPr>
                <w:rFonts w:hint="default" w:ascii="Arial" w:hAnsi="Arial" w:eastAsia="宋体" w:cs="Arial"/>
                <w:i w:val="0"/>
                <w:iCs w:val="0"/>
                <w:color w:val="auto"/>
                <w:sz w:val="24"/>
                <w:szCs w:val="24"/>
                <w:u w:val="none"/>
              </w:rPr>
            </w:pP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6F340">
            <w:pPr>
              <w:jc w:val="center"/>
              <w:rPr>
                <w:rFonts w:hint="default" w:ascii="Arial" w:hAnsi="Arial" w:eastAsia="宋体" w:cs="Arial"/>
                <w:i w:val="0"/>
                <w:iCs w:val="0"/>
                <w:color w:val="auto"/>
                <w:sz w:val="24"/>
                <w:szCs w:val="24"/>
                <w:u w:val="none"/>
              </w:rPr>
            </w:pPr>
          </w:p>
        </w:tc>
      </w:tr>
      <w:tr w14:paraId="5CD5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37D1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3BB0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2.规格：DN300环刚度不小于8KN/m2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02B1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01B5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1409.22</w:t>
            </w:r>
          </w:p>
        </w:tc>
      </w:tr>
      <w:tr w14:paraId="2AEC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FA2A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CA90D">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铸铁管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2.介质：污水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3.材质、规格：承插式抗震排水铸铁管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4.连接形式:柔性接口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2E96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441F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375.44</w:t>
            </w:r>
          </w:p>
        </w:tc>
      </w:tr>
      <w:tr w14:paraId="6C5C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B151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2A17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污水检查井</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1.名称：污水检查井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2.规格：Ф1000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3.材质：混凝土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9CE0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74F8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153</w:t>
            </w:r>
          </w:p>
        </w:tc>
      </w:tr>
      <w:tr w14:paraId="1053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681A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EE68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化粪池</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1.名称：7#化粪池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2.材质：钢筋混凝土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3.其它综合考虑、并详见图纸设计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AE36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2D14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r>
      <w:tr w14:paraId="30EA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C64D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18</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BF04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化粪池</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1.名称：8#化粪池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2.材质：钢筋混凝土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3.其它综合考虑、并详见图纸设计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5356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C832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r>
      <w:tr w14:paraId="5D0D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9194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19</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AB74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管道基础</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1.名称：管道基础采用中粗砂基础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2.厚度：100mm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7382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D7DC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126.83</w:t>
            </w:r>
          </w:p>
        </w:tc>
      </w:tr>
      <w:tr w14:paraId="3214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BF36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6B09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挖沟槽土方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1.土壤类别：普通土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2.挖土深度：综合考虑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E46E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3F0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2638.99</w:t>
            </w:r>
          </w:p>
        </w:tc>
      </w:tr>
      <w:tr w14:paraId="083D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0FBA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21</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D722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回填方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1.密实度要求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2.填方材料品种：满足图纸及相关技术标准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EE6C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C273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1938.36</w:t>
            </w:r>
          </w:p>
        </w:tc>
      </w:tr>
      <w:tr w14:paraId="3FD9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6B3A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22</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343A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余方弃置</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1.废弃料品种：普通土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2.运距：暂按5KM计算</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DDBD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F12A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700.12</w:t>
            </w:r>
          </w:p>
        </w:tc>
      </w:tr>
    </w:tbl>
    <w:p w14:paraId="658CB4C8">
      <w:pPr>
        <w:rPr>
          <w:color w:val="auto"/>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437"/>
        <w:gridCol w:w="1725"/>
        <w:gridCol w:w="2199"/>
      </w:tblGrid>
      <w:tr w14:paraId="31E4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56FE5533">
            <w:pPr>
              <w:keepNext w:val="0"/>
              <w:keepLines w:val="0"/>
              <w:widowControl/>
              <w:suppressLineNumbers w:val="0"/>
              <w:jc w:val="left"/>
              <w:textAlignment w:val="center"/>
              <w:rPr>
                <w:rFonts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工程名称：室外照明及弱电管网-评审</w:t>
            </w:r>
          </w:p>
        </w:tc>
      </w:tr>
      <w:tr w14:paraId="7D5A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A9A8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序号</w:t>
            </w:r>
          </w:p>
        </w:tc>
        <w:tc>
          <w:tcPr>
            <w:tcW w:w="23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F1879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项目名称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项目特征</w:t>
            </w:r>
          </w:p>
        </w:tc>
        <w:tc>
          <w:tcPr>
            <w:tcW w:w="9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0B1B0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计量单位</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0152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工程量</w:t>
            </w:r>
          </w:p>
        </w:tc>
      </w:tr>
      <w:tr w14:paraId="6B29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6FC60">
            <w:pPr>
              <w:jc w:val="center"/>
              <w:rPr>
                <w:rFonts w:hint="default" w:ascii="Arial" w:hAnsi="Arial" w:eastAsia="宋体" w:cs="Arial"/>
                <w:i w:val="0"/>
                <w:iCs w:val="0"/>
                <w:color w:val="auto"/>
                <w:sz w:val="24"/>
                <w:szCs w:val="24"/>
                <w:u w:val="none"/>
              </w:rPr>
            </w:pPr>
          </w:p>
        </w:tc>
        <w:tc>
          <w:tcPr>
            <w:tcW w:w="2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3A3CC">
            <w:pPr>
              <w:jc w:val="center"/>
              <w:rPr>
                <w:rFonts w:hint="default" w:ascii="Arial" w:hAnsi="Arial" w:eastAsia="宋体" w:cs="Arial"/>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2B592">
            <w:pPr>
              <w:jc w:val="center"/>
              <w:rPr>
                <w:rFonts w:hint="default" w:ascii="Arial" w:hAnsi="Arial" w:eastAsia="宋体" w:cs="Arial"/>
                <w:i w:val="0"/>
                <w:iCs w:val="0"/>
                <w:color w:val="auto"/>
                <w:sz w:val="24"/>
                <w:szCs w:val="24"/>
                <w:u w:val="none"/>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EA717">
            <w:pPr>
              <w:jc w:val="center"/>
              <w:rPr>
                <w:rFonts w:hint="default" w:ascii="Arial" w:hAnsi="Arial" w:eastAsia="宋体" w:cs="Arial"/>
                <w:i w:val="0"/>
                <w:iCs w:val="0"/>
                <w:color w:val="auto"/>
                <w:sz w:val="24"/>
                <w:szCs w:val="24"/>
                <w:u w:val="none"/>
              </w:rPr>
            </w:pPr>
          </w:p>
        </w:tc>
      </w:tr>
      <w:tr w14:paraId="5E08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BD03F">
            <w:pPr>
              <w:jc w:val="center"/>
              <w:rPr>
                <w:rFonts w:hint="default" w:ascii="Arial" w:hAnsi="Arial" w:eastAsia="宋体" w:cs="Arial"/>
                <w:i w:val="0"/>
                <w:iCs w:val="0"/>
                <w:color w:val="auto"/>
                <w:sz w:val="24"/>
                <w:szCs w:val="24"/>
                <w:u w:val="none"/>
              </w:rPr>
            </w:pP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0A8C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室外照明系统</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3210E">
            <w:pPr>
              <w:jc w:val="center"/>
              <w:rPr>
                <w:rFonts w:hint="default" w:ascii="Arial" w:hAnsi="Arial" w:eastAsia="宋体" w:cs="Arial"/>
                <w:i w:val="0"/>
                <w:iCs w:val="0"/>
                <w:color w:val="auto"/>
                <w:sz w:val="24"/>
                <w:szCs w:val="24"/>
                <w:u w:val="none"/>
              </w:rPr>
            </w:pP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8729A">
            <w:pPr>
              <w:jc w:val="center"/>
              <w:rPr>
                <w:rFonts w:hint="default" w:ascii="Arial" w:hAnsi="Arial" w:eastAsia="宋体" w:cs="Arial"/>
                <w:i w:val="0"/>
                <w:iCs w:val="0"/>
                <w:color w:val="auto"/>
                <w:sz w:val="24"/>
                <w:szCs w:val="24"/>
                <w:u w:val="none"/>
              </w:rPr>
            </w:pPr>
          </w:p>
        </w:tc>
      </w:tr>
      <w:tr w14:paraId="6F98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AC4B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AACF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配电箱</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1.名称：配电箱AL1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2.型号:内含智能控制器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3.规格：详见图纸设计</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7F16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台</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2C35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r>
      <w:tr w14:paraId="0BA6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8DFB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D2C6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电缆保护管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1.名称：电缆保护管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2.材质：PE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4.敷设方式：埋地敷设</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B825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D7B2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1198.93</w:t>
            </w:r>
          </w:p>
        </w:tc>
      </w:tr>
      <w:tr w14:paraId="7856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0035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B96A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电力电缆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1.名称:电力电缆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2.型号：YJV-3*6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3.敷设方式、部位:管内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C091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B5BE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1236.7</w:t>
            </w:r>
          </w:p>
        </w:tc>
      </w:tr>
      <w:tr w14:paraId="15F93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9638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B7732">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一般路灯</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1.名称：庭院灯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2.型号：2*25W,LED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F5F7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EC77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29</w:t>
            </w:r>
          </w:p>
        </w:tc>
      </w:tr>
      <w:tr w14:paraId="6D28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7178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67FC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挖填土</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1.种类 ：普通土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2.规格</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79E2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33DB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539.5</w:t>
            </w:r>
          </w:p>
        </w:tc>
      </w:tr>
      <w:tr w14:paraId="69BD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7EB91">
            <w:pPr>
              <w:jc w:val="center"/>
              <w:rPr>
                <w:rFonts w:hint="default" w:ascii="Arial" w:hAnsi="Arial" w:eastAsia="宋体" w:cs="Arial"/>
                <w:i w:val="0"/>
                <w:iCs w:val="0"/>
                <w:color w:val="auto"/>
                <w:sz w:val="24"/>
                <w:szCs w:val="24"/>
                <w:u w:val="none"/>
              </w:rPr>
            </w:pP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9747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弱电管网</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A7A16">
            <w:pPr>
              <w:jc w:val="center"/>
              <w:rPr>
                <w:rFonts w:hint="default" w:ascii="Arial" w:hAnsi="Arial" w:eastAsia="宋体" w:cs="Arial"/>
                <w:i w:val="0"/>
                <w:iCs w:val="0"/>
                <w:color w:val="auto"/>
                <w:sz w:val="24"/>
                <w:szCs w:val="24"/>
                <w:u w:val="none"/>
              </w:rPr>
            </w:pP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B4363">
            <w:pPr>
              <w:jc w:val="center"/>
              <w:rPr>
                <w:rFonts w:hint="default" w:ascii="Arial" w:hAnsi="Arial" w:eastAsia="宋体" w:cs="Arial"/>
                <w:i w:val="0"/>
                <w:iCs w:val="0"/>
                <w:color w:val="auto"/>
                <w:sz w:val="24"/>
                <w:szCs w:val="24"/>
                <w:u w:val="none"/>
              </w:rPr>
            </w:pPr>
          </w:p>
        </w:tc>
      </w:tr>
      <w:tr w14:paraId="0046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4C3D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5D94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长途专用塑料管道</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1.名称：9孔方栅格塑料管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2.孔数：9孔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D8B9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593D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792.25</w:t>
            </w:r>
          </w:p>
        </w:tc>
      </w:tr>
      <w:tr w14:paraId="777C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D67F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517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长途专用塑料管道</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1.名称：双壁碳素波纹管KPC110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2.孔数：1孔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6F94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1DCE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206.83</w:t>
            </w:r>
          </w:p>
        </w:tc>
      </w:tr>
      <w:tr w14:paraId="15F0E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5BB9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C054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手孔检查井</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1.名称：手孔检查井</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2.规格：800*800*1000</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8998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00FF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26</w:t>
            </w:r>
          </w:p>
        </w:tc>
      </w:tr>
      <w:tr w14:paraId="753E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7777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C34C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管道包封</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1.名称：管道包封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2.规格：混凝土C20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3.位置：排管敷设在穿越道路、路面下及消</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防车道时均采用混凝土包封。</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27BD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8DD5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40.24</w:t>
            </w:r>
          </w:p>
        </w:tc>
      </w:tr>
      <w:tr w14:paraId="31B3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E2B4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E903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挖填土</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1.种类 ：普通土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2.规格</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BE36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FDAE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449.59</w:t>
            </w:r>
          </w:p>
        </w:tc>
      </w:tr>
    </w:tbl>
    <w:p w14:paraId="4C7FE01D">
      <w:pPr>
        <w:rPr>
          <w:color w:val="auto"/>
        </w:rPr>
      </w:pP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4437"/>
        <w:gridCol w:w="1725"/>
        <w:gridCol w:w="2199"/>
      </w:tblGrid>
      <w:tr w14:paraId="365C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4DA0C2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工程名称：围墙</w:t>
            </w:r>
          </w:p>
        </w:tc>
      </w:tr>
      <w:tr w14:paraId="5852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9D3BA">
            <w:pPr>
              <w:keepNext w:val="0"/>
              <w:keepLines w:val="0"/>
              <w:widowControl/>
              <w:suppressLineNumbers w:val="0"/>
              <w:jc w:val="center"/>
              <w:textAlignment w:val="center"/>
              <w:rPr>
                <w:rFonts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序号</w:t>
            </w:r>
          </w:p>
        </w:tc>
        <w:tc>
          <w:tcPr>
            <w:tcW w:w="23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E1CB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项目名称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项目特征</w:t>
            </w:r>
          </w:p>
        </w:tc>
        <w:tc>
          <w:tcPr>
            <w:tcW w:w="9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927B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计量单位</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E85B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工程量</w:t>
            </w:r>
          </w:p>
        </w:tc>
      </w:tr>
      <w:tr w14:paraId="5745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20E17">
            <w:pPr>
              <w:jc w:val="center"/>
              <w:rPr>
                <w:rFonts w:hint="default" w:ascii="Arial" w:hAnsi="Arial" w:eastAsia="宋体" w:cs="Arial"/>
                <w:i w:val="0"/>
                <w:iCs w:val="0"/>
                <w:color w:val="auto"/>
                <w:sz w:val="24"/>
                <w:szCs w:val="24"/>
                <w:u w:val="none"/>
              </w:rPr>
            </w:pPr>
          </w:p>
        </w:tc>
        <w:tc>
          <w:tcPr>
            <w:tcW w:w="23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4EF07">
            <w:pPr>
              <w:jc w:val="center"/>
              <w:rPr>
                <w:rFonts w:hint="default" w:ascii="Arial" w:hAnsi="Arial" w:eastAsia="宋体" w:cs="Arial"/>
                <w:i w:val="0"/>
                <w:iCs w:val="0"/>
                <w:color w:val="auto"/>
                <w:sz w:val="24"/>
                <w:szCs w:val="24"/>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F39BD">
            <w:pPr>
              <w:jc w:val="center"/>
              <w:rPr>
                <w:rFonts w:hint="default" w:ascii="Arial" w:hAnsi="Arial" w:eastAsia="宋体" w:cs="Arial"/>
                <w:i w:val="0"/>
                <w:iCs w:val="0"/>
                <w:color w:val="auto"/>
                <w:sz w:val="24"/>
                <w:szCs w:val="24"/>
                <w:u w:val="none"/>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46666">
            <w:pPr>
              <w:jc w:val="center"/>
              <w:rPr>
                <w:rFonts w:hint="default" w:ascii="Arial" w:hAnsi="Arial" w:eastAsia="宋体" w:cs="Arial"/>
                <w:i w:val="0"/>
                <w:iCs w:val="0"/>
                <w:color w:val="auto"/>
                <w:sz w:val="24"/>
                <w:szCs w:val="24"/>
                <w:u w:val="none"/>
              </w:rPr>
            </w:pPr>
          </w:p>
        </w:tc>
      </w:tr>
      <w:tr w14:paraId="2B5F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DA76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E5E7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垫层</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1.10cmC20砼垫层</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B6B1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985A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18.96</w:t>
            </w:r>
          </w:p>
        </w:tc>
      </w:tr>
      <w:tr w14:paraId="3EFF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7550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E56E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砖基础</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1.砖品种、规格、强度等级：煤矸石烧结砖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2.基础类型：带型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3砂浆强度等级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4.防潮层材料种类</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7623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98B2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39.82</w:t>
            </w:r>
          </w:p>
        </w:tc>
      </w:tr>
      <w:tr w14:paraId="17C7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283A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AD65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实心砖墙</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1.砖品种、规格、强度等级:煤矸石烧结砖</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240*115*53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2.墙体类型：挡土墙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3.砂浆强度等级、配合比</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5DA5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C91B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81.53</w:t>
            </w:r>
          </w:p>
        </w:tc>
      </w:tr>
      <w:tr w14:paraId="1E10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2440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3473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压顶</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1.3cm1:2水泥砂浆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2.五莲红100*400*150压顶石</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4B72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C623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395</w:t>
            </w:r>
          </w:p>
        </w:tc>
      </w:tr>
      <w:tr w14:paraId="1A8F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C61A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958C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墙面一般抹灰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1.墙体类型:挡土墙内外侧3cm1:2水泥砂浆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找平</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D102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A2BC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679.4</w:t>
            </w:r>
          </w:p>
        </w:tc>
      </w:tr>
      <w:tr w14:paraId="77E3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182E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70A0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石材墙面</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1.外墙面仿蘑菇石面砖（400*400）</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FF9A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0858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197.5</w:t>
            </w:r>
          </w:p>
        </w:tc>
      </w:tr>
      <w:tr w14:paraId="05D5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219C8">
            <w:pPr>
              <w:jc w:val="center"/>
              <w:rPr>
                <w:rFonts w:hint="default" w:ascii="Arial" w:hAnsi="Arial" w:eastAsia="宋体" w:cs="Arial"/>
                <w:i w:val="0"/>
                <w:iCs w:val="0"/>
                <w:color w:val="auto"/>
                <w:sz w:val="24"/>
                <w:szCs w:val="24"/>
                <w:u w:val="none"/>
              </w:rPr>
            </w:pP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C41E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砼挡土墙</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9B4B2">
            <w:pPr>
              <w:jc w:val="center"/>
              <w:rPr>
                <w:rFonts w:hint="default" w:ascii="Arial" w:hAnsi="Arial" w:eastAsia="宋体" w:cs="Arial"/>
                <w:i w:val="0"/>
                <w:iCs w:val="0"/>
                <w:color w:val="auto"/>
                <w:sz w:val="24"/>
                <w:szCs w:val="24"/>
                <w:u w:val="none"/>
              </w:rPr>
            </w:pP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910B1">
            <w:pPr>
              <w:jc w:val="center"/>
              <w:rPr>
                <w:rFonts w:hint="default" w:ascii="Arial" w:hAnsi="Arial" w:eastAsia="宋体" w:cs="Arial"/>
                <w:i w:val="0"/>
                <w:iCs w:val="0"/>
                <w:color w:val="auto"/>
                <w:sz w:val="24"/>
                <w:szCs w:val="24"/>
                <w:u w:val="none"/>
              </w:rPr>
            </w:pPr>
          </w:p>
        </w:tc>
      </w:tr>
      <w:tr w14:paraId="2809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0598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47EA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挖沟槽土方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1.土壤类别：普通土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2.挖土深度：1m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3.弃土运距</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1C97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EBFE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1213.32</w:t>
            </w:r>
          </w:p>
        </w:tc>
      </w:tr>
      <w:tr w14:paraId="6EC0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9D3A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7EBC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回填方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1.密实度要求:夯填密实</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9094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CFC1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714.2</w:t>
            </w:r>
          </w:p>
        </w:tc>
      </w:tr>
      <w:tr w14:paraId="5DCF5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D3C3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0D162">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余方弃置</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1.废弃料品种  ：余方外运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2.运距：3Km</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8F38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1C0D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499.48</w:t>
            </w:r>
          </w:p>
        </w:tc>
      </w:tr>
      <w:tr w14:paraId="6739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6521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A6DE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垫层</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1.混凝土种类：商砼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2.混凝土强度等级：C15</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91FC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9317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93.36</w:t>
            </w:r>
          </w:p>
        </w:tc>
      </w:tr>
      <w:tr w14:paraId="3A3C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851C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024D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挡土墙</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1.混凝土种类：C25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2.混凝土强度等级：商砼</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DE42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DE67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558.45</w:t>
            </w:r>
          </w:p>
        </w:tc>
      </w:tr>
      <w:tr w14:paraId="4D25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92D4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4158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现浇构件钢筋</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钢筋种类、规格：螺纹钢筋≤φ10</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467F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t</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80E4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3.319</w:t>
            </w:r>
          </w:p>
        </w:tc>
      </w:tr>
      <w:tr w14:paraId="19FA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E1FA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81B1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现浇构件钢筋</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钢筋种类、规格：螺纹钢筋≤φ18</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6BD9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t</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0346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33.868</w:t>
            </w:r>
          </w:p>
        </w:tc>
      </w:tr>
      <w:tr w14:paraId="3297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D1B1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D177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铸铁栏杆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1.铸铁栏杆高1.4m</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DE36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078E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392.2</w:t>
            </w:r>
          </w:p>
        </w:tc>
      </w:tr>
      <w:tr w14:paraId="7670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27E1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3DB4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固定支柱</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1.固定支柱</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54B3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691B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157</w:t>
            </w:r>
          </w:p>
        </w:tc>
      </w:tr>
      <w:tr w14:paraId="3F71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A0DE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EE37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泄水管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1.Ф50PE泄水管,管长0.5m(内部设置过滤网)</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A2F2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A511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r>
      <w:tr w14:paraId="754D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96E6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w:t>
            </w:r>
          </w:p>
        </w:tc>
        <w:tc>
          <w:tcPr>
            <w:tcW w:w="23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B0CE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金属(塑钢)门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1.材质：不锈钢门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2.部位：综合楼后右侧及商业1#2#之间围墙处</w:t>
            </w:r>
          </w:p>
        </w:tc>
        <w:tc>
          <w:tcPr>
            <w:tcW w:w="9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C4FE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7EF3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4.8</w:t>
            </w:r>
          </w:p>
        </w:tc>
      </w:tr>
    </w:tbl>
    <w:p w14:paraId="5E5BDABC">
      <w:pPr>
        <w:rPr>
          <w:color w:val="auto"/>
        </w:rPr>
      </w:pPr>
    </w:p>
    <w:p w14:paraId="049B9DB1">
      <w:pPr>
        <w:widowControl/>
        <w:jc w:val="center"/>
        <w:outlineLvl w:val="0"/>
        <w:rPr>
          <w:rFonts w:ascii="宋体" w:hAnsi="宋体"/>
          <w:color w:val="auto"/>
          <w:sz w:val="32"/>
          <w:szCs w:val="32"/>
        </w:rPr>
      </w:pPr>
      <w:r>
        <w:rPr>
          <w:rFonts w:hint="eastAsia" w:ascii="宋体" w:hAnsi="宋体"/>
          <w:color w:val="auto"/>
          <w:sz w:val="32"/>
          <w:szCs w:val="32"/>
        </w:rPr>
        <w:br w:type="page"/>
      </w:r>
      <w:bookmarkStart w:id="27" w:name="_Toc16480"/>
      <w:bookmarkStart w:id="28" w:name="_Toc16799"/>
      <w:r>
        <w:rPr>
          <w:rStyle w:val="55"/>
          <w:rFonts w:hint="eastAsia" w:ascii="宋体" w:hAnsi="宋体" w:eastAsia="宋体" w:cs="宋体"/>
          <w:color w:val="auto"/>
        </w:rPr>
        <w:t>第五部分  合同授予</w:t>
      </w:r>
      <w:bookmarkEnd w:id="27"/>
      <w:bookmarkEnd w:id="28"/>
    </w:p>
    <w:p w14:paraId="3A27C396">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03D3FACF">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60A0C33C">
      <w:pPr>
        <w:pStyle w:val="3"/>
        <w:keepNext w:val="0"/>
        <w:keepLines w:val="0"/>
        <w:spacing w:before="0" w:after="0" w:line="540" w:lineRule="exact"/>
        <w:jc w:val="center"/>
        <w:outlineLvl w:val="9"/>
        <w:rPr>
          <w:rFonts w:ascii="宋体" w:hAnsi="宋体" w:eastAsia="宋体" w:cs="宋体"/>
          <w:color w:val="auto"/>
          <w:sz w:val="24"/>
          <w:szCs w:val="24"/>
        </w:rPr>
      </w:pPr>
      <w:bookmarkStart w:id="29" w:name="_Toc457668115"/>
      <w:bookmarkStart w:id="30" w:name="_Toc17168"/>
      <w:bookmarkStart w:id="31" w:name="_Toc5213"/>
    </w:p>
    <w:p w14:paraId="4CBB062B">
      <w:pPr>
        <w:pStyle w:val="3"/>
        <w:keepNext w:val="0"/>
        <w:keepLines w:val="0"/>
        <w:spacing w:before="0" w:after="0" w:line="540" w:lineRule="exact"/>
        <w:jc w:val="center"/>
        <w:outlineLvl w:val="9"/>
        <w:rPr>
          <w:rFonts w:ascii="宋体" w:hAnsi="宋体" w:eastAsia="宋体" w:cs="宋体"/>
          <w:color w:val="auto"/>
          <w:sz w:val="24"/>
          <w:szCs w:val="24"/>
        </w:rPr>
      </w:pPr>
    </w:p>
    <w:p w14:paraId="01CAA83F">
      <w:pPr>
        <w:rPr>
          <w:rFonts w:ascii="宋体" w:hAnsi="宋体" w:eastAsia="宋体" w:cs="宋体"/>
          <w:color w:val="auto"/>
          <w:sz w:val="24"/>
          <w:szCs w:val="24"/>
        </w:rPr>
      </w:pPr>
    </w:p>
    <w:p w14:paraId="195C8046">
      <w:pPr>
        <w:rPr>
          <w:rFonts w:ascii="宋体" w:hAnsi="宋体" w:eastAsia="宋体" w:cs="宋体"/>
          <w:color w:val="auto"/>
          <w:sz w:val="24"/>
          <w:szCs w:val="24"/>
        </w:rPr>
      </w:pPr>
    </w:p>
    <w:p w14:paraId="24EC505C">
      <w:pPr>
        <w:pStyle w:val="3"/>
        <w:keepNext w:val="0"/>
        <w:keepLines w:val="0"/>
        <w:spacing w:before="0" w:after="0" w:line="540" w:lineRule="exact"/>
        <w:jc w:val="center"/>
        <w:outlineLvl w:val="9"/>
        <w:rPr>
          <w:rFonts w:ascii="宋体" w:hAnsi="宋体" w:eastAsia="宋体" w:cs="宋体"/>
          <w:color w:val="auto"/>
          <w:sz w:val="24"/>
          <w:szCs w:val="24"/>
        </w:rPr>
      </w:pPr>
    </w:p>
    <w:p w14:paraId="288ABFA6">
      <w:pPr>
        <w:pStyle w:val="3"/>
        <w:keepNext w:val="0"/>
        <w:keepLines w:val="0"/>
        <w:spacing w:before="0" w:after="0" w:line="540" w:lineRule="exact"/>
        <w:jc w:val="center"/>
        <w:outlineLvl w:val="9"/>
        <w:rPr>
          <w:rFonts w:ascii="宋体" w:hAnsi="宋体" w:eastAsia="宋体" w:cs="宋体"/>
          <w:color w:val="auto"/>
          <w:sz w:val="24"/>
          <w:szCs w:val="24"/>
        </w:rPr>
      </w:pPr>
    </w:p>
    <w:p w14:paraId="1A0B1F6F">
      <w:pPr>
        <w:pStyle w:val="3"/>
        <w:keepNext w:val="0"/>
        <w:keepLines w:val="0"/>
        <w:spacing w:before="0" w:after="0" w:line="540" w:lineRule="exact"/>
        <w:jc w:val="center"/>
        <w:outlineLvl w:val="9"/>
        <w:rPr>
          <w:rFonts w:ascii="宋体" w:hAnsi="宋体" w:eastAsia="宋体" w:cs="宋体"/>
          <w:color w:val="auto"/>
          <w:sz w:val="24"/>
          <w:szCs w:val="24"/>
        </w:rPr>
      </w:pPr>
    </w:p>
    <w:p w14:paraId="56F1AA89">
      <w:pPr>
        <w:pStyle w:val="3"/>
        <w:keepNext w:val="0"/>
        <w:keepLines w:val="0"/>
        <w:spacing w:before="0" w:after="0" w:line="540" w:lineRule="exact"/>
        <w:jc w:val="center"/>
        <w:outlineLvl w:val="9"/>
        <w:rPr>
          <w:rFonts w:ascii="宋体" w:hAnsi="宋体" w:eastAsia="宋体" w:cs="宋体"/>
          <w:color w:val="auto"/>
          <w:sz w:val="24"/>
          <w:szCs w:val="24"/>
        </w:rPr>
      </w:pPr>
    </w:p>
    <w:p w14:paraId="0E694B25">
      <w:pPr>
        <w:pStyle w:val="3"/>
        <w:keepNext w:val="0"/>
        <w:keepLines w:val="0"/>
        <w:spacing w:before="0" w:after="0" w:line="540" w:lineRule="exact"/>
        <w:jc w:val="center"/>
        <w:outlineLvl w:val="9"/>
        <w:rPr>
          <w:rFonts w:ascii="宋体" w:hAnsi="宋体" w:eastAsia="宋体" w:cs="宋体"/>
          <w:color w:val="auto"/>
          <w:sz w:val="24"/>
          <w:szCs w:val="24"/>
        </w:rPr>
      </w:pPr>
    </w:p>
    <w:p w14:paraId="0B233534">
      <w:pPr>
        <w:pStyle w:val="3"/>
        <w:keepNext w:val="0"/>
        <w:keepLines w:val="0"/>
        <w:spacing w:before="0" w:after="0" w:line="540" w:lineRule="exact"/>
        <w:jc w:val="both"/>
        <w:outlineLvl w:val="9"/>
        <w:rPr>
          <w:rFonts w:hint="eastAsia" w:ascii="宋体" w:hAnsi="宋体" w:eastAsia="宋体" w:cs="宋体"/>
          <w:color w:val="auto"/>
          <w:sz w:val="24"/>
          <w:szCs w:val="24"/>
          <w:lang w:eastAsia="zh-CN"/>
        </w:rPr>
      </w:pPr>
    </w:p>
    <w:p w14:paraId="7475526B">
      <w:pPr>
        <w:pStyle w:val="3"/>
        <w:keepNext w:val="0"/>
        <w:keepLines w:val="0"/>
        <w:spacing w:before="0" w:after="0" w:line="540" w:lineRule="exact"/>
        <w:jc w:val="center"/>
        <w:outlineLvl w:val="9"/>
        <w:rPr>
          <w:rFonts w:ascii="宋体" w:hAnsi="宋体" w:eastAsia="宋体" w:cs="宋体"/>
          <w:color w:val="auto"/>
          <w:sz w:val="24"/>
          <w:szCs w:val="24"/>
        </w:rPr>
      </w:pPr>
    </w:p>
    <w:p w14:paraId="523B664D">
      <w:pPr>
        <w:pStyle w:val="3"/>
        <w:keepNext w:val="0"/>
        <w:keepLines w:val="0"/>
        <w:spacing w:before="0" w:after="0" w:line="540" w:lineRule="exact"/>
        <w:jc w:val="center"/>
        <w:outlineLvl w:val="9"/>
        <w:rPr>
          <w:rFonts w:ascii="宋体" w:hAnsi="宋体" w:eastAsia="宋体" w:cs="宋体"/>
          <w:color w:val="auto"/>
          <w:sz w:val="24"/>
          <w:szCs w:val="24"/>
        </w:rPr>
      </w:pPr>
    </w:p>
    <w:p w14:paraId="69B3EF45">
      <w:pPr>
        <w:pStyle w:val="3"/>
        <w:keepNext w:val="0"/>
        <w:keepLines w:val="0"/>
        <w:spacing w:before="0" w:after="0" w:line="540" w:lineRule="exact"/>
        <w:jc w:val="center"/>
        <w:outlineLvl w:val="9"/>
        <w:rPr>
          <w:rFonts w:ascii="宋体" w:hAnsi="宋体" w:eastAsia="宋体" w:cs="宋体"/>
          <w:color w:val="auto"/>
          <w:sz w:val="24"/>
          <w:szCs w:val="24"/>
        </w:rPr>
      </w:pPr>
    </w:p>
    <w:p w14:paraId="7CC38B76">
      <w:pPr>
        <w:pStyle w:val="3"/>
        <w:keepNext w:val="0"/>
        <w:keepLines w:val="0"/>
        <w:spacing w:before="0" w:after="0" w:line="540" w:lineRule="exact"/>
        <w:jc w:val="center"/>
        <w:outlineLvl w:val="9"/>
        <w:rPr>
          <w:rFonts w:ascii="宋体" w:hAnsi="宋体" w:eastAsia="宋体" w:cs="宋体"/>
          <w:color w:val="auto"/>
          <w:sz w:val="24"/>
          <w:szCs w:val="24"/>
        </w:rPr>
      </w:pPr>
    </w:p>
    <w:p w14:paraId="522CE82C">
      <w:pPr>
        <w:pStyle w:val="3"/>
        <w:keepNext w:val="0"/>
        <w:keepLines w:val="0"/>
        <w:spacing w:before="0" w:after="0" w:line="540" w:lineRule="exact"/>
        <w:jc w:val="center"/>
        <w:outlineLvl w:val="9"/>
        <w:rPr>
          <w:rFonts w:ascii="宋体" w:hAnsi="宋体" w:eastAsia="宋体" w:cs="宋体"/>
          <w:color w:val="auto"/>
          <w:sz w:val="24"/>
          <w:szCs w:val="24"/>
        </w:rPr>
      </w:pPr>
    </w:p>
    <w:p w14:paraId="0C8ED60E">
      <w:pPr>
        <w:pStyle w:val="3"/>
        <w:keepNext w:val="0"/>
        <w:keepLines w:val="0"/>
        <w:spacing w:before="0" w:after="0" w:line="540" w:lineRule="exact"/>
        <w:jc w:val="center"/>
        <w:outlineLvl w:val="9"/>
        <w:rPr>
          <w:rFonts w:ascii="宋体" w:hAnsi="宋体" w:eastAsia="宋体" w:cs="宋体"/>
          <w:color w:val="auto"/>
          <w:sz w:val="24"/>
          <w:szCs w:val="24"/>
        </w:rPr>
      </w:pPr>
    </w:p>
    <w:p w14:paraId="4A8312FF">
      <w:pPr>
        <w:pStyle w:val="3"/>
        <w:keepNext w:val="0"/>
        <w:keepLines w:val="0"/>
        <w:spacing w:before="0" w:after="0" w:line="540" w:lineRule="exact"/>
        <w:jc w:val="center"/>
        <w:outlineLvl w:val="9"/>
        <w:rPr>
          <w:rFonts w:ascii="宋体" w:hAnsi="宋体" w:eastAsia="宋体" w:cs="宋体"/>
          <w:color w:val="auto"/>
          <w:sz w:val="24"/>
          <w:szCs w:val="24"/>
        </w:rPr>
      </w:pPr>
    </w:p>
    <w:p w14:paraId="70C61F41">
      <w:pPr>
        <w:pStyle w:val="3"/>
        <w:keepNext w:val="0"/>
        <w:keepLines w:val="0"/>
        <w:spacing w:before="0" w:after="0" w:line="540" w:lineRule="exact"/>
        <w:jc w:val="center"/>
        <w:outlineLvl w:val="9"/>
        <w:rPr>
          <w:rFonts w:ascii="宋体" w:hAnsi="宋体" w:eastAsia="宋体" w:cs="宋体"/>
          <w:color w:val="auto"/>
          <w:sz w:val="24"/>
          <w:szCs w:val="24"/>
        </w:rPr>
      </w:pPr>
    </w:p>
    <w:p w14:paraId="3CA6031A">
      <w:pPr>
        <w:pStyle w:val="3"/>
        <w:keepNext w:val="0"/>
        <w:keepLines w:val="0"/>
        <w:spacing w:before="0" w:after="0" w:line="540" w:lineRule="exact"/>
        <w:jc w:val="center"/>
        <w:outlineLvl w:val="9"/>
        <w:rPr>
          <w:rFonts w:ascii="宋体" w:hAnsi="宋体" w:eastAsia="宋体" w:cs="宋体"/>
          <w:color w:val="auto"/>
          <w:sz w:val="24"/>
          <w:szCs w:val="24"/>
        </w:rPr>
      </w:pPr>
    </w:p>
    <w:p w14:paraId="1D4AFF5A">
      <w:pPr>
        <w:pStyle w:val="3"/>
        <w:keepNext w:val="0"/>
        <w:keepLines w:val="0"/>
        <w:spacing w:before="0" w:after="0" w:line="540" w:lineRule="exact"/>
        <w:jc w:val="center"/>
        <w:outlineLvl w:val="9"/>
        <w:rPr>
          <w:rFonts w:ascii="宋体" w:hAnsi="宋体" w:eastAsia="宋体" w:cs="宋体"/>
          <w:color w:val="auto"/>
          <w:sz w:val="24"/>
          <w:szCs w:val="24"/>
        </w:rPr>
      </w:pPr>
    </w:p>
    <w:p w14:paraId="539BFCE5">
      <w:pPr>
        <w:pStyle w:val="3"/>
        <w:keepNext w:val="0"/>
        <w:keepLines w:val="0"/>
        <w:spacing w:before="0" w:after="0" w:line="540" w:lineRule="exact"/>
        <w:jc w:val="center"/>
        <w:outlineLvl w:val="9"/>
        <w:rPr>
          <w:rFonts w:ascii="宋体" w:hAnsi="宋体" w:eastAsia="宋体" w:cs="宋体"/>
          <w:color w:val="auto"/>
          <w:sz w:val="24"/>
          <w:szCs w:val="24"/>
        </w:rPr>
      </w:pPr>
    </w:p>
    <w:p w14:paraId="30C2AA91">
      <w:pPr>
        <w:pStyle w:val="3"/>
        <w:keepNext w:val="0"/>
        <w:keepLines w:val="0"/>
        <w:spacing w:before="0" w:after="0" w:line="540" w:lineRule="exact"/>
        <w:jc w:val="center"/>
        <w:outlineLvl w:val="9"/>
        <w:rPr>
          <w:rFonts w:ascii="宋体" w:hAnsi="宋体" w:eastAsia="宋体" w:cs="宋体"/>
          <w:color w:val="auto"/>
          <w:sz w:val="24"/>
          <w:szCs w:val="24"/>
        </w:rPr>
      </w:pPr>
    </w:p>
    <w:bookmarkEnd w:id="29"/>
    <w:bookmarkEnd w:id="30"/>
    <w:bookmarkEnd w:id="31"/>
    <w:p w14:paraId="64402218">
      <w:pPr>
        <w:adjustRightInd w:val="0"/>
        <w:snapToGrid w:val="0"/>
        <w:spacing w:line="360" w:lineRule="auto"/>
        <w:jc w:val="center"/>
        <w:rPr>
          <w:rFonts w:ascii="宋体" w:hAnsi="宋体" w:eastAsia="宋体" w:cs="宋体"/>
          <w:b/>
          <w:bCs/>
          <w:color w:val="auto"/>
          <w:sz w:val="52"/>
          <w:szCs w:val="52"/>
        </w:rPr>
      </w:pPr>
      <w:r>
        <w:rPr>
          <w:rFonts w:hint="eastAsia" w:ascii="宋体" w:hAnsi="宋体" w:cs="宋体"/>
          <w:b/>
          <w:bCs/>
          <w:color w:val="auto"/>
          <w:sz w:val="52"/>
          <w:szCs w:val="52"/>
          <w:lang w:eastAsia="zh-CN"/>
        </w:rPr>
        <w:t>邹城市钢山街道办事处钢山花园小区李官村三期室外雨污水及弱电管网工程</w:t>
      </w:r>
      <w:r>
        <w:rPr>
          <w:rFonts w:hint="eastAsia" w:ascii="宋体" w:hAnsi="宋体" w:eastAsia="宋体" w:cs="宋体"/>
          <w:b/>
          <w:bCs/>
          <w:color w:val="auto"/>
          <w:sz w:val="52"/>
          <w:szCs w:val="52"/>
        </w:rPr>
        <w:t>施工承包合同</w:t>
      </w:r>
    </w:p>
    <w:p w14:paraId="5147EC7B">
      <w:pPr>
        <w:widowControl/>
        <w:jc w:val="left"/>
        <w:rPr>
          <w:rFonts w:ascii="宋体" w:hAnsi="宋体" w:eastAsia="宋体" w:cs="宋体"/>
          <w:b/>
          <w:color w:val="auto"/>
          <w:kern w:val="0"/>
          <w:sz w:val="32"/>
          <w:szCs w:val="32"/>
          <w:lang w:bidi="ar"/>
        </w:rPr>
      </w:pPr>
    </w:p>
    <w:p w14:paraId="77823C20">
      <w:pPr>
        <w:widowControl/>
        <w:jc w:val="left"/>
        <w:rPr>
          <w:rFonts w:ascii="宋体" w:hAnsi="宋体" w:eastAsia="宋体" w:cs="宋体"/>
          <w:b/>
          <w:color w:val="auto"/>
          <w:kern w:val="0"/>
          <w:sz w:val="32"/>
          <w:szCs w:val="32"/>
          <w:lang w:bidi="ar"/>
        </w:rPr>
      </w:pPr>
    </w:p>
    <w:p w14:paraId="59269070">
      <w:pPr>
        <w:widowControl/>
        <w:jc w:val="left"/>
        <w:rPr>
          <w:rFonts w:ascii="宋体" w:hAnsi="宋体" w:eastAsia="宋体" w:cs="宋体"/>
          <w:b/>
          <w:color w:val="auto"/>
          <w:kern w:val="0"/>
          <w:sz w:val="32"/>
          <w:szCs w:val="32"/>
          <w:lang w:bidi="ar"/>
        </w:rPr>
      </w:pPr>
    </w:p>
    <w:p w14:paraId="29DCBF32">
      <w:pPr>
        <w:widowControl/>
        <w:jc w:val="left"/>
        <w:rPr>
          <w:rFonts w:ascii="宋体" w:hAnsi="宋体" w:eastAsia="宋体" w:cs="宋体"/>
          <w:b/>
          <w:color w:val="auto"/>
          <w:kern w:val="0"/>
          <w:sz w:val="32"/>
          <w:szCs w:val="32"/>
          <w:lang w:bidi="ar"/>
        </w:rPr>
      </w:pPr>
    </w:p>
    <w:p w14:paraId="2D05B066">
      <w:pPr>
        <w:widowControl/>
        <w:jc w:val="left"/>
        <w:rPr>
          <w:rFonts w:ascii="宋体" w:hAnsi="宋体" w:eastAsia="宋体" w:cs="宋体"/>
          <w:b/>
          <w:color w:val="auto"/>
          <w:kern w:val="0"/>
          <w:sz w:val="32"/>
          <w:szCs w:val="32"/>
          <w:lang w:bidi="ar"/>
        </w:rPr>
      </w:pPr>
    </w:p>
    <w:p w14:paraId="52E1E57C">
      <w:pPr>
        <w:widowControl/>
        <w:jc w:val="left"/>
        <w:rPr>
          <w:rFonts w:ascii="宋体" w:hAnsi="宋体" w:eastAsia="宋体" w:cs="宋体"/>
          <w:b/>
          <w:color w:val="auto"/>
          <w:kern w:val="0"/>
          <w:sz w:val="32"/>
          <w:szCs w:val="32"/>
          <w:lang w:bidi="ar"/>
        </w:rPr>
      </w:pPr>
    </w:p>
    <w:p w14:paraId="215C50E8">
      <w:pPr>
        <w:widowControl/>
        <w:jc w:val="left"/>
        <w:rPr>
          <w:rFonts w:ascii="宋体" w:hAnsi="宋体" w:eastAsia="宋体" w:cs="宋体"/>
          <w:b/>
          <w:color w:val="auto"/>
          <w:kern w:val="0"/>
          <w:sz w:val="32"/>
          <w:szCs w:val="32"/>
          <w:lang w:bidi="ar"/>
        </w:rPr>
      </w:pPr>
    </w:p>
    <w:p w14:paraId="0E6B4EBE">
      <w:pPr>
        <w:widowControl/>
        <w:jc w:val="left"/>
        <w:rPr>
          <w:rFonts w:ascii="宋体" w:hAnsi="宋体" w:eastAsia="宋体" w:cs="宋体"/>
          <w:b/>
          <w:color w:val="auto"/>
          <w:kern w:val="0"/>
          <w:sz w:val="32"/>
          <w:szCs w:val="32"/>
          <w:lang w:bidi="ar"/>
        </w:rPr>
      </w:pPr>
    </w:p>
    <w:p w14:paraId="0C2A0931">
      <w:pPr>
        <w:pStyle w:val="10"/>
        <w:rPr>
          <w:rFonts w:ascii="宋体" w:hAnsi="宋体" w:eastAsia="宋体" w:cs="宋体"/>
          <w:b/>
          <w:color w:val="auto"/>
          <w:kern w:val="0"/>
          <w:sz w:val="32"/>
          <w:szCs w:val="32"/>
          <w:lang w:bidi="ar"/>
        </w:rPr>
      </w:pPr>
    </w:p>
    <w:p w14:paraId="002F65E2">
      <w:pPr>
        <w:rPr>
          <w:rFonts w:ascii="宋体" w:hAnsi="宋体" w:eastAsia="宋体" w:cs="宋体"/>
          <w:b/>
          <w:color w:val="auto"/>
          <w:kern w:val="0"/>
          <w:sz w:val="32"/>
          <w:szCs w:val="32"/>
          <w:lang w:bidi="ar"/>
        </w:rPr>
      </w:pPr>
    </w:p>
    <w:p w14:paraId="1BB98C6F">
      <w:pPr>
        <w:pStyle w:val="10"/>
        <w:rPr>
          <w:rFonts w:ascii="宋体" w:hAnsi="宋体" w:eastAsia="宋体" w:cs="宋体"/>
          <w:b/>
          <w:color w:val="auto"/>
          <w:kern w:val="0"/>
          <w:sz w:val="32"/>
          <w:szCs w:val="32"/>
          <w:lang w:bidi="ar"/>
        </w:rPr>
      </w:pPr>
    </w:p>
    <w:p w14:paraId="307B2600">
      <w:pPr>
        <w:rPr>
          <w:rFonts w:ascii="宋体" w:hAnsi="宋体" w:eastAsia="宋体" w:cs="宋体"/>
          <w:b/>
          <w:color w:val="auto"/>
          <w:kern w:val="0"/>
          <w:sz w:val="32"/>
          <w:szCs w:val="32"/>
          <w:lang w:bidi="ar"/>
        </w:rPr>
      </w:pPr>
    </w:p>
    <w:p w14:paraId="21C63E2E">
      <w:pPr>
        <w:pStyle w:val="10"/>
        <w:rPr>
          <w:rFonts w:ascii="宋体" w:hAnsi="宋体" w:eastAsia="宋体" w:cs="宋体"/>
          <w:b/>
          <w:color w:val="auto"/>
          <w:kern w:val="0"/>
          <w:sz w:val="32"/>
          <w:szCs w:val="32"/>
          <w:lang w:bidi="ar"/>
        </w:rPr>
      </w:pPr>
    </w:p>
    <w:p w14:paraId="2AF604F5">
      <w:pPr>
        <w:rPr>
          <w:color w:val="auto"/>
        </w:rPr>
      </w:pPr>
    </w:p>
    <w:p w14:paraId="2130D793">
      <w:pPr>
        <w:widowControl/>
        <w:jc w:val="left"/>
        <w:rPr>
          <w:rFonts w:ascii="宋体" w:hAnsi="宋体" w:eastAsia="宋体" w:cs="宋体"/>
          <w:b/>
          <w:color w:val="auto"/>
          <w:kern w:val="0"/>
          <w:sz w:val="32"/>
          <w:szCs w:val="32"/>
          <w:lang w:bidi="ar"/>
        </w:rPr>
      </w:pPr>
    </w:p>
    <w:p w14:paraId="0BDC51F2">
      <w:pPr>
        <w:widowControl/>
        <w:jc w:val="left"/>
        <w:rPr>
          <w:rFonts w:ascii="宋体" w:hAnsi="宋体" w:eastAsia="宋体" w:cs="宋体"/>
          <w:b/>
          <w:color w:val="auto"/>
          <w:kern w:val="0"/>
          <w:sz w:val="32"/>
          <w:szCs w:val="32"/>
          <w:lang w:bidi="ar"/>
        </w:rPr>
      </w:pPr>
    </w:p>
    <w:p w14:paraId="65449B8F">
      <w:pPr>
        <w:widowControl/>
        <w:ind w:firstLine="643" w:firstLineChars="200"/>
        <w:jc w:val="left"/>
        <w:rPr>
          <w:rFonts w:hint="eastAsia" w:ascii="宋体" w:hAnsi="宋体" w:eastAsia="宋体" w:cs="宋体"/>
          <w:b/>
          <w:color w:val="auto"/>
          <w:kern w:val="0"/>
          <w:sz w:val="32"/>
          <w:szCs w:val="32"/>
          <w:lang w:bidi="ar"/>
        </w:rPr>
      </w:pPr>
      <w:r>
        <w:rPr>
          <w:rFonts w:hint="eastAsia" w:ascii="宋体" w:hAnsi="宋体" w:eastAsia="宋体" w:cs="宋体"/>
          <w:b/>
          <w:color w:val="auto"/>
          <w:kern w:val="0"/>
          <w:sz w:val="32"/>
          <w:szCs w:val="32"/>
          <w:lang w:bidi="ar"/>
        </w:rPr>
        <w:t>发包方（甲方）：</w:t>
      </w:r>
      <w:r>
        <w:rPr>
          <w:rFonts w:hint="eastAsia" w:ascii="宋体" w:hAnsi="宋体" w:eastAsia="宋体" w:cs="宋体"/>
          <w:b/>
          <w:color w:val="auto"/>
          <w:kern w:val="0"/>
          <w:sz w:val="32"/>
          <w:szCs w:val="32"/>
          <w:u w:val="single"/>
          <w:lang w:eastAsia="zh-CN" w:bidi="ar"/>
        </w:rPr>
        <w:t>邹城市钢山街道李官庄村村民委员会</w:t>
      </w:r>
      <w:r>
        <w:rPr>
          <w:rFonts w:hint="eastAsia" w:ascii="宋体" w:hAnsi="宋体" w:eastAsia="宋体" w:cs="宋体"/>
          <w:b/>
          <w:color w:val="auto"/>
          <w:kern w:val="0"/>
          <w:sz w:val="32"/>
          <w:szCs w:val="32"/>
          <w:lang w:bidi="ar"/>
        </w:rPr>
        <w:t xml:space="preserve"> </w:t>
      </w:r>
    </w:p>
    <w:p w14:paraId="76B265C1">
      <w:pPr>
        <w:widowControl/>
        <w:ind w:firstLine="643" w:firstLineChars="200"/>
        <w:jc w:val="left"/>
        <w:rPr>
          <w:rFonts w:hint="eastAsia" w:ascii="宋体" w:hAnsi="宋体" w:eastAsia="宋体" w:cs="宋体"/>
          <w:b/>
          <w:color w:val="auto"/>
          <w:kern w:val="0"/>
          <w:sz w:val="32"/>
          <w:szCs w:val="32"/>
          <w:lang w:bidi="ar"/>
        </w:rPr>
      </w:pPr>
    </w:p>
    <w:p w14:paraId="1E544FDA">
      <w:pPr>
        <w:widowControl/>
        <w:ind w:firstLine="643" w:firstLineChars="200"/>
        <w:jc w:val="left"/>
        <w:rPr>
          <w:rFonts w:hint="eastAsia" w:ascii="宋体" w:hAnsi="宋体" w:eastAsia="宋体" w:cs="宋体"/>
          <w:b/>
          <w:color w:val="auto"/>
          <w:kern w:val="0"/>
          <w:sz w:val="32"/>
          <w:szCs w:val="32"/>
          <w:u w:val="single"/>
          <w:lang w:bidi="ar"/>
        </w:rPr>
      </w:pPr>
      <w:r>
        <w:rPr>
          <w:rFonts w:hint="eastAsia" w:ascii="宋体" w:hAnsi="宋体" w:eastAsia="宋体" w:cs="宋体"/>
          <w:b/>
          <w:color w:val="auto"/>
          <w:kern w:val="0"/>
          <w:sz w:val="32"/>
          <w:szCs w:val="32"/>
          <w:lang w:bidi="ar"/>
        </w:rPr>
        <w:t>承包方（乙方）：</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u w:val="single"/>
          <w:lang w:eastAsia="zh-CN" w:bidi="ar"/>
        </w:rPr>
        <w:t xml:space="preserve">                    </w:t>
      </w:r>
      <w:r>
        <w:rPr>
          <w:rFonts w:hint="eastAsia" w:ascii="宋体" w:hAnsi="宋体" w:eastAsia="宋体" w:cs="宋体"/>
          <w:b/>
          <w:color w:val="auto"/>
          <w:kern w:val="0"/>
          <w:sz w:val="32"/>
          <w:szCs w:val="32"/>
          <w:u w:val="single"/>
          <w:lang w:val="en-US" w:eastAsia="zh-CN" w:bidi="ar"/>
        </w:rPr>
        <w:t xml:space="preserve">  </w:t>
      </w:r>
      <w:r>
        <w:rPr>
          <w:rFonts w:hint="eastAsia" w:ascii="宋体" w:hAnsi="宋体" w:eastAsia="宋体" w:cs="宋体"/>
          <w:b/>
          <w:color w:val="auto"/>
          <w:kern w:val="0"/>
          <w:sz w:val="32"/>
          <w:szCs w:val="32"/>
          <w:u w:val="single"/>
          <w:lang w:eastAsia="zh-CN" w:bidi="ar"/>
        </w:rPr>
        <w:t xml:space="preserve">       </w:t>
      </w:r>
      <w:r>
        <w:rPr>
          <w:rFonts w:hint="eastAsia" w:ascii="宋体" w:hAnsi="宋体" w:eastAsia="宋体" w:cs="宋体"/>
          <w:b/>
          <w:color w:val="auto"/>
          <w:kern w:val="0"/>
          <w:sz w:val="32"/>
          <w:szCs w:val="32"/>
          <w:u w:val="single"/>
          <w:lang w:bidi="ar"/>
        </w:rPr>
        <w:t xml:space="preserve"> </w:t>
      </w:r>
    </w:p>
    <w:p w14:paraId="207E58F2">
      <w:pPr>
        <w:widowControl/>
        <w:ind w:firstLine="643" w:firstLineChars="200"/>
        <w:jc w:val="left"/>
        <w:rPr>
          <w:rFonts w:hint="eastAsia" w:ascii="宋体" w:hAnsi="宋体" w:eastAsia="宋体" w:cs="宋体"/>
          <w:b/>
          <w:color w:val="auto"/>
          <w:kern w:val="0"/>
          <w:sz w:val="32"/>
          <w:szCs w:val="32"/>
          <w:lang w:bidi="ar"/>
        </w:rPr>
      </w:pPr>
    </w:p>
    <w:p w14:paraId="46A91973">
      <w:pPr>
        <w:widowControl/>
        <w:ind w:firstLine="643" w:firstLineChars="200"/>
        <w:jc w:val="left"/>
        <w:rPr>
          <w:rFonts w:hint="eastAsia" w:ascii="宋体" w:hAnsi="宋体" w:eastAsia="宋体" w:cs="宋体"/>
          <w:b/>
          <w:color w:val="auto"/>
          <w:kern w:val="0"/>
          <w:sz w:val="32"/>
          <w:szCs w:val="32"/>
          <w:lang w:bidi="ar"/>
        </w:rPr>
      </w:pPr>
      <w:r>
        <w:rPr>
          <w:rFonts w:hint="eastAsia" w:ascii="宋体" w:hAnsi="宋体" w:eastAsia="宋体" w:cs="宋体"/>
          <w:b/>
          <w:color w:val="auto"/>
          <w:kern w:val="0"/>
          <w:sz w:val="32"/>
          <w:szCs w:val="32"/>
          <w:lang w:bidi="ar"/>
        </w:rPr>
        <w:t>合同订立时间：</w:t>
      </w:r>
      <w:r>
        <w:rPr>
          <w:rFonts w:hint="eastAsia" w:ascii="宋体" w:hAnsi="宋体" w:eastAsia="宋体" w:cs="宋体"/>
          <w:b/>
          <w:color w:val="auto"/>
          <w:kern w:val="0"/>
          <w:sz w:val="32"/>
          <w:szCs w:val="32"/>
          <w:u w:val="single"/>
          <w:lang w:eastAsia="zh-CN" w:bidi="ar"/>
        </w:rPr>
        <w:t>2024</w:t>
      </w:r>
      <w:r>
        <w:rPr>
          <w:rFonts w:hint="eastAsia" w:ascii="宋体" w:hAnsi="宋体" w:eastAsia="宋体" w:cs="宋体"/>
          <w:b/>
          <w:color w:val="auto"/>
          <w:kern w:val="0"/>
          <w:sz w:val="32"/>
          <w:szCs w:val="32"/>
          <w:lang w:bidi="ar"/>
        </w:rPr>
        <w:t>年</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lang w:bidi="ar"/>
        </w:rPr>
        <w:t>月</w:t>
      </w:r>
      <w:r>
        <w:rPr>
          <w:rFonts w:hint="eastAsia" w:ascii="宋体" w:hAnsi="宋体" w:eastAsia="宋体" w:cs="宋体"/>
          <w:b/>
          <w:color w:val="auto"/>
          <w:kern w:val="0"/>
          <w:sz w:val="32"/>
          <w:szCs w:val="32"/>
          <w:u w:val="single"/>
          <w:lang w:bidi="ar"/>
        </w:rPr>
        <w:t xml:space="preserve">    </w:t>
      </w:r>
      <w:r>
        <w:rPr>
          <w:rFonts w:hint="eastAsia" w:ascii="宋体" w:hAnsi="宋体" w:eastAsia="宋体" w:cs="宋体"/>
          <w:b/>
          <w:color w:val="auto"/>
          <w:kern w:val="0"/>
          <w:sz w:val="32"/>
          <w:szCs w:val="32"/>
          <w:lang w:bidi="ar"/>
        </w:rPr>
        <w:t xml:space="preserve">日  </w:t>
      </w:r>
    </w:p>
    <w:p w14:paraId="3D769E58">
      <w:pPr>
        <w:widowControl/>
        <w:ind w:firstLine="643" w:firstLineChars="200"/>
        <w:jc w:val="left"/>
        <w:rPr>
          <w:rFonts w:hint="eastAsia" w:ascii="宋体" w:hAnsi="宋体" w:eastAsia="宋体" w:cs="宋体"/>
          <w:b/>
          <w:color w:val="auto"/>
          <w:kern w:val="0"/>
          <w:sz w:val="32"/>
          <w:szCs w:val="32"/>
          <w:lang w:bidi="ar"/>
        </w:rPr>
      </w:pPr>
    </w:p>
    <w:p w14:paraId="6AB875AB">
      <w:pPr>
        <w:widowControl/>
        <w:ind w:firstLine="643" w:firstLineChars="200"/>
        <w:jc w:val="left"/>
        <w:rPr>
          <w:rFonts w:ascii="宋体" w:hAnsi="宋体" w:eastAsia="宋体" w:cs="宋体"/>
          <w:color w:val="auto"/>
          <w:kern w:val="0"/>
          <w:sz w:val="24"/>
          <w:u w:val="single"/>
          <w:lang w:bidi="ar"/>
        </w:rPr>
      </w:pPr>
      <w:r>
        <w:rPr>
          <w:rFonts w:hint="eastAsia" w:ascii="宋体" w:hAnsi="宋体" w:eastAsia="宋体" w:cs="宋体"/>
          <w:b/>
          <w:color w:val="auto"/>
          <w:kern w:val="0"/>
          <w:sz w:val="32"/>
          <w:szCs w:val="32"/>
          <w:lang w:bidi="ar"/>
        </w:rPr>
        <w:t>合同订立地点：</w:t>
      </w:r>
      <w:r>
        <w:rPr>
          <w:rFonts w:hint="eastAsia" w:ascii="宋体" w:hAnsi="宋体" w:eastAsia="宋体" w:cs="宋体"/>
          <w:b/>
          <w:color w:val="auto"/>
          <w:kern w:val="0"/>
          <w:sz w:val="32"/>
          <w:szCs w:val="32"/>
          <w:u w:val="single"/>
          <w:lang w:eastAsia="zh-CN" w:bidi="ar"/>
        </w:rPr>
        <w:t>邹城市钢山街道李官庄村村民委员会</w:t>
      </w:r>
      <w:r>
        <w:rPr>
          <w:rFonts w:hint="eastAsia" w:ascii="宋体" w:hAnsi="宋体" w:eastAsia="宋体" w:cs="宋体"/>
          <w:b/>
          <w:color w:val="auto"/>
          <w:kern w:val="0"/>
          <w:sz w:val="32"/>
          <w:szCs w:val="32"/>
          <w:u w:val="single"/>
          <w:lang w:bidi="ar"/>
        </w:rPr>
        <w:t xml:space="preserve"> </w:t>
      </w:r>
    </w:p>
    <w:p w14:paraId="0334FEBD">
      <w:pPr>
        <w:pStyle w:val="3"/>
        <w:rPr>
          <w:rFonts w:ascii="宋体" w:hAnsi="宋体" w:eastAsia="宋体" w:cs="宋体"/>
          <w:color w:val="auto"/>
          <w:sz w:val="24"/>
        </w:rPr>
        <w:sectPr>
          <w:headerReference r:id="rId9" w:type="default"/>
          <w:footerReference r:id="rId10" w:type="default"/>
          <w:footerReference r:id="rId11" w:type="even"/>
          <w:pgSz w:w="11906" w:h="16838"/>
          <w:pgMar w:top="1418" w:right="1418" w:bottom="1304" w:left="1418" w:header="851" w:footer="851" w:gutter="0"/>
          <w:pgNumType w:fmt="decimal"/>
          <w:cols w:space="720" w:num="1"/>
          <w:docGrid w:linePitch="312" w:charSpace="0"/>
        </w:sectPr>
      </w:pPr>
    </w:p>
    <w:p w14:paraId="2DBD4F11">
      <w:pPr>
        <w:pStyle w:val="3"/>
        <w:rPr>
          <w:rFonts w:ascii="宋体" w:hAnsi="宋体" w:eastAsia="宋体" w:cs="宋体"/>
          <w:color w:val="auto"/>
          <w:sz w:val="24"/>
        </w:rPr>
      </w:pPr>
    </w:p>
    <w:p w14:paraId="2304B544">
      <w:pPr>
        <w:pStyle w:val="3"/>
        <w:ind w:firstLine="482" w:firstLineChars="200"/>
        <w:jc w:val="center"/>
        <w:rPr>
          <w:rFonts w:ascii="宋体" w:hAnsi="宋体" w:eastAsia="宋体" w:cs="宋体"/>
          <w:color w:val="auto"/>
          <w:sz w:val="24"/>
        </w:rPr>
        <w:sectPr>
          <w:footerReference r:id="rId12" w:type="default"/>
          <w:type w:val="continuous"/>
          <w:pgSz w:w="11906" w:h="16838"/>
          <w:pgMar w:top="1418" w:right="1418" w:bottom="1304" w:left="1418" w:header="851" w:footer="851" w:gutter="0"/>
          <w:pgNumType w:fmt="decimal"/>
          <w:cols w:space="720" w:num="1"/>
          <w:docGrid w:linePitch="312" w:charSpace="0"/>
        </w:sectPr>
      </w:pPr>
    </w:p>
    <w:p w14:paraId="061E8433">
      <w:pPr>
        <w:pStyle w:val="3"/>
        <w:widowControl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第一节 合同协议书</w:t>
      </w:r>
    </w:p>
    <w:p w14:paraId="1987640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eastAsia="zh-CN"/>
        </w:rPr>
        <w:t>邹城市钢山街道李官庄村村民委员会</w:t>
      </w:r>
      <w:r>
        <w:rPr>
          <w:rFonts w:hint="eastAsia" w:ascii="宋体" w:hAnsi="宋体" w:eastAsia="宋体" w:cs="宋体"/>
          <w:b/>
          <w:color w:val="auto"/>
          <w:sz w:val="24"/>
          <w:szCs w:val="24"/>
          <w:u w:val="single"/>
        </w:rPr>
        <w:t xml:space="preserve"> （以下简称发包人）</w:t>
      </w:r>
      <w:r>
        <w:rPr>
          <w:rFonts w:hint="eastAsia" w:ascii="宋体" w:hAnsi="宋体" w:eastAsia="宋体" w:cs="宋体"/>
          <w:b/>
          <w:color w:val="auto"/>
          <w:sz w:val="24"/>
          <w:szCs w:val="24"/>
        </w:rPr>
        <w:t xml:space="preserve">       </w:t>
      </w:r>
    </w:p>
    <w:p w14:paraId="2DA2FFBF">
      <w:pPr>
        <w:widowControl w:val="0"/>
        <w:kinsoku/>
        <w:wordWrap/>
        <w:overflowPunct/>
        <w:topLinePunct w:val="0"/>
        <w:autoSpaceDE/>
        <w:autoSpaceDN/>
        <w:bidi w:val="0"/>
        <w:spacing w:line="360" w:lineRule="auto"/>
        <w:textAlignment w:val="auto"/>
        <w:rPr>
          <w:rFonts w:hint="eastAsia" w:ascii="宋体" w:hAnsi="宋体" w:eastAsia="宋体" w:cs="宋体"/>
          <w:b/>
          <w:color w:val="auto"/>
          <w:spacing w:val="10"/>
          <w:sz w:val="24"/>
          <w:szCs w:val="24"/>
        </w:rPr>
      </w:pPr>
      <w:r>
        <w:rPr>
          <w:rFonts w:hint="eastAsia" w:ascii="宋体" w:hAnsi="宋体" w:eastAsia="宋体" w:cs="宋体"/>
          <w:b/>
          <w:color w:val="auto"/>
          <w:spacing w:val="30"/>
          <w:sz w:val="24"/>
          <w:szCs w:val="24"/>
        </w:rPr>
        <w:t>法定代表人</w:t>
      </w:r>
      <w:r>
        <w:rPr>
          <w:rFonts w:hint="eastAsia" w:ascii="宋体" w:hAnsi="宋体" w:eastAsia="宋体" w:cs="宋体"/>
          <w:b/>
          <w:color w:val="auto"/>
          <w:spacing w:val="10"/>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w:t>
      </w:r>
    </w:p>
    <w:p w14:paraId="797A27B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pacing w:val="10"/>
          <w:sz w:val="24"/>
          <w:szCs w:val="24"/>
        </w:rPr>
        <w:t>法定注册地址：</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38DABA0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eastAsia="zh-CN"/>
        </w:rPr>
        <w:t xml:space="preserve">                                      </w:t>
      </w:r>
      <w:r>
        <w:rPr>
          <w:rFonts w:hint="eastAsia" w:ascii="宋体" w:hAnsi="宋体" w:eastAsia="宋体" w:cs="宋体"/>
          <w:b/>
          <w:color w:val="auto"/>
          <w:sz w:val="24"/>
          <w:szCs w:val="24"/>
          <w:u w:val="single"/>
        </w:rPr>
        <w:t>（以下简称承包人）</w:t>
      </w:r>
    </w:p>
    <w:p w14:paraId="093EEFA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pacing w:val="30"/>
          <w:sz w:val="24"/>
          <w:szCs w:val="24"/>
        </w:rPr>
        <w:t>法定代表人：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26BA0EFB">
      <w:pPr>
        <w:widowControl w:val="0"/>
        <w:kinsoku/>
        <w:wordWrap/>
        <w:overflowPunct/>
        <w:topLinePunct w:val="0"/>
        <w:autoSpaceDE/>
        <w:autoSpaceDN/>
        <w:bidi w:val="0"/>
        <w:spacing w:after="120" w:afterLines="5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pacing w:val="10"/>
          <w:sz w:val="24"/>
          <w:szCs w:val="24"/>
        </w:rPr>
        <w:t>法定注册地址：</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179670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发包人为建设</w:t>
      </w:r>
      <w:r>
        <w:rPr>
          <w:rFonts w:hint="eastAsia" w:ascii="宋体" w:hAnsi="宋体" w:cs="宋体"/>
          <w:color w:val="auto"/>
          <w:sz w:val="24"/>
          <w:szCs w:val="24"/>
          <w:u w:val="single"/>
          <w:lang w:eastAsia="zh-CN"/>
        </w:rPr>
        <w:t>邹城市钢山街道办事处钢山花园小区李官村三期室外雨污水及弱电管网工程</w:t>
      </w:r>
      <w:r>
        <w:rPr>
          <w:rFonts w:hint="eastAsia" w:ascii="宋体" w:hAnsi="宋体" w:eastAsia="宋体" w:cs="宋体"/>
          <w:color w:val="auto"/>
          <w:sz w:val="24"/>
          <w:szCs w:val="24"/>
          <w:u w:val="single"/>
        </w:rPr>
        <w:t>施工</w:t>
      </w:r>
      <w:r>
        <w:rPr>
          <w:rFonts w:hint="eastAsia" w:ascii="宋体" w:hAnsi="宋体" w:eastAsia="宋体" w:cs="宋体"/>
          <w:color w:val="auto"/>
          <w:sz w:val="24"/>
          <w:szCs w:val="24"/>
        </w:rPr>
        <w:t>(以下简称“本工程”)，已接受承包人提出的承担本工程的施工、竣工、交付并维修其任何缺陷的投标。根据国家及地方有关法律、行政法规的规定、遵循平等、自愿、公平和诚实信用的原则，双方共同达成并订立如下协议。</w:t>
      </w:r>
    </w:p>
    <w:p w14:paraId="73F48AD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一、工程概况</w:t>
      </w:r>
    </w:p>
    <w:p w14:paraId="324AA4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工程名称：</w:t>
      </w:r>
      <w:r>
        <w:rPr>
          <w:rFonts w:hint="eastAsia" w:ascii="宋体" w:hAnsi="宋体" w:cs="宋体"/>
          <w:color w:val="auto"/>
          <w:sz w:val="24"/>
          <w:szCs w:val="24"/>
          <w:u w:val="single"/>
          <w:lang w:eastAsia="zh-CN"/>
        </w:rPr>
        <w:t>邹城市钢山街道办事处钢山花园小区李官村三期室外雨污水及弱电管网工程</w:t>
      </w:r>
      <w:r>
        <w:rPr>
          <w:rFonts w:hint="eastAsia" w:ascii="宋体" w:hAnsi="宋体" w:eastAsia="宋体" w:cs="宋体"/>
          <w:color w:val="auto"/>
          <w:sz w:val="24"/>
          <w:szCs w:val="24"/>
          <w:u w:val="single"/>
        </w:rPr>
        <w:t>施工</w:t>
      </w:r>
    </w:p>
    <w:p w14:paraId="0682C2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工程地点：</w:t>
      </w:r>
      <w:r>
        <w:rPr>
          <w:rFonts w:hint="eastAsia" w:ascii="宋体" w:hAnsi="宋体" w:eastAsia="宋体" w:cs="宋体"/>
          <w:color w:val="auto"/>
          <w:sz w:val="24"/>
          <w:szCs w:val="24"/>
          <w:u w:val="single"/>
          <w:lang w:eastAsia="zh-CN"/>
        </w:rPr>
        <w:t>邹城市钢山花园小区</w:t>
      </w:r>
    </w:p>
    <w:p w14:paraId="6BF1F1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工程内容：</w:t>
      </w:r>
      <w:r>
        <w:rPr>
          <w:rFonts w:hint="eastAsia" w:ascii="宋体" w:hAnsi="宋体" w:cs="宋体"/>
          <w:color w:val="auto"/>
          <w:sz w:val="24"/>
          <w:szCs w:val="24"/>
          <w:u w:val="single"/>
          <w:lang w:eastAsia="zh-CN"/>
        </w:rPr>
        <w:t>邹城市钢山街道办事处钢山花园小区李官村三期室外雨污水及弱电管网工程</w:t>
      </w:r>
      <w:r>
        <w:rPr>
          <w:rFonts w:hint="eastAsia" w:ascii="宋体" w:hAnsi="宋体" w:eastAsia="宋体" w:cs="宋体"/>
          <w:color w:val="auto"/>
          <w:sz w:val="24"/>
          <w:szCs w:val="24"/>
          <w:u w:val="single"/>
        </w:rPr>
        <w:t>包括图纸范围内（以施工界面划分为准）的全部内容，</w:t>
      </w:r>
      <w:r>
        <w:rPr>
          <w:rFonts w:hint="eastAsia" w:ascii="宋体" w:hAnsi="宋体" w:cs="宋体"/>
          <w:color w:val="auto"/>
          <w:sz w:val="24"/>
          <w:szCs w:val="24"/>
          <w:u w:val="single"/>
          <w:lang w:eastAsia="zh-CN"/>
        </w:rPr>
        <w:t>主要包括室外雨污水管网铺设，室外照明系统及弱电管网铺设；发包人分包的给水系统、热力系统、强电、强电系统、燃气系统等各项施工中的配合及预留的接口闭合等全部内容（详见工程量清单，以工程量清单为准）。施工界面划分如下（注：此界面划分供各施工单位厘清施工范围，界面划分标准中不属于室外工程施工单位的施工内容，已在本次招标的工程量清单中剔除）：（1）室外雨污水管网与主楼管网连接处，以出外墙1.5米为界</w:t>
      </w:r>
      <w:r>
        <w:rPr>
          <w:rFonts w:hint="eastAsia" w:ascii="宋体" w:hAnsi="宋体" w:eastAsia="宋体" w:cs="宋体"/>
          <w:color w:val="auto"/>
          <w:sz w:val="24"/>
          <w:szCs w:val="24"/>
          <w:u w:val="single"/>
          <w:lang w:eastAsia="zh-CN"/>
        </w:rPr>
        <w:t>。</w:t>
      </w:r>
    </w:p>
    <w:p w14:paraId="7E7C4B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群体工程应附“承包人承揽工程项目一览表”(附件1)</w:t>
      </w:r>
    </w:p>
    <w:p w14:paraId="089D24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工程立项批准文号：</w:t>
      </w:r>
      <w:r>
        <w:rPr>
          <w:rFonts w:hint="eastAsia" w:ascii="宋体" w:hAnsi="宋体" w:eastAsia="宋体" w:cs="宋体"/>
          <w:color w:val="auto"/>
          <w:sz w:val="24"/>
          <w:szCs w:val="24"/>
          <w:u w:val="single"/>
        </w:rPr>
        <w:t xml:space="preserve">                                         </w:t>
      </w:r>
    </w:p>
    <w:p w14:paraId="6AE27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自筹                                              </w:t>
      </w:r>
    </w:p>
    <w:p w14:paraId="119960FF">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二、工程承包范围</w:t>
      </w:r>
    </w:p>
    <w:p w14:paraId="362B82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承包范围：</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邹城市钢山街道办事处钢山花园小区李官村三期室外雨污水及弱电管网工程</w:t>
      </w:r>
      <w:r>
        <w:rPr>
          <w:rFonts w:hint="eastAsia" w:ascii="宋体" w:hAnsi="宋体" w:eastAsia="宋体" w:cs="宋体"/>
          <w:color w:val="auto"/>
          <w:sz w:val="24"/>
          <w:szCs w:val="24"/>
          <w:u w:val="single"/>
        </w:rPr>
        <w:t>包括图纸范围内（以施工界面划分为准）的全部内容，</w:t>
      </w:r>
      <w:r>
        <w:rPr>
          <w:rFonts w:hint="eastAsia" w:ascii="宋体" w:hAnsi="宋体" w:cs="宋体"/>
          <w:color w:val="auto"/>
          <w:sz w:val="24"/>
          <w:szCs w:val="24"/>
          <w:u w:val="single"/>
          <w:lang w:eastAsia="zh-CN"/>
        </w:rPr>
        <w:t>主要包括室外雨污水管网铺设，室外照明系统及弱电管网铺设；发包人分包的给水系统、热力系统、强电、强电系统、燃气系统等各项施工中的配合及预留的接口闭合等全部内容（详见工程量清单，以工程量清单为准）。施工界面划分如下（注：此界面划分供各施工单位厘清施工范围，界面划分标准中不属于室外工程施工单位的施工内容，已在本次招标的工程量清单中剔除）：（1）室外雨污水管网与主楼管网连接处，以出外墙1.5米为界</w:t>
      </w:r>
      <w:r>
        <w:rPr>
          <w:rFonts w:hint="eastAsia" w:ascii="宋体" w:hAnsi="宋体" w:eastAsia="宋体" w:cs="宋体"/>
          <w:color w:val="auto"/>
          <w:sz w:val="24"/>
          <w:szCs w:val="24"/>
          <w:u w:val="single"/>
        </w:rPr>
        <w:t>。</w:t>
      </w:r>
    </w:p>
    <w:p w14:paraId="38473F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所有施工的项目工程质量必须一次性满足设计图纸中的规定及要求，并达到一次性验收合格；否则，承包人无偿返工至验收合格为止。</w:t>
      </w:r>
    </w:p>
    <w:p w14:paraId="253061D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三、合同工期</w:t>
      </w:r>
    </w:p>
    <w:p w14:paraId="4411E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zh-CN"/>
        </w:rPr>
        <w:t>2024</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日至</w:t>
      </w:r>
      <w:r>
        <w:rPr>
          <w:rFonts w:hint="eastAsia" w:ascii="宋体" w:hAnsi="宋体" w:eastAsia="宋体" w:cs="宋体"/>
          <w:color w:val="auto"/>
          <w:sz w:val="24"/>
          <w:szCs w:val="24"/>
          <w:u w:val="single"/>
          <w:lang w:val="en-US" w:eastAsia="zh-CN"/>
        </w:rPr>
        <w:t>2024</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日。</w:t>
      </w:r>
    </w:p>
    <w:p w14:paraId="2140F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工程期限：共计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历天。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4E8F46D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四、质量标准</w:t>
      </w:r>
    </w:p>
    <w:p w14:paraId="368750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工程质量标准：合格</w:t>
      </w:r>
      <w:r>
        <w:rPr>
          <w:rFonts w:hint="eastAsia" w:ascii="宋体" w:hAnsi="宋体" w:eastAsia="宋体" w:cs="宋体"/>
          <w:color w:val="auto"/>
          <w:sz w:val="24"/>
          <w:szCs w:val="24"/>
        </w:rPr>
        <w:t xml:space="preserve">      </w:t>
      </w:r>
    </w:p>
    <w:p w14:paraId="21037E0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五、合同形式 </w:t>
      </w:r>
    </w:p>
    <w:p w14:paraId="760324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本合同采用固定含税全费用综合单价合同形式。</w:t>
      </w:r>
    </w:p>
    <w:p w14:paraId="73889F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此合同价款包括施工设备、劳务、材料（含辅材）、安装、运输、维护、保险（含劳动保险等）、管理费、</w:t>
      </w:r>
      <w:r>
        <w:rPr>
          <w:rFonts w:hint="eastAsia" w:ascii="宋体" w:hAnsi="宋体" w:cs="宋体"/>
          <w:color w:val="auto"/>
          <w:sz w:val="24"/>
          <w:szCs w:val="24"/>
          <w:lang w:eastAsia="zh-CN"/>
        </w:rPr>
        <w:t>利润及税金、</w:t>
      </w:r>
      <w:r>
        <w:rPr>
          <w:rFonts w:hint="eastAsia" w:ascii="宋体" w:hAnsi="宋体" w:eastAsia="宋体" w:cs="宋体"/>
          <w:color w:val="auto"/>
          <w:sz w:val="24"/>
          <w:szCs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w:t>
      </w:r>
      <w:r>
        <w:rPr>
          <w:rFonts w:hint="eastAsia" w:ascii="宋体" w:hAnsi="宋体" w:cs="宋体"/>
          <w:color w:val="auto"/>
          <w:sz w:val="24"/>
          <w:szCs w:val="24"/>
          <w:lang w:eastAsia="zh-CN"/>
        </w:rPr>
        <w:t>隐含的为完成该项目而必须发生的费用（包括发包人分包的给水系统、热力系统、强电、强电系统、燃气系统等各项施工中的配合及预留的接口闭合等相关费用）</w:t>
      </w:r>
      <w:r>
        <w:rPr>
          <w:rFonts w:hint="eastAsia" w:ascii="宋体" w:hAnsi="宋体" w:eastAsia="宋体" w:cs="宋体"/>
          <w:color w:val="auto"/>
          <w:sz w:val="24"/>
          <w:szCs w:val="24"/>
        </w:rPr>
        <w:t>、在合同实施期间不因市场变化因素而变动。除固定含税全费用综合单价外，承包人无权再向发包人主张任何价款及费用。</w:t>
      </w:r>
    </w:p>
    <w:p w14:paraId="10201CC3">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六、签约合同价</w:t>
      </w:r>
    </w:p>
    <w:p w14:paraId="0E0718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rPr>
        <w:t>含税合同金额（小写）</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r>
        <w:rPr>
          <w:rFonts w:hint="eastAsia" w:ascii="宋体" w:hAnsi="宋体" w:eastAsia="宋体" w:cs="宋体"/>
          <w:b w:val="0"/>
          <w:bCs w:val="0"/>
          <w:color w:val="auto"/>
          <w:sz w:val="24"/>
          <w:szCs w:val="24"/>
        </w:rPr>
        <w:t xml:space="preserve"> (大写）：</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none"/>
        </w:rPr>
        <w:t>。</w:t>
      </w:r>
    </w:p>
    <w:p w14:paraId="265B9F6D">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七、承包人项目经理：</w:t>
      </w:r>
    </w:p>
    <w:p w14:paraId="1661F2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职称：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14:paraId="7EC9AA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6174D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E059D39">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八、合同文件的组成</w:t>
      </w:r>
    </w:p>
    <w:p w14:paraId="3A54B9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下列文件共同构成合同文件：</w:t>
      </w:r>
    </w:p>
    <w:p w14:paraId="0525AB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1、本协议书；</w:t>
      </w:r>
    </w:p>
    <w:p w14:paraId="5A9F83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5F20F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3、投标函及投标函附录、投标报价文件；</w:t>
      </w:r>
    </w:p>
    <w:p w14:paraId="2130947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1F4790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6C0D5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7E66CB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560C2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8、其他合同文件。</w:t>
      </w:r>
    </w:p>
    <w:p w14:paraId="28BDD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上述文件互相补充和解释，如有不明确或不一致之处，以合同约定次序在先者为准。</w:t>
      </w:r>
    </w:p>
    <w:p w14:paraId="26685CC2">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九、本协议书中有关词语定义与合同条款中的定义相同。</w:t>
      </w:r>
    </w:p>
    <w:p w14:paraId="1985BB2E">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十、承包人承诺按照合同约定进行施工、竣工、交付并在缺陷责任期内对工程缺陷承担维修责任。</w:t>
      </w:r>
    </w:p>
    <w:p w14:paraId="4DFFA714">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十一、发包人承诺按照合同约定的条件、期限和方式向承包人支付合同价款。</w:t>
      </w:r>
    </w:p>
    <w:p w14:paraId="4EF8388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十二、本协议书连同其他合同文件正本一式 </w:t>
      </w:r>
      <w:r>
        <w:rPr>
          <w:rFonts w:hint="eastAsia" w:ascii="宋体" w:hAnsi="宋体" w:eastAsia="宋体" w:cs="宋体"/>
          <w:b/>
          <w:bCs/>
          <w:color w:val="auto"/>
          <w:sz w:val="24"/>
          <w:szCs w:val="24"/>
          <w:u w:val="single"/>
        </w:rPr>
        <w:t xml:space="preserve">两 </w:t>
      </w:r>
      <w:r>
        <w:rPr>
          <w:rFonts w:hint="eastAsia" w:ascii="宋体" w:hAnsi="宋体" w:eastAsia="宋体" w:cs="宋体"/>
          <w:b/>
          <w:bCs/>
          <w:color w:val="auto"/>
          <w:sz w:val="24"/>
          <w:szCs w:val="24"/>
        </w:rPr>
        <w:t>份，合同双方各执一份；副本一式</w:t>
      </w:r>
      <w:r>
        <w:rPr>
          <w:rFonts w:hint="eastAsia" w:ascii="宋体" w:hAnsi="宋体" w:eastAsia="宋体" w:cs="宋体"/>
          <w:b/>
          <w:bCs/>
          <w:color w:val="auto"/>
          <w:sz w:val="24"/>
          <w:szCs w:val="24"/>
          <w:u w:val="single"/>
        </w:rPr>
        <w:t xml:space="preserve"> 陆 </w:t>
      </w:r>
      <w:r>
        <w:rPr>
          <w:rFonts w:hint="eastAsia" w:ascii="宋体" w:hAnsi="宋体" w:eastAsia="宋体" w:cs="宋体"/>
          <w:b/>
          <w:bCs/>
          <w:color w:val="auto"/>
          <w:sz w:val="24"/>
          <w:szCs w:val="24"/>
        </w:rPr>
        <w:t>份，发包人</w:t>
      </w:r>
      <w:r>
        <w:rPr>
          <w:rFonts w:hint="eastAsia" w:ascii="宋体" w:hAnsi="宋体" w:eastAsia="宋体" w:cs="宋体"/>
          <w:b/>
          <w:bCs/>
          <w:color w:val="auto"/>
          <w:sz w:val="24"/>
          <w:szCs w:val="24"/>
          <w:u w:val="single"/>
        </w:rPr>
        <w:t xml:space="preserve"> 肆 </w:t>
      </w:r>
      <w:r>
        <w:rPr>
          <w:rFonts w:hint="eastAsia" w:ascii="宋体" w:hAnsi="宋体" w:eastAsia="宋体" w:cs="宋体"/>
          <w:b/>
          <w:bCs/>
          <w:color w:val="auto"/>
          <w:sz w:val="24"/>
          <w:szCs w:val="24"/>
        </w:rPr>
        <w:t>份，承包人</w:t>
      </w:r>
      <w:r>
        <w:rPr>
          <w:rFonts w:hint="eastAsia" w:ascii="宋体" w:hAnsi="宋体" w:eastAsia="宋体" w:cs="宋体"/>
          <w:b/>
          <w:bCs/>
          <w:color w:val="auto"/>
          <w:sz w:val="24"/>
          <w:szCs w:val="24"/>
          <w:u w:val="single"/>
        </w:rPr>
        <w:t xml:space="preserve"> 贰 </w:t>
      </w:r>
      <w:r>
        <w:rPr>
          <w:rFonts w:hint="eastAsia" w:ascii="宋体" w:hAnsi="宋体" w:eastAsia="宋体" w:cs="宋体"/>
          <w:b/>
          <w:bCs/>
          <w:color w:val="auto"/>
          <w:sz w:val="24"/>
          <w:szCs w:val="24"/>
        </w:rPr>
        <w:t>份其中一份在合同报送建设行政主管部门备案时留存。</w:t>
      </w:r>
    </w:p>
    <w:p w14:paraId="1FB8E60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十三、合同未尽事宜，双方另行签订补充协议，即成为原合同不可分割的组成部分，与原合同具有同等法律效力，与原合同冲突时，已补充协议为准。</w:t>
      </w:r>
    </w:p>
    <w:p w14:paraId="3C48A989">
      <w:pPr>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p>
    <w:p w14:paraId="667958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5EC33E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400D34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3D6F1875">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59617A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CB070B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6541FD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(签字)</w:t>
      </w:r>
    </w:p>
    <w:p w14:paraId="5419E6A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p>
    <w:p w14:paraId="1B5DD7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5DBDCF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0559E6D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签约地点：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99C42C2">
      <w:pPr>
        <w:pStyle w:val="3"/>
        <w:widowControl w:val="0"/>
        <w:kinsoku/>
        <w:wordWrap/>
        <w:overflowPunct/>
        <w:topLinePunct w:val="0"/>
        <w:autoSpaceDE/>
        <w:autoSpaceDN/>
        <w:bidi w:val="0"/>
        <w:spacing w:after="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br w:type="page"/>
      </w:r>
      <w:bookmarkStart w:id="32" w:name="_Toc2029"/>
      <w:r>
        <w:rPr>
          <w:rFonts w:hint="eastAsia" w:ascii="宋体" w:hAnsi="宋体" w:eastAsia="宋体" w:cs="宋体"/>
          <w:color w:val="auto"/>
          <w:sz w:val="24"/>
          <w:szCs w:val="24"/>
        </w:rPr>
        <w:t>第二节  通用合同条款</w:t>
      </w:r>
      <w:bookmarkEnd w:id="32"/>
    </w:p>
    <w:p w14:paraId="4734FB3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33" w:name="_Toc196637649"/>
      <w:bookmarkStart w:id="34" w:name="_Toc196637413"/>
      <w:bookmarkStart w:id="35" w:name="_Toc224699375"/>
      <w:bookmarkStart w:id="36" w:name="_Toc184635098"/>
      <w:bookmarkStart w:id="37" w:name="_Toc196637767"/>
      <w:r>
        <w:rPr>
          <w:rFonts w:hint="eastAsia" w:ascii="宋体" w:hAnsi="宋体" w:eastAsia="宋体" w:cs="宋体"/>
          <w:color w:val="auto"/>
          <w:sz w:val="24"/>
          <w:szCs w:val="24"/>
        </w:rPr>
        <w:t>1、一般约定</w:t>
      </w:r>
      <w:bookmarkEnd w:id="33"/>
      <w:bookmarkEnd w:id="34"/>
      <w:bookmarkEnd w:id="35"/>
      <w:bookmarkEnd w:id="36"/>
      <w:bookmarkEnd w:id="37"/>
    </w:p>
    <w:p w14:paraId="3C466FF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 词语定义</w:t>
      </w:r>
    </w:p>
    <w:p w14:paraId="37DB80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通用合同条款、专用合同条款中的下列词语应具有本款所赋予的含义。</w:t>
      </w:r>
    </w:p>
    <w:p w14:paraId="716DE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合同</w:t>
      </w:r>
    </w:p>
    <w:p w14:paraId="108454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合同文件（或称合同）：指合同协议书、中标通知书、投标函及投标函附录、专用合同条款、通用合同条款、技术标准和要求、图纸、投标报价文件，以及其他合同文件。</w:t>
      </w:r>
    </w:p>
    <w:p w14:paraId="1DD84B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合同协议书：指第1.5 款所指的合同协议书。</w:t>
      </w:r>
    </w:p>
    <w:p w14:paraId="215E3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中标通知书：指发包人通知承包人中标的函件。</w:t>
      </w:r>
    </w:p>
    <w:p w14:paraId="728D47A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1.1.1.4 投标函：指构成合同文件组成部分的由承包人填写并签署的投标函。</w:t>
      </w:r>
    </w:p>
    <w:p w14:paraId="1C1E82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1.1.1.5 投标函附录：指附在投标函后构成合同文件的投标函附录。</w:t>
      </w:r>
    </w:p>
    <w:p w14:paraId="254CAA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技术标准和要求：指构成合同文件组成部分的名为技术标准和要求的文件，包括合同双方当事人约定对其所作的修改或补充。</w:t>
      </w:r>
    </w:p>
    <w:p w14:paraId="124E1A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1.1.1.7 图纸：指包含在合同中的工程图纸，以及由发包人按合同约定提供的任何补充和修改的图纸，包括配套的说明。</w:t>
      </w:r>
    </w:p>
    <w:p w14:paraId="3EE0DF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1.1.1.8其他合同文件：指经合同双方当事人确认构成合同文件的其他文件。</w:t>
      </w:r>
    </w:p>
    <w:p w14:paraId="523BF4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合同当事人和人员</w:t>
      </w:r>
    </w:p>
    <w:p w14:paraId="6983EE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合同当事人：指发包人和（或）承包人。</w:t>
      </w:r>
    </w:p>
    <w:p w14:paraId="66FC12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 发包人：指专用合同条款中指明并与承包人在合同协议书中签字的当事人。</w:t>
      </w:r>
    </w:p>
    <w:p w14:paraId="1B42A07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1.1.2.3 承包人：指与发包人签订合同协议书的当事人。</w:t>
      </w:r>
    </w:p>
    <w:p w14:paraId="53506D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1.1.2.4 承包人项目经理：指承包人派驻施工场地的全权负责人。</w:t>
      </w:r>
    </w:p>
    <w:p w14:paraId="703E53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 分包人：指从承包人处分包合同中某一部分工程，并与其签订分包合同的分包人。</w:t>
      </w:r>
    </w:p>
    <w:p w14:paraId="6C2DE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 监理人：指在专用合同条款中指明的，受发包人委托对合同履行实施管理的法人或其他组织。</w:t>
      </w:r>
    </w:p>
    <w:p w14:paraId="0AEB08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1.1.2.7 总监理工程师（总监）：指由监理人委派常驻施工场地对合同履行实施管理的全权负责人。</w:t>
      </w:r>
    </w:p>
    <w:p w14:paraId="175973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6BDD3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 工程：指永久工程和（或）临时工程。</w:t>
      </w:r>
    </w:p>
    <w:p w14:paraId="3FA49B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 永久工程：指按合同约定建造并移交给发包人的工程，包括工程设备。</w:t>
      </w:r>
    </w:p>
    <w:p w14:paraId="68094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 临时工程：指为完成合同约定的永久工程所修建的各类临时性工程，不包括施工设备。</w:t>
      </w:r>
    </w:p>
    <w:p w14:paraId="45EEA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 单位工程：指专用合同条款中指明特定范围的永久工程。</w:t>
      </w:r>
    </w:p>
    <w:p w14:paraId="66717F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1.1.3.5 工程设备：指构成或计划构成永久工程一部分的机电设备、金属结构设备、仪器装置及其他类似的设备和装置。</w:t>
      </w:r>
    </w:p>
    <w:p w14:paraId="53C06E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1.1.3.6 施工设备：指为完成合同约定的各项工作所需的设备、器具和其他物品，不包括临时工程和材料。</w:t>
      </w:r>
    </w:p>
    <w:p w14:paraId="4217B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1.1.3.7 临时设施：指为完成合同约定的各项工作所服务的临时性生产和生活设施。</w:t>
      </w:r>
    </w:p>
    <w:p w14:paraId="18A173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1.1.3.8 承包人设备：指承包人自带的施工设备。</w:t>
      </w:r>
    </w:p>
    <w:p w14:paraId="5DB941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1.1.3.9 施工场地（或称工地、现场）：指用于合同工程施工的场所，以及在合同中指定作为施工场地组成部分的其他场所，包括永久占地和临时占地。</w:t>
      </w:r>
    </w:p>
    <w:p w14:paraId="2A84AA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 永久占地：指专用合同条款中指明为实施合同工程需永久占用的土地。</w:t>
      </w:r>
    </w:p>
    <w:p w14:paraId="7B4B88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1.1.3.11 临时占地：指专用合同条款中指明为实施合同工程需临时占用的土地。</w:t>
      </w:r>
    </w:p>
    <w:p w14:paraId="69A29A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 日期</w:t>
      </w:r>
    </w:p>
    <w:p w14:paraId="2FF66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1.1.4.1 开工通知：指监理人按第11.1 款通知承包人开工的函件。</w:t>
      </w:r>
    </w:p>
    <w:p w14:paraId="507AB3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1.1.4.2 开工日期：指监理人按第11.1 款发出的开工通知中写明的开工日期。</w:t>
      </w:r>
    </w:p>
    <w:p w14:paraId="1B97B1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1.1.4.3 工期：指承包人在投标函中承诺的完成合同工程所需的期限，包括按第11.3 款、第11.4 款和第11.6 款约定所作的变更。</w:t>
      </w:r>
    </w:p>
    <w:p w14:paraId="6D5377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1.1.4.4 竣工日期：指第1.1.4.3 目约定工期届满时的日期。实际竣工日期以工程接收证书中写明的日期为准。</w:t>
      </w:r>
    </w:p>
    <w:p w14:paraId="7A720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 缺陷责任期：指履行第19.2 款约定的缺陷责任的期限，具体期限由专用合同条款约定，包括根据第19.3 款约定所作的延长。</w:t>
      </w:r>
    </w:p>
    <w:p w14:paraId="22386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1.1.4.6 基准日期：指投标截止时间前28 天的日期。</w:t>
      </w:r>
    </w:p>
    <w:p w14:paraId="5A921A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天：除特别指明外，指日历天。合同中按天计算时间的，开始当天不计入，从次日开始计算。期限最后一天的截止时间为当天24:00。</w:t>
      </w:r>
    </w:p>
    <w:p w14:paraId="14FD8E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14:paraId="7CF3EFC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签约合同价：指签定合同时合同协议书中写明的，包括了暂估价的合同总金额。</w:t>
      </w:r>
    </w:p>
    <w:p w14:paraId="19A2C1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1.1.5.2 合同价格：指承包人按合同约定完成了包括缺陷责任期内的全部承包工作后，发包人应付给承包人的金额，包括在履行合同过程中按合同约定进行的变更和调整。</w:t>
      </w:r>
    </w:p>
    <w:p w14:paraId="3B7007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1.1.5.3 费用：指为履行合同所发生的或将要发生的所有合理开支，包括管理费和应分摊的其他费用，但不包括利润。</w:t>
      </w:r>
    </w:p>
    <w:p w14:paraId="0DDF2F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1.1.5.4 质量保证金（或称保留金）：指按第17. 4.1项约定用于保证在缺陷责任期内履行缺陷修复义务的金额。</w:t>
      </w:r>
    </w:p>
    <w:p w14:paraId="475AB2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14:paraId="6870E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1.1.6.1 书面形式：指合同文件、信函、电报、传真等可以有形地表现所载内容的形式。</w:t>
      </w:r>
    </w:p>
    <w:p w14:paraId="4F4F74E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 语言文字</w:t>
      </w:r>
    </w:p>
    <w:p w14:paraId="6C7212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除专用术语外，合同使用的语言文字为中文。必要时专用术语应附有中文注释。</w:t>
      </w:r>
    </w:p>
    <w:p w14:paraId="3883756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 法律</w:t>
      </w:r>
    </w:p>
    <w:p w14:paraId="00D049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适用于合同的法律包括中华人民共和国法律、行政法规、部门规章，以及工程所在地的地方法规、自治条例、单行条例和地方政府规章。</w:t>
      </w:r>
    </w:p>
    <w:p w14:paraId="12DBDD7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 合同文件的优先顺序</w:t>
      </w:r>
    </w:p>
    <w:p w14:paraId="2B5CC1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14:paraId="69F5A3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14:paraId="698D2C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45B40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w:t>
      </w:r>
    </w:p>
    <w:p w14:paraId="75FED0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7E23DD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248BB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43BA24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07328A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(8）投标报价文件；</w:t>
      </w:r>
    </w:p>
    <w:p w14:paraId="797399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23EEF9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 合同协议书</w:t>
      </w:r>
    </w:p>
    <w:p w14:paraId="70732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2ACE47F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 图纸和承包人文件</w:t>
      </w:r>
    </w:p>
    <w:p w14:paraId="456AB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43BABB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除专用合同条款另有约定外，图纸应在合理的期限内按照合同约定的数量提供给承包人。由于发包人未按时提供图纸造成工期延误的，按第11.3 款的约定办理。</w:t>
      </w:r>
    </w:p>
    <w:p w14:paraId="7A9DDA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 承包人提供的文件</w:t>
      </w:r>
    </w:p>
    <w:p w14:paraId="415A8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按专用合同条款约定由承包人提供的文件，包括部分工程的大样图、加工图等，承包人应按约定的数量和期限报送监理人。监理人应在专用合同条款约定的期限内批复。</w:t>
      </w:r>
    </w:p>
    <w:p w14:paraId="5E9F93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6.3 图纸的修改</w:t>
      </w:r>
    </w:p>
    <w:p w14:paraId="0B6EF5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图纸需要修改和补充的，应由监理人取得发包人同意后，在该工程或工程相应部位施工前的合理期限内签发图纸修改图给承包人，具体签发期限在专用合同条款中约定。承包人应按修改后的图纸施工。</w:t>
      </w:r>
    </w:p>
    <w:p w14:paraId="2D3405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1.6.4 图纸的错误</w:t>
      </w:r>
    </w:p>
    <w:p w14:paraId="2961DE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承包人发现发包人提供的图纸存在明显错误或疏忽，应及时通知监理人。</w:t>
      </w:r>
    </w:p>
    <w:p w14:paraId="7431DC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14:paraId="24E34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监理人和承包人均应在施工场地各保存一套完整的包含第1.6.1 项、第1.6.2 项、第1.6.3 项约定内容的图纸和承包人文件。</w:t>
      </w:r>
    </w:p>
    <w:p w14:paraId="2925FB0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 联络</w:t>
      </w:r>
    </w:p>
    <w:p w14:paraId="51FAD3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与合同有关的通知、批准、证明、证书、指示、要求、请求、同意、意见、确定和决定等，均应采用书面形式。</w:t>
      </w:r>
    </w:p>
    <w:p w14:paraId="5BAB2E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第1.7.1 项中的通知、批准、证明、证书、指示、要求、请求、同意、意见、确定和决定等来往函件，均应在合同约定的期限内送达指定地点和接收人，并办理签收手续。</w:t>
      </w:r>
    </w:p>
    <w:p w14:paraId="300A740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 转让</w:t>
      </w:r>
    </w:p>
    <w:p w14:paraId="263CCA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除合同另有约定外，未经对方当事人同意，一方当事人不得将合同权利全部或部分转让给第三人，也不得全部或部分转移合同义务。</w:t>
      </w:r>
    </w:p>
    <w:p w14:paraId="4416361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 严禁贿赂</w:t>
      </w:r>
    </w:p>
    <w:p w14:paraId="0F99A5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合同双方当事人不得以贿赂或变相贿赂的方式，谋取不当利益或损害对方权益。因贿赂造成对方损失的，行为人应赔偿损失，并承担相应的法律责任。</w:t>
      </w:r>
    </w:p>
    <w:p w14:paraId="3AE0E07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1.10 化石、文物</w:t>
      </w:r>
    </w:p>
    <w:p w14:paraId="3AB415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4BF5D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1.10.2 承包人发现文物后不及时报告或隐瞒不报，致使文物丢失或损坏的，应赔偿损失，并承担相应的法律责任。</w:t>
      </w:r>
    </w:p>
    <w:p w14:paraId="5D3F320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1.11 专利技术</w:t>
      </w:r>
    </w:p>
    <w:p w14:paraId="4D5ACA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14:paraId="07C3C7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承包人在投标文件中采用专利技术的，专利技术的使用费包含在投标报价内。</w:t>
      </w:r>
    </w:p>
    <w:p w14:paraId="676D12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1.11.3 承包人的技术秘密和声明需要保密的资料和信息，发包人和监理人不得为合同以外的目的泄露给他人。</w:t>
      </w:r>
    </w:p>
    <w:p w14:paraId="5492850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 图纸和文件的保密</w:t>
      </w:r>
    </w:p>
    <w:p w14:paraId="3EE2B71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 发包人提供的图纸和文件，未经发包人同意，承包人不得为合同以外的目的泄露给他人或公开发表与引用。</w:t>
      </w:r>
    </w:p>
    <w:p w14:paraId="1F371D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 承包人提供的文件，未经承包人同意，发包人和监理人不得为合同以外的目的泄露给他人或公开发表与引用。</w:t>
      </w:r>
    </w:p>
    <w:p w14:paraId="0373593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38" w:name="_Toc224699376"/>
      <w:bookmarkStart w:id="39" w:name="_Toc196637768"/>
      <w:bookmarkStart w:id="40" w:name="_Toc196637414"/>
      <w:bookmarkStart w:id="41" w:name="_Toc196637650"/>
      <w:bookmarkStart w:id="42" w:name="_Toc184635099"/>
      <w:r>
        <w:rPr>
          <w:rFonts w:hint="eastAsia" w:ascii="宋体" w:hAnsi="宋体" w:eastAsia="宋体" w:cs="宋体"/>
          <w:color w:val="auto"/>
          <w:sz w:val="24"/>
          <w:szCs w:val="24"/>
        </w:rPr>
        <w:t>2．发包人义务</w:t>
      </w:r>
      <w:bookmarkEnd w:id="38"/>
      <w:bookmarkEnd w:id="39"/>
      <w:bookmarkEnd w:id="40"/>
      <w:bookmarkEnd w:id="41"/>
      <w:bookmarkEnd w:id="42"/>
    </w:p>
    <w:p w14:paraId="6C26335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 遵守法律</w:t>
      </w:r>
    </w:p>
    <w:p w14:paraId="568ED2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发包人在履行合同过程中应遵守法律，并保证承包人免于承担因发包人违反法律而引起的任何责任。</w:t>
      </w:r>
    </w:p>
    <w:p w14:paraId="641B307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 发出开工通知</w:t>
      </w:r>
    </w:p>
    <w:p w14:paraId="38AE7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发包人应委托监理人按第11.1 款的约定向承包人发出开工通知。</w:t>
      </w:r>
    </w:p>
    <w:p w14:paraId="170378B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 提供施工场地</w:t>
      </w:r>
    </w:p>
    <w:p w14:paraId="39043E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发包人应按专用合同条款约定向承包人提供施工场地，以及施工场地内地下管线和地下设施等有关资料，并保证资料的真实、准确、完整。</w:t>
      </w:r>
    </w:p>
    <w:p w14:paraId="364AF7A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 协助承包人办理证件和批件</w:t>
      </w:r>
    </w:p>
    <w:p w14:paraId="1CD34E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发包人应协助承包人办理法律规定的有关施工证件和批件。</w:t>
      </w:r>
    </w:p>
    <w:p w14:paraId="24F71DD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2.5 组织设计交底</w:t>
      </w:r>
    </w:p>
    <w:p w14:paraId="44FF22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发包人应根据合同进度计划，组织设计单位向承包人进行设计交底。</w:t>
      </w:r>
    </w:p>
    <w:p w14:paraId="190A8EE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2.6 支付合同价款</w:t>
      </w:r>
    </w:p>
    <w:p w14:paraId="4EB44B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14:paraId="79691AD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2.7 组织竣工验收</w:t>
      </w:r>
    </w:p>
    <w:p w14:paraId="40C2D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14:paraId="283C8AA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2.8 其他义务</w:t>
      </w:r>
    </w:p>
    <w:p w14:paraId="545562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发包人应履行合同约定的其他义务。</w:t>
      </w:r>
    </w:p>
    <w:p w14:paraId="04A166A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43" w:name="_Toc196637769"/>
      <w:bookmarkStart w:id="44" w:name="_Toc196637415"/>
      <w:bookmarkStart w:id="45" w:name="_Toc224699377"/>
      <w:bookmarkStart w:id="46" w:name="_Toc196637651"/>
      <w:bookmarkStart w:id="47" w:name="_Toc184635100"/>
      <w:r>
        <w:rPr>
          <w:rFonts w:hint="eastAsia" w:ascii="宋体" w:hAnsi="宋体" w:eastAsia="宋体" w:cs="宋体"/>
          <w:color w:val="auto"/>
          <w:sz w:val="24"/>
          <w:szCs w:val="24"/>
        </w:rPr>
        <w:t>3、监理人</w:t>
      </w:r>
      <w:bookmarkEnd w:id="43"/>
      <w:bookmarkEnd w:id="44"/>
      <w:bookmarkEnd w:id="45"/>
      <w:bookmarkEnd w:id="46"/>
      <w:bookmarkEnd w:id="47"/>
    </w:p>
    <w:p w14:paraId="77C48A7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3.1 监理人的职责和权力</w:t>
      </w:r>
    </w:p>
    <w:p w14:paraId="079520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 监理人受发包人委托，享有合同约定的权力。监理人在行使某项权力前需要经发</w:t>
      </w:r>
    </w:p>
    <w:p w14:paraId="0BCE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包人事先批准而通用合同条款没有指明的，应在专用合同条款中指明。</w:t>
      </w:r>
    </w:p>
    <w:p w14:paraId="1C691C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 监理人发出的任何指示应视为已得到发包人的批准，但监理人无权免除或变更合同约定的发包人和承包人的权利、义务和责任。</w:t>
      </w:r>
    </w:p>
    <w:p w14:paraId="6D1E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3.1.3 合同约定应由承包人承担的义务和责任，不因监理人对承包人提交文件的审查或批准，对工程、材料和设备的检查和检验，以及为实施监理作出的指示等职务行为而减轻或解除。</w:t>
      </w:r>
    </w:p>
    <w:p w14:paraId="611B7BA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3.2 总监理工程师</w:t>
      </w:r>
    </w:p>
    <w:p w14:paraId="080402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发包人应在发出开工通知前将总监理工程师的任命通知承包人。总监理工程师更换时，应在调离14 天前通知承包人。总监理工程师短期离开施工场地的，应委派代表代行其职责，并通知承包人。</w:t>
      </w:r>
    </w:p>
    <w:p w14:paraId="56A5F1C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3.3 监理人员</w:t>
      </w:r>
    </w:p>
    <w:p w14:paraId="05263F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5EAF8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47301E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承包人对总监理工程师授权的监理人员发出的指示有疑问的，可向总监理工程师提出书面异议，总监理工程师应在48小时内对该指示予以确认、更改或撤销。</w:t>
      </w:r>
    </w:p>
    <w:p w14:paraId="0BB10A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除专用合同条款另有约定外，总监理工程师不应将第3.5 款约定应由总监理工程师作出确定的权力授权或委托给其他监理人员。</w:t>
      </w:r>
    </w:p>
    <w:p w14:paraId="0086440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3.4 监理人的指示</w:t>
      </w:r>
    </w:p>
    <w:p w14:paraId="50FDD2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 监理人应按第3.1 款的约定向承包人发出指示，监理人的指示应盖有监理人授权的施工场地机构章，并由总监理工程师或总监理工程师按第3.3.1 项约定授权的监理人员签字。</w:t>
      </w:r>
    </w:p>
    <w:p w14:paraId="501ACC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承包人收到监理人按第3.4.1 项作出的指示后应遵照执行。指示构成变更的，应按第15条处理。</w:t>
      </w:r>
    </w:p>
    <w:p w14:paraId="1C9D9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B6934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3.4.4 除合同另有约定外，承包人只从总监理工程师或按第3.3.1 项被授权的监理人员处取得指示。</w:t>
      </w:r>
    </w:p>
    <w:p w14:paraId="248F39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3.4.5 由于监理人未能按合同约定发出指示、指示延误或指示错误而导致承包人费用增加和（或）工期延误的，由发包人承担赔偿责任。</w:t>
      </w:r>
    </w:p>
    <w:p w14:paraId="2738043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3.5 商定或确定</w:t>
      </w:r>
    </w:p>
    <w:p w14:paraId="4ACF4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3.5.1 合同约定总监理工程师应按照本款对任何事项进行商定或确定时，总监理工程师应与合同当事人协商，尽量达成一致。不能达成一致的，总监理工程师应认真研究后审慎确定。</w:t>
      </w:r>
    </w:p>
    <w:p w14:paraId="1B900F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7C8B9C8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48" w:name="_Toc196637416"/>
      <w:bookmarkStart w:id="49" w:name="_Toc184635101"/>
      <w:bookmarkStart w:id="50" w:name="_Toc224699378"/>
      <w:bookmarkStart w:id="51" w:name="_Toc196637770"/>
      <w:bookmarkStart w:id="52" w:name="_Toc196637652"/>
      <w:r>
        <w:rPr>
          <w:rFonts w:hint="eastAsia" w:ascii="宋体" w:hAnsi="宋体" w:eastAsia="宋体" w:cs="宋体"/>
          <w:color w:val="auto"/>
          <w:sz w:val="24"/>
          <w:szCs w:val="24"/>
        </w:rPr>
        <w:t>4、承包人</w:t>
      </w:r>
      <w:bookmarkEnd w:id="48"/>
      <w:bookmarkEnd w:id="49"/>
      <w:bookmarkEnd w:id="50"/>
      <w:bookmarkEnd w:id="51"/>
      <w:bookmarkEnd w:id="52"/>
    </w:p>
    <w:p w14:paraId="2A8D1A1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 承包人的一般义务</w:t>
      </w:r>
    </w:p>
    <w:p w14:paraId="569FF5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 遵守法律</w:t>
      </w:r>
    </w:p>
    <w:p w14:paraId="7BE3A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承包人在履行合同过程中应遵守法律，并保证发包人免于承担因承包人违反法律而引起的任何责任。</w:t>
      </w:r>
    </w:p>
    <w:p w14:paraId="3D9EE0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4.1.2 依法纳税</w:t>
      </w:r>
    </w:p>
    <w:p w14:paraId="2B6C03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承包人应按有关法律规定纳税，应缴纳的税金包括在合同价格内。</w:t>
      </w:r>
    </w:p>
    <w:p w14:paraId="51C24D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 完成各项承包工作</w:t>
      </w:r>
    </w:p>
    <w:p w14:paraId="79D770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2364A1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4.1.4 对施工作业和施工方法的完备性负责</w:t>
      </w:r>
    </w:p>
    <w:p w14:paraId="6A12E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承包人应按合同约定的工作内容和施工进度要求，编制施工组织设计和施工措施计划，并对所有施工作业和施工方法的完备性和安全可靠性负责。</w:t>
      </w:r>
    </w:p>
    <w:p w14:paraId="59DB47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4.1.5 保证工程施工和人员的安全</w:t>
      </w:r>
    </w:p>
    <w:p w14:paraId="358F1B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承包人应按第9.2 款约定采取施工安全措施，确保工程及其人员、材料、设备和设施的安全，防止因工程施工造成的人身伤害和财产损失。</w:t>
      </w:r>
    </w:p>
    <w:p w14:paraId="6BE2E9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4.1.6 负责施工场地及其周边环境与生态的保护工作</w:t>
      </w:r>
    </w:p>
    <w:p w14:paraId="28B2B0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承包人应按照第9.4 款约定负责施工场地及其周边环境与生态的保护工作。</w:t>
      </w:r>
    </w:p>
    <w:p w14:paraId="2C7688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4.1.7 避免施工对公众与他人的利益造成损害</w:t>
      </w:r>
    </w:p>
    <w:p w14:paraId="77A454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9DC61B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4.1.8 为他人提供方便</w:t>
      </w:r>
    </w:p>
    <w:p w14:paraId="7A2CA3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承包人应按监理人的指示为他人在施工场地或附近实施与工程有关的其他各项工作提供可能的条件。除合同另有约定外，提供有关条件的内容和可能发生的费用，由监理人按第3.5 款商定或确定。</w:t>
      </w:r>
    </w:p>
    <w:p w14:paraId="33F26A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4.1.9 工程的维护和照管</w:t>
      </w:r>
    </w:p>
    <w:p w14:paraId="2AA676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工程接收证书颁发前，承包人应负责照管和维护工程。工程接收证书颁发时尚有部分未竣工工程的，承包人还应负责该未竣工工程的照管和维护工作，直至竣工后移交给发包人为止。</w:t>
      </w:r>
    </w:p>
    <w:p w14:paraId="726812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4.1.10 其他义务</w:t>
      </w:r>
    </w:p>
    <w:p w14:paraId="16FCAD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承包人应履行合同约定的其他义务。</w:t>
      </w:r>
    </w:p>
    <w:p w14:paraId="0129062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4.2 履约担保</w:t>
      </w:r>
    </w:p>
    <w:p w14:paraId="2F7664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承包人应保证其履约担保在发包人颁发工程接收证书前一直有效。发包人应在工程接收证书颁发后28 天内把履约担保退还给承包人。</w:t>
      </w:r>
    </w:p>
    <w:p w14:paraId="1D2A45E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4.3 分包</w:t>
      </w:r>
    </w:p>
    <w:p w14:paraId="263B2D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4.3.1 承包人不得将其承包的全部工程转包给第三人，或将其承包的全部工程肢解后以分包的名义转包给第三人。</w:t>
      </w:r>
    </w:p>
    <w:p w14:paraId="397F3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 承包人不得将工程主体、关键性工作分包给第三人。除专用合同条款另有约定外，未经发包人同意，承包人不得将工程的其他部分或工作分包给第三人。</w:t>
      </w:r>
    </w:p>
    <w:p w14:paraId="1C6B08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4.3.3 分包人的资格能力应与其分包工程的标准和规模相适应。</w:t>
      </w:r>
    </w:p>
    <w:p w14:paraId="6E09671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4.3.4 按投标函附录约定分包工程的，承包人应向发包人和监理人提交分包合同副本。</w:t>
      </w:r>
    </w:p>
    <w:p w14:paraId="0F9B86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4.3.5 承包人应与分包人就分包工程向发包人承担连带责任。</w:t>
      </w:r>
    </w:p>
    <w:p w14:paraId="09FD4A9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4.4 联合体</w:t>
      </w:r>
    </w:p>
    <w:p w14:paraId="2CEEFD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4.4.1 联合体各方应共同与发包人签订合同协议书。联合体各方应为履行合同承担连带责任。</w:t>
      </w:r>
    </w:p>
    <w:p w14:paraId="7DD0C0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4.4.2 联合体协议经发包人确认后作为合同附件。在履行合同过程中，未经发包人同意，不得修改联合体协议。</w:t>
      </w:r>
    </w:p>
    <w:p w14:paraId="7D4B62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4.4.3 联合体牵头人负责与发包人和监理人联系，并接受指示，负责组织联合体各成员全面履行合同。</w:t>
      </w:r>
    </w:p>
    <w:p w14:paraId="464EBCD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4.5 承包人项目经理</w:t>
      </w:r>
    </w:p>
    <w:p w14:paraId="7046AE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0F7546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4.5.2 承包人项目经理应按合同约定以及监理人按第3.4 款作出的指示，负责组织合同工程的实施。在情况紧急且无法与监理人取得联系时，可采取保证工程和人员生命财产安全的紧急措施，并在采取措施后24小时内向监理人提交书面报告。</w:t>
      </w:r>
    </w:p>
    <w:p w14:paraId="2D49F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4.5.3 承包人为履行合同发出的一切函件均应盖有承包人授权的施工场地管理机构章，并由承包人项目经理或其授权代表签字。</w:t>
      </w:r>
    </w:p>
    <w:p w14:paraId="0D9B9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4.5.4 承包人项目经理可以授权其下属人员履行其某项职责，但事先应将这些人员的姓名和授权范围通知监理人。</w:t>
      </w:r>
    </w:p>
    <w:p w14:paraId="78065C7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4.6 承包人人员的管理</w:t>
      </w:r>
    </w:p>
    <w:p w14:paraId="75D6A9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11154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4.6.2 为完成合同约定的各项工作，承包人应向施工场地派遣或雇佣足够数量的下列人员：</w:t>
      </w:r>
    </w:p>
    <w:p w14:paraId="7B41F1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(1）具有相应资格的专业技工和合格的普工；</w:t>
      </w:r>
    </w:p>
    <w:p w14:paraId="0E7A69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(2）具有相应施工经验的技术人员；</w:t>
      </w:r>
    </w:p>
    <w:p w14:paraId="6A07D4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(3）具有相应岗位资格的各级管理人员。</w:t>
      </w:r>
    </w:p>
    <w:p w14:paraId="174E39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4.6.3 承包人安排在施工场地的主要管理人员和技术骨干应相对稳定。承包人更换主要管理人员和技术骨干时，应取得监理人的同意。</w:t>
      </w:r>
    </w:p>
    <w:p w14:paraId="6F8284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4.6.4 特殊岗位的工作人员均应持有相应的资格证明，监理人有权随时检查。监理人认为有必要时，可进行现场考核。</w:t>
      </w:r>
    </w:p>
    <w:p w14:paraId="6FC6F82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4.7 撤换承包人项目经理和其他人员</w:t>
      </w:r>
    </w:p>
    <w:p w14:paraId="35599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承包人应对其项目经理和其他人员进行有效管理。监理人要求撤换不能胜任本职工作、行为不端或玩忽职守的承包人项目经理和其他人员的，承包人应予以撤换。</w:t>
      </w:r>
    </w:p>
    <w:p w14:paraId="45AF0D9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4.8 保障承包人人员的合法权益</w:t>
      </w:r>
    </w:p>
    <w:p w14:paraId="70BA4D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4.8.1 承包人应与其雇佣的人员签订劳动合同，并按时发放工资。</w:t>
      </w:r>
    </w:p>
    <w:p w14:paraId="79435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65268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4.8.3 承包人应为其雇佣人员提供必要的食宿条件，以及符合环境保护和卫生要求的生活环境，在远离城镇的施工场地，还应配备必要的伤病防治和急救的医务人员与医疗设施。</w:t>
      </w:r>
    </w:p>
    <w:p w14:paraId="2ACBC6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7C7608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4.8.5 承包人应按有关法律规定和合同约定，为其雇佣人员办理保险。</w:t>
      </w:r>
    </w:p>
    <w:p w14:paraId="74615C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4.8.6 承包人应负责处理其雇佣人员因工伤亡事故的善后事宜。</w:t>
      </w:r>
    </w:p>
    <w:p w14:paraId="691F1AD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4.9 工程价款应专款专用</w:t>
      </w:r>
    </w:p>
    <w:p w14:paraId="6C3DED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发包人按合同约定支付给承包人的各项价款应专用于合同工程。</w:t>
      </w:r>
    </w:p>
    <w:p w14:paraId="42C56E4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4.10 承包人现场查勘</w:t>
      </w:r>
    </w:p>
    <w:p w14:paraId="1BAF3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4.10.1 发包人应将其持有的现场地质勘探资料、水文气象资料提供给承包人，并对其准确性负责。但承包人应对其阅读上述有关资料后所作出的解释和推断负责。</w:t>
      </w:r>
    </w:p>
    <w:p w14:paraId="3EEE6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CD47D2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4.11 不利物质条件</w:t>
      </w:r>
    </w:p>
    <w:p w14:paraId="2219C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4.11.1 不利物质条件，除专用合同条款另有约定外，是指承包人在施工场地遇到的不可预见的自然物质条件、非自然的物质障碍和污染物，包括地下和水文条件，但不包括气候条件。</w:t>
      </w:r>
    </w:p>
    <w:p w14:paraId="0C78AC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F3FD58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53" w:name="_Toc224699379"/>
      <w:bookmarkStart w:id="54" w:name="_Toc196637653"/>
      <w:bookmarkStart w:id="55" w:name="_Toc184635102"/>
      <w:bookmarkStart w:id="56" w:name="_Toc196637417"/>
      <w:bookmarkStart w:id="57" w:name="_Toc196637771"/>
      <w:r>
        <w:rPr>
          <w:rFonts w:hint="eastAsia" w:ascii="宋体" w:hAnsi="宋体" w:eastAsia="宋体" w:cs="宋体"/>
          <w:color w:val="auto"/>
          <w:sz w:val="24"/>
          <w:szCs w:val="24"/>
        </w:rPr>
        <w:t>5．材料和工程设备</w:t>
      </w:r>
      <w:bookmarkEnd w:id="53"/>
      <w:bookmarkEnd w:id="54"/>
      <w:bookmarkEnd w:id="55"/>
      <w:bookmarkEnd w:id="56"/>
      <w:bookmarkEnd w:id="57"/>
    </w:p>
    <w:p w14:paraId="126A01E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5.1 承包人提供的材料和工程设备</w:t>
      </w:r>
    </w:p>
    <w:p w14:paraId="5BE362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 除专用合同条款另有约定外，承包人提供的材料和工程设备均由承包人负责采购、运输和保管。承包人应对其采购的材料和工程设备负责。</w:t>
      </w:r>
    </w:p>
    <w:p w14:paraId="1205EB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63159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072F468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5.2 发包人提供的材料和工程设备</w:t>
      </w:r>
    </w:p>
    <w:p w14:paraId="5F0DA6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5.2.1 发包人提供的材料和工程设备，应在专用合同条款中写明材料和工程设备的名称、规格、数量、价格、交货方式、交货地点和计划交货日期等。</w:t>
      </w:r>
    </w:p>
    <w:p w14:paraId="61CAB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4C1B0A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5.2.4 发包人要求向承包人提前交货的，承包人不得拒绝，但发包人应承担承包人由此增加的费用。</w:t>
      </w:r>
    </w:p>
    <w:p w14:paraId="08F6B1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5.2.5 承包人要求更改交货日期或地点的，应事先报请监理人批准。由于承包人要求更改交货时间或地点所增加的费用和（或）工期延误由承包人承担。</w:t>
      </w:r>
    </w:p>
    <w:p w14:paraId="0A2927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F1ACAE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5.3 材料和工程设备专用于合同工程</w:t>
      </w:r>
    </w:p>
    <w:p w14:paraId="02453D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5.3.1 运入施工场地的材料、工程设备，包括备品备件、安装专用工器具与随机资料，必须专用于合同工程，未经监理人同意，承包人不得运出施工场地或挪作他用。</w:t>
      </w:r>
    </w:p>
    <w:p w14:paraId="42E775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3034D3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5.4 禁止使用不合格的材料和工程设备</w:t>
      </w:r>
    </w:p>
    <w:p w14:paraId="72B75B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5.4.1 监理人有权拒绝承包人提供的不合格材料或工程设备，并要求承包人立即进行更换。监理人应在更换后再次进行检查和检验，由此增加的费用和（或）工期延误由承包人承担。</w:t>
      </w:r>
    </w:p>
    <w:p w14:paraId="4FC9C6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5.4.2 监理人发现承包人使用了不合格的材料和工程设备，应即时发出指示要求承包人立即改正，并禁止在工程中继续使用不合格的材料和工程设备。</w:t>
      </w:r>
    </w:p>
    <w:p w14:paraId="22EDE2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5.4.3 发包人提供的材料或工程设备不符合合同要求的，承包人有权拒绝，并可要求发包人更换，由此增加的费用和（或）工期延误由发包人承担。</w:t>
      </w:r>
    </w:p>
    <w:p w14:paraId="75FADD2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58" w:name="_Toc184635103"/>
      <w:bookmarkStart w:id="59" w:name="_Toc196637418"/>
      <w:bookmarkStart w:id="60" w:name="_Toc196637772"/>
      <w:bookmarkStart w:id="61" w:name="_Toc224699380"/>
      <w:bookmarkStart w:id="62" w:name="_Toc196637654"/>
      <w:r>
        <w:rPr>
          <w:rFonts w:hint="eastAsia" w:ascii="宋体" w:hAnsi="宋体" w:eastAsia="宋体" w:cs="宋体"/>
          <w:color w:val="auto"/>
          <w:sz w:val="24"/>
          <w:szCs w:val="24"/>
        </w:rPr>
        <w:t>6、施工设备和临时设施</w:t>
      </w:r>
      <w:bookmarkEnd w:id="58"/>
      <w:bookmarkEnd w:id="59"/>
      <w:bookmarkEnd w:id="60"/>
      <w:bookmarkEnd w:id="61"/>
      <w:bookmarkEnd w:id="62"/>
    </w:p>
    <w:p w14:paraId="6FAF0BB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6.1 承包人提供的施工设备和临时设施</w:t>
      </w:r>
    </w:p>
    <w:p w14:paraId="218053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4EB51D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 除专用合同条款另有约定外，承包人应自行承担修建临时设施的费用，需要临时占地的，应由发包人办理申请手续并承担相应费用。</w:t>
      </w:r>
    </w:p>
    <w:p w14:paraId="77246C6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6.2 发包人提供的施工设备和临时设施</w:t>
      </w:r>
    </w:p>
    <w:p w14:paraId="18C4EE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14:paraId="0E27D1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6.3 要求承包人增加或更换施工设备</w:t>
      </w:r>
    </w:p>
    <w:p w14:paraId="5B806C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4924723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6.4 施工设备和临时设施专用于合同工程</w:t>
      </w:r>
    </w:p>
    <w:p w14:paraId="27B77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6.4.1 除合同另有约定外，运入施工场地的所有施工设备以及在施工场地建设的临时设施应专用于合同工程。未经监理人同意，不得将上述施工设备和临时设施中的任何部分运出施工场地或挪作他用。</w:t>
      </w:r>
    </w:p>
    <w:p w14:paraId="0B8947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6.4.2 经监理人同意，承包人可根据合同进度计划撤走闲置的施工设备。</w:t>
      </w:r>
    </w:p>
    <w:p w14:paraId="17365A5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63" w:name="_Toc196637655"/>
      <w:bookmarkStart w:id="64" w:name="_Toc224699381"/>
      <w:bookmarkStart w:id="65" w:name="_Toc196637773"/>
      <w:bookmarkStart w:id="66" w:name="_Toc196637419"/>
      <w:bookmarkStart w:id="67" w:name="_Toc184635104"/>
      <w:r>
        <w:rPr>
          <w:rFonts w:hint="eastAsia" w:ascii="宋体" w:hAnsi="宋体" w:eastAsia="宋体" w:cs="宋体"/>
          <w:color w:val="auto"/>
          <w:sz w:val="24"/>
          <w:szCs w:val="24"/>
        </w:rPr>
        <w:t>7．交通运输</w:t>
      </w:r>
      <w:bookmarkEnd w:id="63"/>
      <w:bookmarkEnd w:id="64"/>
      <w:bookmarkEnd w:id="65"/>
      <w:bookmarkEnd w:id="66"/>
      <w:bookmarkEnd w:id="67"/>
    </w:p>
    <w:p w14:paraId="3AEF70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7.1 道路通行权和场外设施</w:t>
      </w:r>
    </w:p>
    <w:p w14:paraId="31CBE4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9D0CBB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7.2 场内施工道路</w:t>
      </w:r>
    </w:p>
    <w:p w14:paraId="2F48C4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7.2.1 除专用合同条款另有约定外，承包人应负责修建、维修、养护和管理施工所需的临时道路和交通设施，包括维修、养护和管理发包人提供的道路和交通设施，并承担相应费用。</w:t>
      </w:r>
    </w:p>
    <w:p w14:paraId="5E0E18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7.2.2 除专用合同条款另有约定外，承包人修建的临时道路和交通设施应免费提供发包人和监理人使用。</w:t>
      </w:r>
    </w:p>
    <w:p w14:paraId="7C4D736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7.3 场外交通</w:t>
      </w:r>
    </w:p>
    <w:p w14:paraId="67093F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7.3.1 承包人车辆外出行驶所需的场外公共道路的通行费、养路费和税款等由承包人承担。</w:t>
      </w:r>
    </w:p>
    <w:p w14:paraId="060100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7.3.2 承包人应遵守有关交通法规，严格按照道路和桥梁的限制荷重安全行驶，并服从交通管理部门的检查和监督。</w:t>
      </w:r>
    </w:p>
    <w:p w14:paraId="7161EB4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7.4 超大件和超重件的运输</w:t>
      </w:r>
    </w:p>
    <w:p w14:paraId="4A648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E9EF14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7.5 道路和桥梁的损坏责任</w:t>
      </w:r>
    </w:p>
    <w:p w14:paraId="395C2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14:paraId="1F7C906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7.6 水路和航空运输</w:t>
      </w:r>
    </w:p>
    <w:p w14:paraId="2CB185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本条上述各款的内容适用于水路运输和航空运输，其中“道路”一词的涵义包括河道、航线、船闸、机场、码头、堤防以及水路或航空运输中其他相似结构物；“车辆”一词的涵义包括船舶和飞机等。</w:t>
      </w:r>
    </w:p>
    <w:p w14:paraId="72BAE77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68" w:name="_Toc196637774"/>
      <w:bookmarkStart w:id="69" w:name="_Toc196637420"/>
      <w:bookmarkStart w:id="70" w:name="_Toc196637656"/>
      <w:bookmarkStart w:id="71" w:name="_Toc184635105"/>
      <w:bookmarkStart w:id="72" w:name="_Toc224699382"/>
      <w:r>
        <w:rPr>
          <w:rFonts w:hint="eastAsia" w:ascii="宋体" w:hAnsi="宋体" w:eastAsia="宋体" w:cs="宋体"/>
          <w:color w:val="auto"/>
          <w:sz w:val="24"/>
          <w:szCs w:val="24"/>
        </w:rPr>
        <w:t>8．测量放线</w:t>
      </w:r>
      <w:bookmarkEnd w:id="68"/>
      <w:bookmarkEnd w:id="69"/>
      <w:bookmarkEnd w:id="70"/>
      <w:bookmarkEnd w:id="71"/>
      <w:bookmarkEnd w:id="72"/>
    </w:p>
    <w:p w14:paraId="77E0F84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8.1 施工控制网</w:t>
      </w:r>
    </w:p>
    <w:p w14:paraId="2BB3F6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9B66D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8.1.2 承包人应负责管理施工控制网点。施工控制网点丢失或损坏的，承包人应及时修复。承包人应承担施工控制网点的管理与修复费用，并在工程竣工后将施工控制网点移交发包人。</w:t>
      </w:r>
    </w:p>
    <w:p w14:paraId="290B140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8.2 施工测量</w:t>
      </w:r>
    </w:p>
    <w:p w14:paraId="237F5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8.2.1 承包人应负责施工过程中的全部施工测量放线工作，并配置合格的人员、仪器、设备和其他物品。</w:t>
      </w:r>
    </w:p>
    <w:p w14:paraId="2A99C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8.2.2 监理人可以指示承包人进行抽样复测，当复测中发现错误或出现超过合同约定的误差时，承包人应按监理人指示进行修正或补测，并承担相应的复测费用。</w:t>
      </w:r>
    </w:p>
    <w:p w14:paraId="162FB0A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8.3 基准资料错误的责任</w:t>
      </w:r>
    </w:p>
    <w:p w14:paraId="1CCC3E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235CD0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8.4 监理人使用施工控制网</w:t>
      </w:r>
    </w:p>
    <w:p w14:paraId="4153A0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监理人需要使用施工控制网的，承包人应提供必要的协助，发包人不再为此支付费用。</w:t>
      </w:r>
    </w:p>
    <w:p w14:paraId="123AB4F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73" w:name="_Toc224699383"/>
      <w:bookmarkStart w:id="74" w:name="_Toc196637775"/>
      <w:bookmarkStart w:id="75" w:name="_Toc184635106"/>
      <w:bookmarkStart w:id="76" w:name="_Toc196637421"/>
      <w:bookmarkStart w:id="77" w:name="_Toc196637657"/>
      <w:r>
        <w:rPr>
          <w:rFonts w:hint="eastAsia" w:ascii="宋体" w:hAnsi="宋体" w:eastAsia="宋体" w:cs="宋体"/>
          <w:color w:val="auto"/>
          <w:sz w:val="24"/>
          <w:szCs w:val="24"/>
        </w:rPr>
        <w:t>9．施工安全、治安保卫和环境保护</w:t>
      </w:r>
      <w:bookmarkEnd w:id="73"/>
      <w:bookmarkEnd w:id="74"/>
      <w:bookmarkEnd w:id="75"/>
      <w:bookmarkEnd w:id="76"/>
      <w:bookmarkEnd w:id="77"/>
    </w:p>
    <w:p w14:paraId="76111BE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9.1 发包人的施工安全责任</w:t>
      </w:r>
    </w:p>
    <w:p w14:paraId="740F06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9.1.1 发包人应按合同约定履行安全职责，授权监理人按合同约定的安全工作内容监督、检查承包人安全工作的实施，组织承包人和有关单位进行安全检查。</w:t>
      </w:r>
    </w:p>
    <w:p w14:paraId="0941D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9.1.2 发包人应对其现场机构雇佣的全部人员的工伤事故承担责任，但由于承包人原因造成发包人人员工伤的，应由承包人承担责任。</w:t>
      </w:r>
    </w:p>
    <w:p w14:paraId="75970D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9.1.3 发包人应负责赔偿以下各种情况造成的第三者人身伤亡和财产损失：</w:t>
      </w:r>
    </w:p>
    <w:p w14:paraId="2C84FF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(l）工程或工程的任何部分对土地的占用所造成的第三者财产损失；</w:t>
      </w:r>
    </w:p>
    <w:p w14:paraId="6FDC78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14:paraId="34F7995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9.2 承包人的施工安全责任</w:t>
      </w:r>
    </w:p>
    <w:p w14:paraId="04F67F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9.2.1 承包人应按合同约定履行安全职责，执行监理人有关安全工作的指示，并在专用合同条款约定的期限内，按合同约定的安全工作内容，编制施工安全措施计划报送监理人审批。</w:t>
      </w:r>
    </w:p>
    <w:p w14:paraId="655D5D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9.2.2 承包人应加强施工作业安全管理，特别应加强易燃、易爆材料、火工器材、有毒与腐蚀性材料和其他危险品的管理，以及对爆破作业和地下工程施工等危险作业的管理。</w:t>
      </w:r>
    </w:p>
    <w:p w14:paraId="24FD3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9.2.3 承包人应严格按照国家安全标准制定施工安全操作规程，配备必要的安全生产和劳动保护设施，加强对承包人人员的安全教育，并发放安全工作手册和劳动保护用具。</w:t>
      </w:r>
    </w:p>
    <w:p w14:paraId="7DBB7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9.2.4 承包人应按监理人的指示制定应对灾害的紧急预案，报送监理人审批。承包人还应按预案做好安全检查，配置必要的救助物资和器材，切实保护好有关人员的人身和财产安全。</w:t>
      </w:r>
    </w:p>
    <w:p w14:paraId="500F7D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12B6CB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9.2.6 承包人应对其履行合同所雇佣的全部人员，包括分包人人员的工伤事故承担责任，但由于发包人原因造成承包人人员工伤事故的，应由发包人承担责任。</w:t>
      </w:r>
    </w:p>
    <w:p w14:paraId="368C87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9.2.7 由于承包人原因在施工场地内及其毗邻地带造成的第三者人员伤亡和财产损失，由承包人负责赔偿。</w:t>
      </w:r>
    </w:p>
    <w:p w14:paraId="3DA172B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9.3 治安保卫</w:t>
      </w:r>
    </w:p>
    <w:p w14:paraId="035EE0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9.3.1 除合同另有约定外，发包人应与当地公安部门协商，在现场建立治安管理机构或联防组织，统一管理施工场地的治安保卫事项，履行合同工程的治安保卫职责。</w:t>
      </w:r>
    </w:p>
    <w:p w14:paraId="4EEC3A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9.3.2 发包人和承包人除应协助现场治安管理机构或联防组织维护施工场地的社会治安外，还应做好包括生活区在内的各自管辖区的治安保卫工作。</w:t>
      </w:r>
    </w:p>
    <w:p w14:paraId="1A1E92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89C0AF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9.4 环境保护</w:t>
      </w:r>
    </w:p>
    <w:p w14:paraId="3C5EF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9.4.1 承包人在施工过程中，应遵守有关环境保护的法律，履行合同约定的环境保护义务，并对违反法律和合同约定义务所造成的环境破坏、人身伤害和财产损失负责。</w:t>
      </w:r>
    </w:p>
    <w:p w14:paraId="5E30C0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9.4.2 承包人应按合同约定的环保工作内容，编制施工环保措施计划，报送监理人审批。</w:t>
      </w:r>
    </w:p>
    <w:p w14:paraId="709FF8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1E68B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9.4.4 承包人应按合同约定采取有效措施，对施工开挖的边坡及时进行支护，维护排水设施，并进行水土保护，避免因施工造成的地质灾害。</w:t>
      </w:r>
    </w:p>
    <w:p w14:paraId="3A208E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9.4.5 承包人应按国家饮用水管理标准定期对饮用水源进行监测，防止施工活动污染饮用水源。</w:t>
      </w:r>
    </w:p>
    <w:p w14:paraId="568CB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9.4.6 承包人应按合同约定，加强对噪声、粉尘、废气、废水和废油的控制，努力降低噪声，控制粉尘和废气浓度，做好废水和废油的治理和排放。</w:t>
      </w:r>
    </w:p>
    <w:p w14:paraId="53696A4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9.5 事故处理</w:t>
      </w:r>
    </w:p>
    <w:p w14:paraId="1D68E3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1131C72">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78" w:name="_Toc196637422"/>
      <w:bookmarkStart w:id="79" w:name="_Toc196637658"/>
      <w:bookmarkStart w:id="80" w:name="_Toc184635107"/>
      <w:bookmarkStart w:id="81" w:name="_Toc196637776"/>
      <w:bookmarkStart w:id="82" w:name="_Toc224699384"/>
      <w:r>
        <w:rPr>
          <w:rFonts w:hint="eastAsia" w:ascii="宋体" w:hAnsi="宋体" w:eastAsia="宋体" w:cs="宋体"/>
          <w:color w:val="auto"/>
          <w:sz w:val="24"/>
          <w:szCs w:val="24"/>
        </w:rPr>
        <w:t>10．进度计划</w:t>
      </w:r>
      <w:bookmarkEnd w:id="78"/>
      <w:bookmarkEnd w:id="79"/>
      <w:bookmarkEnd w:id="80"/>
      <w:bookmarkEnd w:id="81"/>
      <w:bookmarkEnd w:id="82"/>
    </w:p>
    <w:p w14:paraId="7CA23C2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10.1 合同进度计划</w:t>
      </w:r>
    </w:p>
    <w:p w14:paraId="0DC84C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2BA83C1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10.2 合同进度计划的修订</w:t>
      </w:r>
    </w:p>
    <w:p w14:paraId="044AF4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440247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83" w:name="_Toc184635108"/>
      <w:bookmarkStart w:id="84" w:name="_Toc224699385"/>
      <w:bookmarkStart w:id="85" w:name="_Toc196637659"/>
      <w:bookmarkStart w:id="86" w:name="_Toc196637777"/>
      <w:bookmarkStart w:id="87" w:name="_Toc196637423"/>
      <w:r>
        <w:rPr>
          <w:rFonts w:hint="eastAsia" w:ascii="宋体" w:hAnsi="宋体" w:eastAsia="宋体" w:cs="宋体"/>
          <w:color w:val="auto"/>
          <w:sz w:val="24"/>
          <w:szCs w:val="24"/>
        </w:rPr>
        <w:t>11、开工和竣工</w:t>
      </w:r>
      <w:bookmarkEnd w:id="83"/>
      <w:bookmarkEnd w:id="84"/>
      <w:bookmarkEnd w:id="85"/>
      <w:bookmarkEnd w:id="86"/>
      <w:bookmarkEnd w:id="87"/>
    </w:p>
    <w:p w14:paraId="3505EE1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11.1 开工</w:t>
      </w:r>
    </w:p>
    <w:p w14:paraId="19DB77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11.1.1 监理人应在开工日期7 天前向承包人发出开工通知。监理人在发出开工通知前应获得发包人同意。工期自监理人发出的开工通知中载明的开工日期起计算。承包人应在开工日期后尽快施工。</w:t>
      </w:r>
    </w:p>
    <w:p w14:paraId="3CECB3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EE0DD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 竣工</w:t>
      </w:r>
    </w:p>
    <w:p w14:paraId="60679B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承包人应在第1.1.4.3 目约定的期限内完成合同工程。实际竣工日期在接收证书中写明。</w:t>
      </w:r>
    </w:p>
    <w:p w14:paraId="51A6DA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11.3 发包人的工期延误</w:t>
      </w:r>
    </w:p>
    <w:p w14:paraId="679E8C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在履行合同过程中，由于发包人的下列原因造成工期延误的，承包人有权要求发包人延长工期和（或）增加费用，并支付合理利润。需要修订合同进度计划的，按照第10.2 款的约定办理。</w:t>
      </w:r>
    </w:p>
    <w:p w14:paraId="6663DF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(l）增加合同工作内容；</w:t>
      </w:r>
    </w:p>
    <w:p w14:paraId="434A8F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(2）改变合同中任何一项工作的质量要求或其他特性；</w:t>
      </w:r>
    </w:p>
    <w:p w14:paraId="3ABE04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(3）发包人迟延提供材料、工程设备或变更交货地点的；</w:t>
      </w:r>
    </w:p>
    <w:p w14:paraId="1EC098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(4）因发包人原因导致的暂停施工；</w:t>
      </w:r>
    </w:p>
    <w:p w14:paraId="6B44FE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(5）提供图纸延误；</w:t>
      </w:r>
    </w:p>
    <w:p w14:paraId="6AC072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(6）未按合同约定及时支付预付款、进度款；</w:t>
      </w:r>
    </w:p>
    <w:p w14:paraId="5B7FF2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(7）发包人造成工期延误的其他原因。</w:t>
      </w:r>
    </w:p>
    <w:p w14:paraId="245CBDF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11.4 异常恶劣的气候条件</w:t>
      </w:r>
    </w:p>
    <w:p w14:paraId="254352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由于出现专用合同条款规定的异常恶劣气候的条件导致工期延误的，承包人有权要求发包人延长工期。</w:t>
      </w:r>
    </w:p>
    <w:p w14:paraId="64393B9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11.5 承包人的工期延误</w:t>
      </w:r>
    </w:p>
    <w:p w14:paraId="6D35EE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0E003CC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11.6 工期提前</w:t>
      </w:r>
    </w:p>
    <w:p w14:paraId="496A97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08F82E9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88" w:name="_Toc196637424"/>
      <w:bookmarkStart w:id="89" w:name="_Toc196637660"/>
      <w:bookmarkStart w:id="90" w:name="_Toc196637778"/>
      <w:bookmarkStart w:id="91" w:name="_Toc184635109"/>
      <w:bookmarkStart w:id="92" w:name="_Toc224699386"/>
      <w:r>
        <w:rPr>
          <w:rFonts w:hint="eastAsia" w:ascii="宋体" w:hAnsi="宋体" w:eastAsia="宋体" w:cs="宋体"/>
          <w:color w:val="auto"/>
          <w:sz w:val="24"/>
          <w:szCs w:val="24"/>
        </w:rPr>
        <w:t>12．暂停施工</w:t>
      </w:r>
      <w:bookmarkEnd w:id="88"/>
      <w:bookmarkEnd w:id="89"/>
      <w:bookmarkEnd w:id="90"/>
      <w:bookmarkEnd w:id="91"/>
      <w:bookmarkEnd w:id="92"/>
    </w:p>
    <w:p w14:paraId="071D4BE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12.1 承包人暂停施工的责任</w:t>
      </w:r>
    </w:p>
    <w:p w14:paraId="0D8FDD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因下列暂停施工增加的费用和（或）工期延误由承包人承担：</w:t>
      </w:r>
    </w:p>
    <w:p w14:paraId="56C162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(1）承包人违约引起的暂停施工；</w:t>
      </w:r>
    </w:p>
    <w:p w14:paraId="544539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(2）由于承包人原因为工程合理施工和安全保障所必需的暂停施工；</w:t>
      </w:r>
    </w:p>
    <w:p w14:paraId="5E251F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(3）承包人擅自暂停施工；</w:t>
      </w:r>
    </w:p>
    <w:p w14:paraId="5764FE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(4）承包人其他原因引起的暂停施工；</w:t>
      </w:r>
    </w:p>
    <w:p w14:paraId="04EC6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(5）专用合同条款约定由承包人承担的其他暂停施工。</w:t>
      </w:r>
    </w:p>
    <w:p w14:paraId="4E30E8D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12.2 发包人暂停施工的责任</w:t>
      </w:r>
    </w:p>
    <w:p w14:paraId="3F3AED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由于发包人原因引起的暂停施工造成工期延误的，承包人有权要求发包人延长工期和（或）增加费用，并支付合理利润。</w:t>
      </w:r>
    </w:p>
    <w:p w14:paraId="2240B8A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12.3 监理人暂停施工指示</w:t>
      </w:r>
    </w:p>
    <w:p w14:paraId="5C19E7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12.3.1 监理人认为有必要时，可向承包人作出暂停施工的指示，承包人应按监理人指示暂停施工。不论由于何种原因引起的暂停施工，暂停施工期间承包人应负责妥善保护工程并提供安全保障。</w:t>
      </w:r>
    </w:p>
    <w:p w14:paraId="60F086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A31879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12.4 暂停施工后的复工</w:t>
      </w:r>
    </w:p>
    <w:p w14:paraId="712507D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5FCDA3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12.4.2 承包人无故拖延和拒绝复工的，由此增加的费用和工期延误由承包人承担；因发包人原因无法按时复工的，承包人有权要求发包人延长工期和（或）增加费用，并支付合理利润。</w:t>
      </w:r>
    </w:p>
    <w:p w14:paraId="1305771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12.5 暂停施工持续56 天以上</w:t>
      </w:r>
    </w:p>
    <w:p w14:paraId="2D196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72F3C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12.5.2 由于承包人责任引起的暂停施工，如承包人在收到监理人暂停施工指示后56 天内不认真采取有效的复工措施，造成工期延误，可视为承包人违约，应按第22.1 款的规定办理。</w:t>
      </w:r>
    </w:p>
    <w:p w14:paraId="471156B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93" w:name="_Toc196637425"/>
      <w:bookmarkStart w:id="94" w:name="_Toc196637779"/>
      <w:bookmarkStart w:id="95" w:name="_Toc224699387"/>
      <w:bookmarkStart w:id="96" w:name="_Toc196637661"/>
      <w:bookmarkStart w:id="97" w:name="_Toc184635110"/>
      <w:r>
        <w:rPr>
          <w:rFonts w:hint="eastAsia" w:ascii="宋体" w:hAnsi="宋体" w:eastAsia="宋体" w:cs="宋体"/>
          <w:color w:val="auto"/>
          <w:sz w:val="24"/>
          <w:szCs w:val="24"/>
        </w:rPr>
        <w:t>13．工程质量</w:t>
      </w:r>
      <w:bookmarkEnd w:id="93"/>
      <w:bookmarkEnd w:id="94"/>
      <w:bookmarkEnd w:id="95"/>
      <w:bookmarkEnd w:id="96"/>
      <w:bookmarkEnd w:id="97"/>
    </w:p>
    <w:p w14:paraId="421511A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13.1 工程质量要求</w:t>
      </w:r>
    </w:p>
    <w:p w14:paraId="060BE4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13.1.1 工程质量验收按合同约定验收标准执行。</w:t>
      </w:r>
    </w:p>
    <w:p w14:paraId="4693AA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13.1.2 因承包人原因造成工程质量达不到合同约定验收标准的，监理人有权要求承包人返工直至符合合同要求为止，由此造成的费用增加和（或）工期延误由承包人承担。</w:t>
      </w:r>
    </w:p>
    <w:p w14:paraId="41477D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13.1.3 因发包人原因造成工程质量达不到合同约定验收标准的，发包人应承担由于承包人返工造成的费用增加和（或）工期延误，并支付承包人合理利润。</w:t>
      </w:r>
    </w:p>
    <w:p w14:paraId="2100E6A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13.2 承包人的质量管理</w:t>
      </w:r>
    </w:p>
    <w:p w14:paraId="44A889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8B014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13.2.2 承包人应加强对施工人员的质量教育和技术培训，定期考核施工人员的劳动技能，严格执行规范和操作规程。</w:t>
      </w:r>
    </w:p>
    <w:p w14:paraId="5234A07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13.3 承包人的质量检查</w:t>
      </w:r>
    </w:p>
    <w:p w14:paraId="5380A7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承包人应按合同约定对材料、工程设备以及工程的所有部位及其施工工艺进行全过程的质量检查和检验，并作详细记录，编制工程质量报表，报送监理人审查。</w:t>
      </w:r>
    </w:p>
    <w:p w14:paraId="7D57381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13.4 监理人的质量检查</w:t>
      </w:r>
    </w:p>
    <w:p w14:paraId="133CA2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04BC58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13.5 工程隐蔽部位覆盖前的检查</w:t>
      </w:r>
    </w:p>
    <w:p w14:paraId="677C0F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13.5.1 通知监理人检查</w:t>
      </w:r>
    </w:p>
    <w:p w14:paraId="2FD9DA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2AE69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13.5.2 监理人未到场检查</w:t>
      </w:r>
    </w:p>
    <w:p w14:paraId="6189D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监理人未按第13.5.l 项约定的时间进行检查的，除监理人另有指示外，承包人可自行完成覆盖工作，并作相应记录报送监理人，监理人应签字确认。监理人事后对检查记录有疑问的，可按第 13.5.3 项的约定重新检查。</w:t>
      </w:r>
    </w:p>
    <w:p w14:paraId="41E45B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13.5.3 监理人重新检查</w:t>
      </w:r>
    </w:p>
    <w:p w14:paraId="2DFB86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DC07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13.5.4 承包人私自覆盖</w:t>
      </w:r>
    </w:p>
    <w:p w14:paraId="55DF7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承包人未通知监理人到场检查，私自将工程隐蔽部位覆盖的，监理人有权指示承包人钻孔探测或揭开检查，由此增加的费用和（或）工期延误由承包人承担。</w:t>
      </w:r>
    </w:p>
    <w:p w14:paraId="7B498D4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13.6 清除不合格工程</w:t>
      </w:r>
    </w:p>
    <w:p w14:paraId="48C89F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D012D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13.6.2 由于发包人提供的材料或工程设备不合格造成的工程不合格，需要承包人采取措施补救的，发包人应承担由此增加的费用和（或）工期延误，并支付承包人合理利润。</w:t>
      </w:r>
    </w:p>
    <w:p w14:paraId="3439668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98" w:name="_Toc196637426"/>
      <w:bookmarkStart w:id="99" w:name="_Toc224699388"/>
      <w:bookmarkStart w:id="100" w:name="_Toc184635111"/>
      <w:bookmarkStart w:id="101" w:name="_Toc196637780"/>
      <w:bookmarkStart w:id="102" w:name="_Toc196637662"/>
      <w:r>
        <w:rPr>
          <w:rFonts w:hint="eastAsia" w:ascii="宋体" w:hAnsi="宋体" w:eastAsia="宋体" w:cs="宋体"/>
          <w:color w:val="auto"/>
          <w:sz w:val="24"/>
          <w:szCs w:val="24"/>
        </w:rPr>
        <w:t>14．试验和检验</w:t>
      </w:r>
      <w:bookmarkEnd w:id="98"/>
      <w:bookmarkEnd w:id="99"/>
      <w:bookmarkEnd w:id="100"/>
      <w:bookmarkEnd w:id="101"/>
      <w:bookmarkEnd w:id="102"/>
    </w:p>
    <w:p w14:paraId="4036283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14.1 材料、工程设备和工程的试验和检验</w:t>
      </w:r>
    </w:p>
    <w:p w14:paraId="269C57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677C2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14.1.2 监理人未按合同约定派员参加试验和检验的，除监理人另有指示外，承包人可自行试验和检验，并应立即将试验和检验结果报送监理人，监理人应签字确认。</w:t>
      </w:r>
    </w:p>
    <w:p w14:paraId="7C63B2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9DDCBD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14.2 现场材料试验</w:t>
      </w:r>
    </w:p>
    <w:p w14:paraId="1E5120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14.2.1 承包人根据合同约定或监理人指示进行的现场材料试验，应由承包人提供试验场所、试验人员、试验设备器材以及其他必要的试验条件。</w:t>
      </w:r>
    </w:p>
    <w:p w14:paraId="23BC92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14.2.2 监理人在必要时可以使用承包人的试验场所、试验设备器材以及其他试验条件，进行以工程质量检查为目的的复核性材料试验，承包人应予以协助。</w:t>
      </w:r>
    </w:p>
    <w:p w14:paraId="6456E89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14.3 现场工艺试验</w:t>
      </w:r>
    </w:p>
    <w:p w14:paraId="51E0E8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4B01C75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03" w:name="_Toc224699389"/>
      <w:bookmarkStart w:id="104" w:name="_Toc196637663"/>
      <w:bookmarkStart w:id="105" w:name="_Toc196637427"/>
      <w:bookmarkStart w:id="106" w:name="_Toc196637781"/>
      <w:bookmarkStart w:id="107" w:name="_Toc184635112"/>
      <w:r>
        <w:rPr>
          <w:rFonts w:hint="eastAsia" w:ascii="宋体" w:hAnsi="宋体" w:eastAsia="宋体" w:cs="宋体"/>
          <w:color w:val="auto"/>
          <w:sz w:val="24"/>
          <w:szCs w:val="24"/>
        </w:rPr>
        <w:t>15．变更</w:t>
      </w:r>
      <w:bookmarkEnd w:id="103"/>
      <w:bookmarkEnd w:id="104"/>
      <w:bookmarkEnd w:id="105"/>
      <w:bookmarkEnd w:id="106"/>
      <w:bookmarkEnd w:id="107"/>
    </w:p>
    <w:p w14:paraId="737697B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15.1 变更的范围和内容</w:t>
      </w:r>
    </w:p>
    <w:p w14:paraId="673171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除专用合同条款另有约定外，在履行合同中发生以下情形之一，应按照本条规定进行变更。</w:t>
      </w:r>
    </w:p>
    <w:p w14:paraId="5C5B06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(1）取消合同中任何一项工作，但被取消的工作不能转由发包人或其他人实施；</w:t>
      </w:r>
    </w:p>
    <w:p w14:paraId="2E181C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(2）改变合同中任何一项工作的质量或其他特性；</w:t>
      </w:r>
    </w:p>
    <w:p w14:paraId="24FA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(3）改变合同工程的基线、标高、位置或尺寸；</w:t>
      </w:r>
    </w:p>
    <w:p w14:paraId="2DA4F1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(4）改变合同中任何一项工作的施工时间或改变已批准的施工工艺或顺序；</w:t>
      </w:r>
    </w:p>
    <w:p w14:paraId="637D6A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(5）为完成工程需要追加的额外工作。</w:t>
      </w:r>
    </w:p>
    <w:p w14:paraId="271D19E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15.2 变更权</w:t>
      </w:r>
    </w:p>
    <w:p w14:paraId="6AB00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在履行合同过程中，经发包人同意，监理人可按第15.3 款约定的变更程序向承包人作出变更指示，承包人应遵照执行。没有监理人的变更指示，承包人不得擅自变更。</w:t>
      </w:r>
    </w:p>
    <w:p w14:paraId="01102D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15.3 变更程序</w:t>
      </w:r>
    </w:p>
    <w:p w14:paraId="4D0C66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15.3.1变更的提出</w:t>
      </w:r>
    </w:p>
    <w:p w14:paraId="13E3EF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3BB0B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(2）在合同履行过程中，发生第15.1 款约定情形的，监理人应按照第15.3.3 项约定向承包人发出变更指示。</w:t>
      </w:r>
    </w:p>
    <w:p w14:paraId="28554D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515316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14:paraId="1AA8CB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15.3.2 变更估价</w:t>
      </w:r>
    </w:p>
    <w:p w14:paraId="71941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37D567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(2）变更工作影响工期的，承包人应提出调整工期的具体细节。监理人认为有必要时，可要求承包人提交要求提前或延长工期的施工进度计划及相应施工措施等详细资料。</w:t>
      </w:r>
    </w:p>
    <w:p w14:paraId="783BAC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(3）除专用合同条款对期限另有约定外，监理人收到承包人变更报价书后的14 天内，根据第15.4 款约定的估价原则，按照第3.5 款商定或确定变更价格。</w:t>
      </w:r>
    </w:p>
    <w:p w14:paraId="577B57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15.3.3 变更指示</w:t>
      </w:r>
    </w:p>
    <w:p w14:paraId="4078CD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(l）变更指示只能由监理人发出。</w:t>
      </w:r>
    </w:p>
    <w:p w14:paraId="2D6595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(2）变更指示应说明变更的目的、范围、变更内容以及变更的工程量及其进度和技术要求，并附有关图纸和文件。承包人收到变更指示后，应按变更指示进行变更工作。</w:t>
      </w:r>
    </w:p>
    <w:p w14:paraId="246B836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15.4 变更的估价原则</w:t>
      </w:r>
    </w:p>
    <w:p w14:paraId="50F570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CF4918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15.5 承包人的合理化建议</w:t>
      </w:r>
    </w:p>
    <w:p w14:paraId="0EDA2D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2C4F2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15.5.2 承包人提出的合理化建议降低了合同价格、缩短了工期或者提高了工程经济效益的，发包人可按国家有关规定在专用合同条款中约定给予奖励。</w:t>
      </w:r>
    </w:p>
    <w:p w14:paraId="49EDC90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15.6 暂列金额</w:t>
      </w:r>
    </w:p>
    <w:p w14:paraId="2687C8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本条不适用于本工程。</w:t>
      </w:r>
    </w:p>
    <w:p w14:paraId="5C0CA6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15.7 计日工</w:t>
      </w:r>
    </w:p>
    <w:p w14:paraId="4B6957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本条不适用于本工程。</w:t>
      </w:r>
    </w:p>
    <w:p w14:paraId="52D3608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15.8 暂估价</w:t>
      </w:r>
    </w:p>
    <w:p w14:paraId="1CFECD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15.8.1 发包人给定暂估价的材料、工程设备属于依法必须招标的范围并达到规定的规模标准的，由发包人和承包人以招标的方式选择供应商或分包人。发包人和承包人的权利义务关系在专用合同条款中约定。中标金额与暂估价的金额差以及相应的税金等其他费用列入合同价格。</w:t>
      </w:r>
    </w:p>
    <w:p w14:paraId="433151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15.8.2 发包人给定暂估价的材料和工程设备不属于依法必须招标的范围或未达到规定的规模标准的，应由承包人按第5.1 款的约定提供。经监理人确认的材料、工程设备的价格与暂估价的金额差以及相应的税金等其他费用列入合同价格。</w:t>
      </w:r>
    </w:p>
    <w:p w14:paraId="53FAEE3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08" w:name="_Toc196637428"/>
      <w:bookmarkStart w:id="109" w:name="_Toc224699390"/>
      <w:bookmarkStart w:id="110" w:name="_Toc184635113"/>
      <w:bookmarkStart w:id="111" w:name="_Toc196637664"/>
      <w:bookmarkStart w:id="112" w:name="_Toc196637782"/>
      <w:r>
        <w:rPr>
          <w:rFonts w:hint="eastAsia" w:ascii="宋体" w:hAnsi="宋体" w:eastAsia="宋体" w:cs="宋体"/>
          <w:color w:val="auto"/>
          <w:sz w:val="24"/>
          <w:szCs w:val="24"/>
        </w:rPr>
        <w:t>16．价格调整</w:t>
      </w:r>
      <w:bookmarkEnd w:id="108"/>
      <w:bookmarkEnd w:id="109"/>
      <w:bookmarkEnd w:id="110"/>
      <w:bookmarkEnd w:id="111"/>
      <w:bookmarkEnd w:id="112"/>
    </w:p>
    <w:p w14:paraId="2A62618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16.1 物价波动引起的价格调整</w:t>
      </w:r>
    </w:p>
    <w:p w14:paraId="61C6C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72DF77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16.2 法律变化引起的价格调整</w:t>
      </w:r>
    </w:p>
    <w:p w14:paraId="08F868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68B23A4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13" w:name="_Toc196637429"/>
      <w:bookmarkStart w:id="114" w:name="_Toc196637783"/>
      <w:bookmarkStart w:id="115" w:name="_Toc196637665"/>
      <w:bookmarkStart w:id="116" w:name="_Toc184635114"/>
      <w:bookmarkStart w:id="117" w:name="_Toc224699391"/>
      <w:r>
        <w:rPr>
          <w:rFonts w:hint="eastAsia" w:ascii="宋体" w:hAnsi="宋体" w:eastAsia="宋体" w:cs="宋体"/>
          <w:color w:val="auto"/>
          <w:sz w:val="24"/>
          <w:szCs w:val="24"/>
        </w:rPr>
        <w:t>17．计量与支付</w:t>
      </w:r>
      <w:bookmarkEnd w:id="113"/>
      <w:bookmarkEnd w:id="114"/>
      <w:bookmarkEnd w:id="115"/>
      <w:bookmarkEnd w:id="116"/>
      <w:bookmarkEnd w:id="117"/>
    </w:p>
    <w:p w14:paraId="0D02415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17.1 计量</w:t>
      </w:r>
    </w:p>
    <w:p w14:paraId="74D1AF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在专用条款中约定。</w:t>
      </w:r>
    </w:p>
    <w:p w14:paraId="13EDF57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17.2 预付款</w:t>
      </w:r>
    </w:p>
    <w:p w14:paraId="2BDD95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17.2.1 预付款</w:t>
      </w:r>
    </w:p>
    <w:p w14:paraId="6120A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39911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17.2.2 预付款保函</w:t>
      </w:r>
    </w:p>
    <w:p w14:paraId="0732EB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149B74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17.2.3 预付款的扣回与还清</w:t>
      </w:r>
    </w:p>
    <w:p w14:paraId="57959A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27F541D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17.3 工程进度付款</w:t>
      </w:r>
    </w:p>
    <w:p w14:paraId="4B5C0E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17.3.1 付款周期</w:t>
      </w:r>
    </w:p>
    <w:p w14:paraId="4296DC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付款周期同计量周期。</w:t>
      </w:r>
    </w:p>
    <w:p w14:paraId="57E2E6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17.3.2 进度付款申请单</w:t>
      </w:r>
    </w:p>
    <w:p w14:paraId="4E5646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7F7E1A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(l）截至本次付款周期末已实施工程的价款；</w:t>
      </w:r>
    </w:p>
    <w:p w14:paraId="11DB15D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(2）根据第15条应增加和扣减的变更金额；</w:t>
      </w:r>
    </w:p>
    <w:p w14:paraId="7C47CD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(3）根据第23 条应增加和扣减的索赔金额；</w:t>
      </w:r>
    </w:p>
    <w:p w14:paraId="72BB60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(4）根据第17.2 款约定应支付的预付款和扣减的返还预付款；</w:t>
      </w:r>
    </w:p>
    <w:p w14:paraId="362BE0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(5）根据第17.4.1 项约定应扣减的质量保证金；</w:t>
      </w:r>
    </w:p>
    <w:p w14:paraId="3E177E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(6）根据合同应增加和扣减的其他金额。</w:t>
      </w:r>
    </w:p>
    <w:p w14:paraId="148C5D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17.3.3 进度付款证书和支付时间</w:t>
      </w:r>
    </w:p>
    <w:p w14:paraId="6C9BC2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B18F2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(2）发包人应在监理人收到进度付款申请单后的28 天内，将进度应付款支付给承包人。发包人不按期支付的，按专用合同条款的约定支付逾期付款违约金。</w:t>
      </w:r>
    </w:p>
    <w:p w14:paraId="4AB273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(3）监理人出具进度付款证书，不应视为监理人已同意、批准或接受了承包人完成的该部分工作。</w:t>
      </w:r>
    </w:p>
    <w:p w14:paraId="0E84B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(4）进度付款涉及政府投资资金的，按照国库集中支付等国家相关规定和专用合同条款的约定办理。</w:t>
      </w:r>
    </w:p>
    <w:p w14:paraId="27D5D1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17.3.4 工程进度付款的修正</w:t>
      </w:r>
    </w:p>
    <w:p w14:paraId="5FA43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4A4FB6F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17.4 质量保证金</w:t>
      </w:r>
    </w:p>
    <w:p w14:paraId="6AD7D8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081BBC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FD586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71A7E02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17.5 竣工结算</w:t>
      </w:r>
    </w:p>
    <w:p w14:paraId="66AC6E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17.5.1 竣工付款申请单</w:t>
      </w:r>
    </w:p>
    <w:p w14:paraId="451B33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55521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(2）监理人对竣工付款申请单有异议的，有权要求承包人进行修正和提供补充资料。经监理人和承包人协商后，由承包人向监理人提交修正后的竣工付款申请单。</w:t>
      </w:r>
    </w:p>
    <w:p w14:paraId="3DE05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17.5.2 竣工付款证书及支付时间</w:t>
      </w:r>
    </w:p>
    <w:p w14:paraId="2F8146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DE197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(2）发包人应在监理人出具竣工付款证书后的14 天内，将应支付款支付给承包人。发包人不按期支付的，按第17.3.3(2）目的约定，将逾期付款违约金支付给承包人。</w:t>
      </w:r>
    </w:p>
    <w:p w14:paraId="364DD4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(3）承包人对发包人签认的竣工付款证书有异议的，发包人可出具竣工付款申请单中承包人已同意部分的临时付款证书。存在争议的部分，按第24条的约定办理。</w:t>
      </w:r>
    </w:p>
    <w:p w14:paraId="367ED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(4）竣工付款涉及政府投资资金的，按第17.3.3(4）目的约定办理。</w:t>
      </w:r>
    </w:p>
    <w:p w14:paraId="750E23A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17.6 最终结清</w:t>
      </w:r>
    </w:p>
    <w:p w14:paraId="285917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17.6.1 最终结清申请单</w:t>
      </w:r>
    </w:p>
    <w:p w14:paraId="3E914C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(1）缺陷责任期终止证书签发后，承包人可按专用合同条款约定的份数和期限向监理人提交最终结清申请单，并提供相关证明材料。</w:t>
      </w:r>
    </w:p>
    <w:p w14:paraId="3C83C7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(2）发包人对最终结清申请单内容有异议的，有权要求承包人进行修正和提供补充资料，由承包人向监理人提交修正后的最终结清申请单。</w:t>
      </w:r>
    </w:p>
    <w:p w14:paraId="45E38D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17.6.2 最终结清证书和支付时间</w:t>
      </w:r>
    </w:p>
    <w:p w14:paraId="443E5E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995D2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(2）发包人应在监理人出具最终结清证书后的14 天内，将应支付款支付给承包人。</w:t>
      </w:r>
    </w:p>
    <w:p w14:paraId="56C7D6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发包人不按期支付的，按第17.3.3(2）目的约定，将逾期付款违约金支付给承包人。</w:t>
      </w:r>
    </w:p>
    <w:p w14:paraId="7516B2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(3）承包人对发包人签认的最终结清证书有异议的，按第24条的约定办理。</w:t>
      </w:r>
    </w:p>
    <w:p w14:paraId="5E99FE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(4）最终结清付款涉及政府投资资金的，按第17.3.3(4）目的约定办理。</w:t>
      </w:r>
    </w:p>
    <w:p w14:paraId="19C6203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18" w:name="_Toc196637666"/>
      <w:bookmarkStart w:id="119" w:name="_Toc184635115"/>
      <w:bookmarkStart w:id="120" w:name="_Toc224699392"/>
      <w:bookmarkStart w:id="121" w:name="_Toc196637430"/>
      <w:bookmarkStart w:id="122" w:name="_Toc196637784"/>
      <w:r>
        <w:rPr>
          <w:rFonts w:hint="eastAsia" w:ascii="宋体" w:hAnsi="宋体" w:eastAsia="宋体" w:cs="宋体"/>
          <w:color w:val="auto"/>
          <w:sz w:val="24"/>
          <w:szCs w:val="24"/>
        </w:rPr>
        <w:t>18．竣工验收</w:t>
      </w:r>
      <w:bookmarkEnd w:id="118"/>
      <w:bookmarkEnd w:id="119"/>
      <w:bookmarkEnd w:id="120"/>
      <w:bookmarkEnd w:id="121"/>
      <w:bookmarkEnd w:id="122"/>
    </w:p>
    <w:p w14:paraId="7728B51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18.1 竣工验收的含义</w:t>
      </w:r>
    </w:p>
    <w:p w14:paraId="796E2C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18.1.1 竣工验收指承包人完成了全部合同工作后，发包人按合同要求进行的验收。</w:t>
      </w:r>
    </w:p>
    <w:p w14:paraId="3936706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18.1.2 国家验收是政府有关部门根据法律、规范、规程和政策要求，针对发包人全面组织实施的整个工程正式交付投运前的验收。</w:t>
      </w:r>
    </w:p>
    <w:p w14:paraId="24B5AD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18.1.3 需要进行国家验收的，竣工验收是国家验收的一部分。竣工验收所采用的各项验收和评定标准应符合国家验收标准。发包人和承包人为竣工验收提供的各项竣工验收资料应符合国家验收的要求。</w:t>
      </w:r>
    </w:p>
    <w:p w14:paraId="514B614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18.2 竣工验收申请报告</w:t>
      </w:r>
    </w:p>
    <w:p w14:paraId="6A114F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当工程具备以下条件时，承包人即可向监理人报送竣工验收申请报告：</w:t>
      </w:r>
    </w:p>
    <w:p w14:paraId="091DCE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0E557F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(2）已按合同约定的内容和份数备齐了符合要求的竣工资料；</w:t>
      </w:r>
    </w:p>
    <w:p w14:paraId="7DDE47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(3）已按监理人的要求编制了在缺陷责任期内完成的尾工（甩项）工程和缺陷修补工作清单以及相应施工计划；</w:t>
      </w:r>
    </w:p>
    <w:p w14:paraId="764D29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(4）监理人要求在竣工验收前应完成的其他工作：</w:t>
      </w:r>
    </w:p>
    <w:p w14:paraId="03F37F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(5）监理人要求提交的竣工验收资料清单。</w:t>
      </w:r>
    </w:p>
    <w:p w14:paraId="29FCECC1">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18.3 验收</w:t>
      </w:r>
    </w:p>
    <w:p w14:paraId="38BF55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监理人收到承包人按第18.2 款约定提交的竣工验收申请报告后，应审查申请报告的各项内容，并按以下不同情况进行处理。</w:t>
      </w:r>
    </w:p>
    <w:p w14:paraId="512453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69E5D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18.3.2 监理人审查后认为已具备竣工验收条件的，应在收到竣工验收申请报告后的28天内提请发包人进行工程验收。</w:t>
      </w:r>
    </w:p>
    <w:p w14:paraId="327155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2AC95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36BBC3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18.3.5 除专用合同条款另有约定外，经验收合格工程的实际竣工日期，以提交竣工验收申请报告的日期为准，并在工程接收证书中写明。</w:t>
      </w:r>
    </w:p>
    <w:p w14:paraId="514C4F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18.3.6 发包人在收到承包人竣工验收申请报告56 天后未进行验收的，视为验收合格，实际竣工日期以提交竣工验收申请报告的日期为准，但发包人由于不可抗力不能进行验收的除外。</w:t>
      </w:r>
    </w:p>
    <w:p w14:paraId="425E089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18.4 单位工程验收</w:t>
      </w:r>
    </w:p>
    <w:p w14:paraId="652D7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上验收申请报告的附件。</w:t>
      </w:r>
    </w:p>
    <w:p w14:paraId="064884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18.4.2 发包人在全部工程竣工前，使用已接收的单位工程导致承包人费用增加的，发包人应承担由此增加的费用和（或）工期延误，并支付承包人合理利润。</w:t>
      </w:r>
    </w:p>
    <w:p w14:paraId="62BB9E6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18.5 施工期运行</w:t>
      </w:r>
    </w:p>
    <w:p w14:paraId="1367A6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14:paraId="12E36D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18.5.2 在施工期运行中发现工程或工程设备损坏或存在缺陷的，由承包人按第19.2 款约定进行修复。</w:t>
      </w:r>
    </w:p>
    <w:p w14:paraId="5AA989E7">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18.6 试运行</w:t>
      </w:r>
    </w:p>
    <w:p w14:paraId="580F3E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18.6.1 除专用合同条款另有约定外，承包人应按专用合同条款约定进行工程及工程设备试运行，负责提供试运行所需的人员、器材和必要的条件，并承担全部试运行费用。</w:t>
      </w:r>
    </w:p>
    <w:p w14:paraId="64C177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7C35F4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18.7 竣工清场</w:t>
      </w:r>
    </w:p>
    <w:p w14:paraId="091290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 除合同另有约定外，工程接收证书颁发后，承包人应按以下要求对施工场地进行清理，直至监理人检验合格为止。竣工清场费用由承包人承担。</w:t>
      </w:r>
    </w:p>
    <w:p w14:paraId="40252C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(1）施工场地内残留的垃圾已全部清除出场；</w:t>
      </w:r>
    </w:p>
    <w:p w14:paraId="61CB79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(2）临时工程已拆除，场地已按合同要求进行清理、平整或复原；</w:t>
      </w:r>
    </w:p>
    <w:p w14:paraId="106BF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(3）按合同约定应撤离的承包人设备和剩余的材料，包括废弃的施工设备和材料，已按计划撤离施工场地；</w:t>
      </w:r>
    </w:p>
    <w:p w14:paraId="155464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(4）工程建筑物周边及其附近道路、河道的施工堆积物，已按监理人指示全部清理；</w:t>
      </w:r>
    </w:p>
    <w:p w14:paraId="38552A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(5）监理人指示的其他场地清理工作已全部完成。</w:t>
      </w:r>
    </w:p>
    <w:p w14:paraId="56F17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18.7.2 承包人未按监理人的要求恢复临时占地，或者场地清理未达到合同约定的，发包人有权委托其他人恢复或清理，所发生的金额从拟支付给承包人的款项中扣除。</w:t>
      </w:r>
    </w:p>
    <w:p w14:paraId="69C9264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18.8 施工队伍的撤离</w:t>
      </w:r>
    </w:p>
    <w:p w14:paraId="7D9FA7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EDE660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23" w:name="_Toc184635116"/>
      <w:bookmarkStart w:id="124" w:name="_Toc196637431"/>
      <w:bookmarkStart w:id="125" w:name="_Toc224699393"/>
      <w:bookmarkStart w:id="126" w:name="_Toc196637785"/>
      <w:bookmarkStart w:id="127" w:name="_Toc196637667"/>
      <w:r>
        <w:rPr>
          <w:rFonts w:hint="eastAsia" w:ascii="宋体" w:hAnsi="宋体" w:eastAsia="宋体" w:cs="宋体"/>
          <w:color w:val="auto"/>
          <w:sz w:val="24"/>
          <w:szCs w:val="24"/>
        </w:rPr>
        <w:t>19、缺陷责任与保修责任</w:t>
      </w:r>
      <w:bookmarkEnd w:id="123"/>
      <w:bookmarkEnd w:id="124"/>
      <w:bookmarkEnd w:id="125"/>
      <w:bookmarkEnd w:id="126"/>
      <w:bookmarkEnd w:id="127"/>
    </w:p>
    <w:p w14:paraId="5AE18AD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19.1 缺陷责任期的起算时间</w:t>
      </w:r>
    </w:p>
    <w:p w14:paraId="77309B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缺陷责任期自实际竣工日期起计算。在全部工程竣工验收前，已经发包人提前验收的单位工程，其缺陷责任期的起算日期相应提前。</w:t>
      </w:r>
    </w:p>
    <w:p w14:paraId="6949316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19.2 缺陷责任</w:t>
      </w:r>
    </w:p>
    <w:p w14:paraId="7D35F3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19.2.1 承包人应在缺陷责任期内对已交付使用的工程承担缺陷责任。</w:t>
      </w:r>
    </w:p>
    <w:p w14:paraId="6F3E21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ACD8C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22AAC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19.2.4 承包人不能在合理时间内修复缺陷的，发包人可自行修复或委托其他人修复，所需费用和利润的承担，按第19.2.3 项约定办理。</w:t>
      </w:r>
    </w:p>
    <w:p w14:paraId="0FD240C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19.3 缺陷责任期的延长</w:t>
      </w:r>
    </w:p>
    <w:p w14:paraId="0D785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75D4189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19.4 进一步试验和试运行</w:t>
      </w:r>
    </w:p>
    <w:p w14:paraId="4B8659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任何一项缺陷或损坏修复后，经检查证明其影响了工程或工程设备的使用性能，承包人应重新进行合同约定的试验和试运行，试验和试运行的全部费用应由责任方承担。</w:t>
      </w:r>
    </w:p>
    <w:p w14:paraId="1DA79FA0">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19.5 承包人的进入权</w:t>
      </w:r>
    </w:p>
    <w:p w14:paraId="419E87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缺陷责任期内承包人为缺陷修复工作需要，有权进入工程现场，但应遵守发包人的保安和保密规定。</w:t>
      </w:r>
    </w:p>
    <w:p w14:paraId="20B2C1D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19.6 缺陷责任期终止证书</w:t>
      </w:r>
    </w:p>
    <w:p w14:paraId="4E8774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在第1.1.4.5目约定的缺陷责任期，包括根据第19.3款延长的期限终止后14天内，由监理人向承包人出具经发包人签认的缺陷责任期终止证书，并退还剩余的质量保证金。</w:t>
      </w:r>
    </w:p>
    <w:p w14:paraId="1200B1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19.7 保修责任</w:t>
      </w:r>
    </w:p>
    <w:p w14:paraId="471713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24E4A7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28" w:name="_Toc184635117"/>
      <w:bookmarkStart w:id="129" w:name="_Toc196637432"/>
      <w:bookmarkStart w:id="130" w:name="_Toc224699394"/>
      <w:bookmarkStart w:id="131" w:name="_Toc196637786"/>
      <w:bookmarkStart w:id="132" w:name="_Toc196637668"/>
      <w:r>
        <w:rPr>
          <w:rFonts w:hint="eastAsia" w:ascii="宋体" w:hAnsi="宋体" w:eastAsia="宋体" w:cs="宋体"/>
          <w:color w:val="auto"/>
          <w:sz w:val="24"/>
          <w:szCs w:val="24"/>
        </w:rPr>
        <w:t>20、保险</w:t>
      </w:r>
      <w:bookmarkEnd w:id="128"/>
      <w:bookmarkEnd w:id="129"/>
      <w:bookmarkEnd w:id="130"/>
      <w:bookmarkEnd w:id="131"/>
      <w:bookmarkEnd w:id="132"/>
    </w:p>
    <w:p w14:paraId="047DA1AE">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20.1 工程保险</w:t>
      </w:r>
    </w:p>
    <w:p w14:paraId="6C949C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5984366">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20.2 人员工伤事故的保险</w:t>
      </w:r>
    </w:p>
    <w:p w14:paraId="784AEA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20.2.1 承包人员工伤事故的保险</w:t>
      </w:r>
    </w:p>
    <w:p w14:paraId="3627DC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承包人应依照有关法律规定参加工伤保险，为其履行合同所雇佣的全部人员，缴纳工伤保险费，并要求其分包人也进行此项保险。</w:t>
      </w:r>
    </w:p>
    <w:p w14:paraId="67C10C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20.2.2 发包人员工伤事故的保险</w:t>
      </w:r>
    </w:p>
    <w:p w14:paraId="653352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发包人应依照有关法律规定参加工伤保险，为其现场机构雇佣的全部人员，缴纳工伤保险费，并要求其监理人也进行此项保险。</w:t>
      </w:r>
    </w:p>
    <w:p w14:paraId="45CD0C5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20.3 人身意外伤害险</w:t>
      </w:r>
    </w:p>
    <w:p w14:paraId="106CDE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20.3.1 发包人应在整个施工期间为其现场机构雇用的全部人员，投保人身意外伤害险，缴纳保险费，并要求其监理人也进行此项保险。</w:t>
      </w:r>
    </w:p>
    <w:p w14:paraId="67FA99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20.3.2 承包人应在整个施工期间为其现场机构雇用的全部人员，投保人身意外伤害险，缴纳保险费，并要求其分包人也进行此项保险。</w:t>
      </w:r>
    </w:p>
    <w:p w14:paraId="4E982C5D">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20.4 第三者责任险</w:t>
      </w:r>
    </w:p>
    <w:p w14:paraId="699B6D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7A464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20.4.2 在缺陷责任期终止证书颁发前，承包人应以承包人和发包人的共同名义，投保第20.4.1 项约定的第三者责任险，其保险费率、保险金额等有关内容在专用合同条款中约定。</w:t>
      </w:r>
    </w:p>
    <w:p w14:paraId="4E4A323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20.5 其他保险</w:t>
      </w:r>
    </w:p>
    <w:p w14:paraId="260463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除专用合同条款另有约定外，承包人应为其施工设备、进场的材料和工程设备等办理保险。</w:t>
      </w:r>
    </w:p>
    <w:p w14:paraId="02307F88">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20.6 对各项保险的一般要求</w:t>
      </w:r>
    </w:p>
    <w:p w14:paraId="37EAA6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20.6.1 保险凭证</w:t>
      </w:r>
    </w:p>
    <w:p w14:paraId="5FAB47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承包人应在专用合同条款约定的期限内向发包人提交各项保险生效的证据和保险单副本，保险单必须与专用合同条款约定的条件保持一致。</w:t>
      </w:r>
    </w:p>
    <w:p w14:paraId="0A8470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20.6.2 保险合同条款的变动</w:t>
      </w:r>
    </w:p>
    <w:p w14:paraId="292FD3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承包人需要变动保险合同条款时，应事先征得发包人同意，并通知监理人。保险人作出变动的，承包人应在收到保险人通知后立即通知发包人和监理人。</w:t>
      </w:r>
    </w:p>
    <w:p w14:paraId="3CFF1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20.6.3 持续保险</w:t>
      </w:r>
    </w:p>
    <w:p w14:paraId="60A53D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承包人应与保险人保持联系，使保险人能够随时了解工程实施中的变动，并确保按保险合同条款要求持续保险。</w:t>
      </w:r>
    </w:p>
    <w:p w14:paraId="45E553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20.6.4 保险金不足的补偿</w:t>
      </w:r>
    </w:p>
    <w:p w14:paraId="6E469F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保险金不足以补偿损失的，应由承包人和（或）发包人按合同约定负责补偿。</w:t>
      </w:r>
    </w:p>
    <w:p w14:paraId="07B492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20.6.5 未按约定投保的补救</w:t>
      </w:r>
    </w:p>
    <w:p w14:paraId="4D4D57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(l）由于负有投保义务的一方当事人未按合同约定办理保险，或未能使保险持续有效的，另一方当事人可代为办理，所需费用由对方当事人承担。</w:t>
      </w:r>
    </w:p>
    <w:p w14:paraId="7564A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(2）由于负有投保义务的一方当事人未按合同约定办理某项保险，导致受益人未能得到保险人的赔偿，原应从该项保险得到的保险金应由负有投保义务的一方当事人支付。</w:t>
      </w:r>
    </w:p>
    <w:p w14:paraId="484B79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20.6.6 报告义务</w:t>
      </w:r>
    </w:p>
    <w:p w14:paraId="0C6216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当保险事故发生时，投保人应按照保险单规定的条件和期限及时向保险人报告。</w:t>
      </w:r>
    </w:p>
    <w:p w14:paraId="6662687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33" w:name="_Toc224699395"/>
      <w:bookmarkStart w:id="134" w:name="_Toc196637787"/>
      <w:bookmarkStart w:id="135" w:name="_Toc196637433"/>
      <w:bookmarkStart w:id="136" w:name="_Toc184635118"/>
      <w:bookmarkStart w:id="137" w:name="_Toc196637669"/>
      <w:r>
        <w:rPr>
          <w:rFonts w:hint="eastAsia" w:ascii="宋体" w:hAnsi="宋体" w:eastAsia="宋体" w:cs="宋体"/>
          <w:color w:val="auto"/>
          <w:sz w:val="24"/>
          <w:szCs w:val="24"/>
        </w:rPr>
        <w:t>21、不可抗力</w:t>
      </w:r>
      <w:bookmarkEnd w:id="133"/>
      <w:bookmarkEnd w:id="134"/>
      <w:bookmarkEnd w:id="135"/>
      <w:bookmarkEnd w:id="136"/>
      <w:bookmarkEnd w:id="137"/>
    </w:p>
    <w:p w14:paraId="39D30AB5">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21.1 不可抗力的确认</w:t>
      </w:r>
    </w:p>
    <w:p w14:paraId="6306FF7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73BB6C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4FCA54A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21.2 不可抗力的通知</w:t>
      </w:r>
    </w:p>
    <w:p w14:paraId="1E332B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21.2.1 合同一方当事人遇到不可抗力事件，使其履行合同义务受到阻碍时，应立即通知合同另一方当事人和监理人，书面说明不可抗力和受阻碍的详细情况，并提供必要的证明。</w:t>
      </w:r>
    </w:p>
    <w:p w14:paraId="7206AB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34289E8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21.3 不可抗力后果及其处理</w:t>
      </w:r>
    </w:p>
    <w:p w14:paraId="629909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 不可抗力造成损害的责任</w:t>
      </w:r>
    </w:p>
    <w:p w14:paraId="2DFB4A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除专用合同条款另有约定外，不可抗力导致的人员伤亡、财产损失、费用增加和（或）工期延误等后果，由合同双方按以下原则承担：</w:t>
      </w:r>
    </w:p>
    <w:p w14:paraId="2AB64C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(1）永久工程，包括已运至施工场地的材料和工程设备的损害，以及因工程损害造成的第三者人员伤亡和财产损失由发包人承担；</w:t>
      </w:r>
    </w:p>
    <w:p w14:paraId="75FDE2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(2）承包人设备的损坏由承包人承担；</w:t>
      </w:r>
    </w:p>
    <w:p w14:paraId="670220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(3）发包人和承包人各自承担其人员伤亡和其他财产损失及其相关费用；</w:t>
      </w:r>
    </w:p>
    <w:p w14:paraId="66522F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(4）承包人的停工损失由承包人承担，但停工期间应监理人要求照管工程和清理、修复工程的金额由发包人承担；</w:t>
      </w:r>
    </w:p>
    <w:p w14:paraId="616A1F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(5）不能按期竣工的，应合理延长工期，承包人不需支付逾期竣工违约金。发包人要求赶工的，承包人应采取赶工措施，赶工费用由发包人承担。</w:t>
      </w:r>
    </w:p>
    <w:p w14:paraId="0680C0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21.3.2 延迟履行期间发生的不可抗力</w:t>
      </w:r>
    </w:p>
    <w:p w14:paraId="049FF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合同一方当事人延迟履行，在延迟履行期间发生不可抗力的，不免除其责任。</w:t>
      </w:r>
    </w:p>
    <w:p w14:paraId="70E91E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21.3.3 避免和减少不可抗力损失</w:t>
      </w:r>
    </w:p>
    <w:p w14:paraId="7A4A15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不可抗力发生后，发包人和承包人均应采取措施尽量避免和减少损失的扩大，任何一方没有采取有效措施导致损失扩大的，应对扩大的损失承担责任。</w:t>
      </w:r>
    </w:p>
    <w:p w14:paraId="530F70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21.3.4 因不可抗力解除合同</w:t>
      </w:r>
    </w:p>
    <w:p w14:paraId="148B87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2E81E5A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38" w:name="_Toc196637788"/>
      <w:bookmarkStart w:id="139" w:name="_Toc196637670"/>
      <w:bookmarkStart w:id="140" w:name="_Toc196637434"/>
      <w:bookmarkStart w:id="141" w:name="_Toc184635119"/>
      <w:bookmarkStart w:id="142" w:name="_Toc224699396"/>
      <w:r>
        <w:rPr>
          <w:rFonts w:hint="eastAsia" w:ascii="宋体" w:hAnsi="宋体" w:eastAsia="宋体" w:cs="宋体"/>
          <w:color w:val="auto"/>
          <w:sz w:val="24"/>
          <w:szCs w:val="24"/>
        </w:rPr>
        <w:t>22、违约</w:t>
      </w:r>
      <w:bookmarkEnd w:id="138"/>
      <w:bookmarkEnd w:id="139"/>
      <w:bookmarkEnd w:id="140"/>
      <w:bookmarkEnd w:id="141"/>
      <w:bookmarkEnd w:id="142"/>
    </w:p>
    <w:p w14:paraId="5A5A334B">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22.1 承包人违约</w:t>
      </w:r>
    </w:p>
    <w:p w14:paraId="5BB0AD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22.1.1 承包人违约的情形</w:t>
      </w:r>
    </w:p>
    <w:p w14:paraId="56DA9D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在履行合同过程中发生的下列情况属承包人违约：</w:t>
      </w:r>
    </w:p>
    <w:p w14:paraId="58F332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(1）承包人违反第1.8 款或第4.3 款的约定，私自将合同的全部或部分权利转让给其他人，或私自将合同的全部或部分义务转移给其他人；</w:t>
      </w:r>
    </w:p>
    <w:p w14:paraId="79B4D8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(2）承包人违反第5.3 款或第6.4 款的约定，未经监理人批准，私自将已按合同约定进入施工场地的施工设备、临时设施或材料撤离施工场地；</w:t>
      </w:r>
    </w:p>
    <w:p w14:paraId="745EC6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(3）承包人违反第5.4 款的约定使用了不合格材料或工程设备，工程质量达不到标准要求，又拒绝清除不合格工程；</w:t>
      </w:r>
    </w:p>
    <w:p w14:paraId="2437A3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(4）承包人未能按合同进度计划及时完成合同约定的工作，已造成或预期造成工期延误；</w:t>
      </w:r>
    </w:p>
    <w:p w14:paraId="6563B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(5）承包人在缺陷责任期内，未能对工程接收证书所列的缺陷清单的内容或缺陷责任期内发生的缺陷进行修复，而又拒绝按监理人指示再进行修补；</w:t>
      </w:r>
    </w:p>
    <w:p w14:paraId="21F2D4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(6）承包人无法继续履行或明确表示不履行或实质上已停止履行合同；</w:t>
      </w:r>
    </w:p>
    <w:p w14:paraId="7A532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(7）承包人不按合同约定履行义务的其他情况。</w:t>
      </w:r>
    </w:p>
    <w:p w14:paraId="2E1105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22.1.2 对承包人违约的处理</w:t>
      </w:r>
    </w:p>
    <w:p w14:paraId="796CA6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(l）承包人发生第22.1.1(6）目约定的违约情况时，发包人可通知承包人立即解除合同，并按有关法律处理。</w:t>
      </w:r>
    </w:p>
    <w:p w14:paraId="15A2EF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(2）承包人发生除第22.1.1(6）目约定以外的其他违约情况时，监理人可向承包人发出整改通知，要求其在指定的期限内改正。承包人应承担其违约所引起的费用增加和（或）工期延误。</w:t>
      </w:r>
    </w:p>
    <w:p w14:paraId="587F8F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(3）经检查证明承包人已采取了有效措施纠正违约行为，具备复工条件的，可由监理人签发复工通知复工。</w:t>
      </w:r>
    </w:p>
    <w:p w14:paraId="34D4F2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22.1.3 承包人违约解除合同</w:t>
      </w:r>
    </w:p>
    <w:p w14:paraId="3FC2F3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183E3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22.1.4 合同解除后的估价、付款和结清</w:t>
      </w:r>
    </w:p>
    <w:p w14:paraId="6DD8B9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(1）合同解除后，监理人按第3.5 款商定或确定承包人实际完成工作的价值，以及承包人已提供的材料、施工设备、工程设备和临时工程等的价值。</w:t>
      </w:r>
    </w:p>
    <w:p w14:paraId="5A734C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(2）合同解除后，发包人应暂停对承包人的一切付款，查清各项付款和已扣款金额，包括承包人应支付的违约金。</w:t>
      </w:r>
    </w:p>
    <w:p w14:paraId="7EFA7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(3）合同解除后，发包人应按第23.4 款的约定向承包人索赔由于解除合同给发包人造成的损失。</w:t>
      </w:r>
    </w:p>
    <w:p w14:paraId="13CCF5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(4）合同双方确认上述往来款项后，出具最终结清付款证书，结清全部合同款项。</w:t>
      </w:r>
    </w:p>
    <w:p w14:paraId="28874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(5）发包人和承包人未能就解除合同后的结清达成一致而形成争议的，按第24条的约定办理。</w:t>
      </w:r>
    </w:p>
    <w:p w14:paraId="50D2A2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22.1.5 协议利益的转让</w:t>
      </w:r>
    </w:p>
    <w:p w14:paraId="1632BF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因承包人违约解除合同的，发包人有权要求承包人将其为实施合同而签订的材料和设备的订货协议或任何服务协议利益转让给发包人，并在解除合同后的14天内，依法办理转让手续。</w:t>
      </w:r>
    </w:p>
    <w:p w14:paraId="7331EC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22.1.6 紧急情况下无能力或不愿进行抢救</w:t>
      </w:r>
    </w:p>
    <w:p w14:paraId="62780A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0480DB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22.2 发包人违约</w:t>
      </w:r>
    </w:p>
    <w:p w14:paraId="7EAAAC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22.2.1 发包人违约的情形</w:t>
      </w:r>
    </w:p>
    <w:p w14:paraId="6BBABB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在履行合同过程中发生的下列情形，属发包人违约：</w:t>
      </w:r>
    </w:p>
    <w:p w14:paraId="0E9CB6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(l）发包人未能按合同约定支付预付款或合同价款，或拖延、拒绝批准付款申请和支付凭证，导致付款延误的；</w:t>
      </w:r>
    </w:p>
    <w:p w14:paraId="54BC6B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(2）发包人原因造成停工的；</w:t>
      </w:r>
    </w:p>
    <w:p w14:paraId="27B140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(3）监理人无正当理由没有在约定期限内发出复工指示，导致承包人无法复工的；</w:t>
      </w:r>
    </w:p>
    <w:p w14:paraId="324A47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(4）发包人无法继续履行或明确表示不履行或实质上已停止履行合同的；</w:t>
      </w:r>
    </w:p>
    <w:p w14:paraId="1FA5AB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(5）发包人不履行合同约定其他义务的。</w:t>
      </w:r>
    </w:p>
    <w:p w14:paraId="0A2E6A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22.2.2 承包人有权暂停施工</w:t>
      </w:r>
    </w:p>
    <w:p w14:paraId="26BFF1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C3C5F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22.2.3 发包人违约解除合同</w:t>
      </w:r>
    </w:p>
    <w:p w14:paraId="0578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(1）发生第22.2.1(4）目的违约情况时，承包人可书面通知发包人解除合同。</w:t>
      </w:r>
    </w:p>
    <w:p w14:paraId="3291F8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09E782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22.2.4 解除合同后的付款</w:t>
      </w:r>
    </w:p>
    <w:p w14:paraId="7EBFE9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因发包人违约解除合同的，发包人应在解除合同后28天内向承包人支付下列金额，承包人应在此期限内及时向发包人提交要求支付下列金额的有关资料和凭证：</w:t>
      </w:r>
    </w:p>
    <w:p w14:paraId="556C3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(l）合同解除日以前所完成工作的价款；</w:t>
      </w:r>
    </w:p>
    <w:p w14:paraId="0E099E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(2）承包人为该工程施工订购并已付款的材料、工程设备和其他物品的金额。发包人付还后，该材料、工程设备和其他物品归发包人所有；</w:t>
      </w:r>
    </w:p>
    <w:p w14:paraId="65EAC3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(3）承包人为完成工程所发生的，而发包人未支付的金额；</w:t>
      </w:r>
    </w:p>
    <w:p w14:paraId="17ED35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(4）承包人撤离施工场地以及遣散承包人人员的金额；</w:t>
      </w:r>
    </w:p>
    <w:p w14:paraId="659AF4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(5）由于解除合同应赔偿的承包人损失；</w:t>
      </w:r>
    </w:p>
    <w:p w14:paraId="4112DA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(6）按合同约定在合同解除日前应支付给承包人的其他金额。</w:t>
      </w:r>
    </w:p>
    <w:p w14:paraId="0C2D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发包人应按本项约定支付上述金额并退还质量保证金和履约担保，但有权要求承包人支付应偿还给发包人的各项金额。</w:t>
      </w:r>
    </w:p>
    <w:p w14:paraId="43C11F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22.2.5 解除合同后的承包人撤离</w:t>
      </w:r>
    </w:p>
    <w:p w14:paraId="76561E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因发包人违约而解除合同后，承包人应妥善做好已竣工工程和已购材料、设备的保护和移交工作，按发包人要求将承包人设备和人员撤出施工场地。承包人撤出施工场地应遵守第</w:t>
      </w:r>
    </w:p>
    <w:p w14:paraId="19D14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 项的约定，发包人应为承包人撤出提供必要条件。</w:t>
      </w:r>
    </w:p>
    <w:p w14:paraId="0C2D96C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22.3 第三人造成的违约</w:t>
      </w:r>
    </w:p>
    <w:p w14:paraId="19E27E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14:paraId="0309BC8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43" w:name="_Toc224699397"/>
      <w:bookmarkStart w:id="144" w:name="_Toc196637789"/>
      <w:bookmarkStart w:id="145" w:name="_Toc184635120"/>
      <w:bookmarkStart w:id="146" w:name="_Toc196637435"/>
      <w:bookmarkStart w:id="147" w:name="_Toc196637671"/>
      <w:r>
        <w:rPr>
          <w:rFonts w:hint="eastAsia" w:ascii="宋体" w:hAnsi="宋体" w:eastAsia="宋体" w:cs="宋体"/>
          <w:color w:val="auto"/>
          <w:sz w:val="24"/>
          <w:szCs w:val="24"/>
        </w:rPr>
        <w:t>23、索赔</w:t>
      </w:r>
      <w:bookmarkEnd w:id="143"/>
      <w:bookmarkEnd w:id="144"/>
      <w:bookmarkEnd w:id="145"/>
      <w:bookmarkEnd w:id="146"/>
      <w:bookmarkEnd w:id="147"/>
    </w:p>
    <w:p w14:paraId="08661184">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23.1 承包人索赔的提出</w:t>
      </w:r>
    </w:p>
    <w:p w14:paraId="3FE0E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14:paraId="4CB068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417041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(2）承包人应在发出索赔意向通知书后28天内，向监理人正式递交索赔通知书。索赔通知书应详细说明索赔理由以及要求追加的付款金额和（或）延长的工期，并附必要的记录和证明材料；</w:t>
      </w:r>
    </w:p>
    <w:p w14:paraId="140293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(3）索赔事件具有连续影响的，承包人应按合理时间间隔继续递交延续索赔通知，说明连续影响的实际情况和记录，列出累计的追加付款金额和（或）工期延长天数；</w:t>
      </w:r>
    </w:p>
    <w:p w14:paraId="3ED130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(4）在索赔事件影响结束后的28天内，承包人应向监理人递交最终索赔通知书，说明最终要求索赔的追加付款金额和延长的工期，并附必要的记录和证明材料。</w:t>
      </w:r>
    </w:p>
    <w:p w14:paraId="5AE0719A">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23.2 承包人索赔处理程序</w:t>
      </w:r>
    </w:p>
    <w:p w14:paraId="741066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(1）监理人收到承包人提交的索赔通知书后，应及时审查索赔通知书的内容、查验承包人的记录和证明材料，必要时监理人可要求承包人提交全部原始记录副本。</w:t>
      </w:r>
    </w:p>
    <w:p w14:paraId="615F0D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(2）监理人应按第3.5款商定或确定追加的付款和（或）延长的工期，并在收到上述索赔通知书或有关索赔的进一步证明材料后的42天内，将索赔处理结果答复承包人。</w:t>
      </w:r>
    </w:p>
    <w:p w14:paraId="176AF07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(3）承包人接受索赔处理结果的，发包人应在作出索赔处理结果答复后28天内完成赔付。承包人不接受索赔处理结果的，按第24条的约定办理。</w:t>
      </w:r>
    </w:p>
    <w:p w14:paraId="305AC503">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23.3 承包人提出索赔的期限</w:t>
      </w:r>
    </w:p>
    <w:p w14:paraId="0404E0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23.3.1 承包人按第17.5款的约定接受了竣工付款证书后，应被认为已无权再提出在合同工程接收证书颁发前所发生的任何索赔。</w:t>
      </w:r>
    </w:p>
    <w:p w14:paraId="3E8944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23.3.2 承包人按第17.6款的约定提交的最终结清申请单中，只限于提出工程接收证书颁发后发生的索赔。提出索赔的期限自接受最终结清证书时终止。</w:t>
      </w:r>
    </w:p>
    <w:p w14:paraId="41F94BEC">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23.4 发包人的索赔</w:t>
      </w:r>
    </w:p>
    <w:p w14:paraId="2D4233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3D9DF9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74BA74B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bookmarkStart w:id="148" w:name="_Toc196637790"/>
      <w:bookmarkStart w:id="149" w:name="_Toc184635121"/>
      <w:bookmarkStart w:id="150" w:name="_Toc196637672"/>
      <w:bookmarkStart w:id="151" w:name="_Toc224699398"/>
      <w:bookmarkStart w:id="152" w:name="_Toc196637436"/>
      <w:r>
        <w:rPr>
          <w:rFonts w:hint="eastAsia" w:ascii="宋体" w:hAnsi="宋体" w:eastAsia="宋体" w:cs="宋体"/>
          <w:color w:val="auto"/>
          <w:sz w:val="24"/>
          <w:szCs w:val="24"/>
        </w:rPr>
        <w:t>24、争议的解决</w:t>
      </w:r>
      <w:bookmarkEnd w:id="148"/>
      <w:bookmarkEnd w:id="149"/>
      <w:bookmarkEnd w:id="150"/>
      <w:bookmarkEnd w:id="151"/>
      <w:bookmarkEnd w:id="152"/>
    </w:p>
    <w:p w14:paraId="614964AF">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24.1 争议的解决方式</w:t>
      </w:r>
    </w:p>
    <w:p w14:paraId="397EAC9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DB9B4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(l）向约定的仲裁委员会申请仲裁；</w:t>
      </w:r>
    </w:p>
    <w:p w14:paraId="6994D9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(2）向有管辖权的人民法院提起诉讼。</w:t>
      </w:r>
    </w:p>
    <w:p w14:paraId="69BF4129">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24.2 友好解决</w:t>
      </w:r>
    </w:p>
    <w:p w14:paraId="07D8C4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在提请争议评审、仲裁或者诉讼前，以及在争议评审、仲裁或诉讼过程中，发包人和承包人均可共同努力友好协商解决争议。</w:t>
      </w:r>
    </w:p>
    <w:p w14:paraId="51B74872">
      <w:pPr>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24.3 争议评审</w:t>
      </w:r>
    </w:p>
    <w:p w14:paraId="6E7F74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24.3.1 采用争议评审的，发包人和承包人应在开工日后的28天内或在争议发生后，协商成立争议评审组。争议评审组由有合同管理和工程实践经验的专家组成。</w:t>
      </w:r>
    </w:p>
    <w:p w14:paraId="08FD6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24.3.2 合同双方的争议，应首先由申请人向争议评审组提交一份详细的评审申请报告，并附必要的文件、图纸和证明材料，申请人还应将上述报告的副本同时提交给被申请人和监理人。</w:t>
      </w:r>
    </w:p>
    <w:p w14:paraId="5A192C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24.3.3 被申请人在收到申请人评审申请报告副本后的28天内，向争议评审组提交一份答辩报告，并附证明材料。被申请人应将答辩报告的副本同时提交给申请人和监理人。</w:t>
      </w:r>
    </w:p>
    <w:p w14:paraId="1D41E0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24.3.4 除专用合同条款另有约定外，争议评审组在收到合同双方报告后的14天内，邀请双方代表和有关人员举行调查会，向双方调查争议细节；必要时争议评审组可要求双方进一步提供补充材料。</w:t>
      </w:r>
    </w:p>
    <w:p w14:paraId="6061AD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559369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24.3.6 发包人和承包人接受评审意见的，由监理人根据评审意见拟定执行协议，经争议双方签字后作为合同的补充文件，并遵照执行。</w:t>
      </w:r>
    </w:p>
    <w:p w14:paraId="4A6FE4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23ECF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64EC9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DFFA3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289A3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5C78DF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1191774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868C1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3E040AE">
      <w:pPr>
        <w:pStyle w:val="3"/>
        <w:pageBreakBefore/>
        <w:widowControl w:val="0"/>
        <w:kinsoku/>
        <w:wordWrap/>
        <w:overflowPunct/>
        <w:topLinePunct w:val="0"/>
        <w:autoSpaceDE/>
        <w:autoSpaceDN/>
        <w:bidi w:val="0"/>
        <w:spacing w:after="156" w:line="360" w:lineRule="auto"/>
        <w:jc w:val="center"/>
        <w:textAlignment w:val="auto"/>
        <w:rPr>
          <w:rFonts w:hint="eastAsia" w:ascii="宋体" w:hAnsi="宋体" w:eastAsia="宋体" w:cs="宋体"/>
          <w:color w:val="auto"/>
          <w:sz w:val="24"/>
          <w:szCs w:val="24"/>
        </w:rPr>
      </w:pPr>
      <w:bookmarkStart w:id="153" w:name="_Toc330990564"/>
      <w:bookmarkStart w:id="154" w:name="_Toc32233"/>
      <w:r>
        <w:rPr>
          <w:rFonts w:hint="eastAsia" w:ascii="宋体" w:hAnsi="宋体" w:eastAsia="宋体" w:cs="宋体"/>
          <w:color w:val="auto"/>
          <w:sz w:val="24"/>
          <w:szCs w:val="24"/>
        </w:rPr>
        <w:t>第三节  专用合同条款</w:t>
      </w:r>
      <w:bookmarkEnd w:id="153"/>
      <w:bookmarkEnd w:id="154"/>
    </w:p>
    <w:p w14:paraId="471B530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1.一般约定</w:t>
      </w:r>
    </w:p>
    <w:p w14:paraId="2DCA829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1.1词语定义</w:t>
      </w:r>
    </w:p>
    <w:p w14:paraId="34306FA6">
      <w:pPr>
        <w:widowControl w:val="0"/>
        <w:kinsoku/>
        <w:wordWrap/>
        <w:overflowPunct/>
        <w:topLinePunct w:val="0"/>
        <w:autoSpaceDE/>
        <w:autoSpaceDN/>
        <w:bidi w:val="0"/>
        <w:spacing w:before="48" w:beforeLines="2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1.1.2合同当事人和人员</w:t>
      </w:r>
    </w:p>
    <w:p w14:paraId="14C65B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kern w:val="0"/>
          <w:sz w:val="24"/>
          <w:szCs w:val="24"/>
          <w:u w:val="single"/>
          <w:lang w:eastAsia="zh-CN"/>
        </w:rPr>
        <w:t>邹城市钢山街道李官庄村村民委员会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8187E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33F3AF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14:paraId="2B73DC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35961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E1F37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F724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AC288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02171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14:paraId="617DDE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14:paraId="553618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14:paraId="2A32743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1.1.3工程和设备</w:t>
      </w:r>
    </w:p>
    <w:p w14:paraId="0FCF3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14:paraId="142080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14:paraId="5EEDC9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14:paraId="2D7195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 xml:space="preserve">指为实施本合同工程而需要的一切永久占用的土地 </w:t>
      </w:r>
      <w:r>
        <w:rPr>
          <w:rFonts w:hint="eastAsia" w:ascii="宋体" w:hAnsi="宋体" w:eastAsia="宋体" w:cs="宋体"/>
          <w:color w:val="auto"/>
          <w:sz w:val="24"/>
          <w:szCs w:val="24"/>
        </w:rPr>
        <w:t>。</w:t>
      </w:r>
    </w:p>
    <w:p w14:paraId="452DF4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14:paraId="3F079EA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1.1.4日期</w:t>
      </w:r>
    </w:p>
    <w:p w14:paraId="178595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w:t>
      </w:r>
      <w:r>
        <w:rPr>
          <w:rFonts w:hint="eastAsia" w:ascii="宋体" w:hAnsi="宋体" w:eastAsia="宋体" w:cs="宋体"/>
          <w:color w:val="auto"/>
          <w:sz w:val="24"/>
          <w:szCs w:val="24"/>
        </w:rPr>
        <w:t>月。</w:t>
      </w:r>
    </w:p>
    <w:p w14:paraId="031252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14:paraId="2286C3F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1.1.6其他</w:t>
      </w:r>
    </w:p>
    <w:p w14:paraId="7B3905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14:paraId="417274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EE3E5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14:paraId="61CEE8E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1.4合同文件的优先顺序</w:t>
      </w:r>
    </w:p>
    <w:p w14:paraId="4FA0B8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14:paraId="33FA4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14:paraId="189669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w:t>
      </w:r>
    </w:p>
    <w:p w14:paraId="5158D0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(3)投标函及投标函附录；</w:t>
      </w:r>
    </w:p>
    <w:p w14:paraId="381EEA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(4)专用合同条款；</w:t>
      </w:r>
    </w:p>
    <w:p w14:paraId="6589F5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41B1DA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55FEC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10C2D1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(8)投标报价；</w:t>
      </w:r>
    </w:p>
    <w:p w14:paraId="543449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135719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14:paraId="69669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r>
        <w:rPr>
          <w:rFonts w:hint="eastAsia" w:ascii="宋体" w:hAnsi="宋体" w:eastAsia="宋体" w:cs="宋体"/>
          <w:color w:val="auto"/>
          <w:sz w:val="24"/>
          <w:szCs w:val="24"/>
          <w:lang w:eastAsia="zh-CN"/>
        </w:rPr>
        <w:t>，约定不明确。补充协议应优先适用</w:t>
      </w:r>
      <w:r>
        <w:rPr>
          <w:rFonts w:hint="eastAsia" w:ascii="宋体" w:hAnsi="宋体" w:eastAsia="宋体" w:cs="宋体"/>
          <w:color w:val="auto"/>
          <w:sz w:val="24"/>
          <w:szCs w:val="24"/>
        </w:rPr>
        <w:t>。</w:t>
      </w:r>
    </w:p>
    <w:p w14:paraId="076CEDA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1.5合同协议书</w:t>
      </w:r>
    </w:p>
    <w:p w14:paraId="56694FDE">
      <w:pPr>
        <w:widowControl w:val="0"/>
        <w:kinsoku/>
        <w:wordWrap/>
        <w:overflowPunct/>
        <w:topLinePunct w:val="0"/>
        <w:autoSpaceDE/>
        <w:autoSpaceDN/>
        <w:bidi w:val="0"/>
        <w:spacing w:before="120" w:beforeLines="50" w:after="120" w:after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发包人和承包人的法定代表人或其委托代理人在合同协议书上签字并盖单位章后，合同生效</w:t>
      </w:r>
      <w:r>
        <w:rPr>
          <w:rFonts w:hint="eastAsia" w:ascii="宋体" w:hAnsi="宋体" w:eastAsia="宋体" w:cs="宋体"/>
          <w:color w:val="auto"/>
          <w:sz w:val="24"/>
          <w:szCs w:val="24"/>
        </w:rPr>
        <w:t>。</w:t>
      </w:r>
    </w:p>
    <w:p w14:paraId="7718E3E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1.6图纸和承包人文件</w:t>
      </w:r>
    </w:p>
    <w:p w14:paraId="70FC7A49">
      <w:pPr>
        <w:widowControl w:val="0"/>
        <w:kinsoku/>
        <w:wordWrap/>
        <w:overflowPunct/>
        <w:topLinePunct w:val="0"/>
        <w:autoSpaceDE/>
        <w:autoSpaceDN/>
        <w:bidi w:val="0"/>
        <w:spacing w:before="120" w:beforeLines="50" w:after="120" w:afterLines="50"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1.6.1图纸的提供</w:t>
      </w:r>
    </w:p>
    <w:p w14:paraId="6855A5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14:paraId="198C96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176AD9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开工前三天</w:t>
      </w:r>
      <w:r>
        <w:rPr>
          <w:rFonts w:hint="eastAsia" w:ascii="宋体" w:hAnsi="宋体" w:eastAsia="宋体" w:cs="宋体"/>
          <w:color w:val="auto"/>
          <w:sz w:val="24"/>
          <w:szCs w:val="24"/>
        </w:rPr>
        <w:t>。</w:t>
      </w:r>
    </w:p>
    <w:p w14:paraId="05D842B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三套（含竣工图纸一套）   </w:t>
      </w:r>
      <w:r>
        <w:rPr>
          <w:rFonts w:hint="eastAsia" w:ascii="宋体" w:hAnsi="宋体" w:eastAsia="宋体" w:cs="宋体"/>
          <w:color w:val="auto"/>
          <w:sz w:val="24"/>
          <w:szCs w:val="24"/>
        </w:rPr>
        <w:t>。</w:t>
      </w:r>
    </w:p>
    <w:p w14:paraId="29C774C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1.6.2承包人提供的文件</w:t>
      </w:r>
    </w:p>
    <w:p w14:paraId="0830ED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 xml:space="preserve">   需要时按发包人及监理人要求                                                </w:t>
      </w:r>
    </w:p>
    <w:p w14:paraId="167DAF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 xml:space="preserve">  按发包人及监理人要求                             </w:t>
      </w:r>
    </w:p>
    <w:p w14:paraId="0C5F69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 xml:space="preserve">  按发包人及监理人要求                                     </w:t>
      </w:r>
    </w:p>
    <w:p w14:paraId="62E55C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 xml:space="preserve">  收到承包人提供的文件后10天内          </w:t>
      </w:r>
    </w:p>
    <w:p w14:paraId="32AB30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整体竣工验收合格后提供竣工图纸一套                                                         </w:t>
      </w:r>
    </w:p>
    <w:p w14:paraId="6114C72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1.6.3图纸的修改</w:t>
      </w:r>
    </w:p>
    <w:p w14:paraId="429EBE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14:paraId="3FED47D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1.7联络</w:t>
      </w:r>
    </w:p>
    <w:p w14:paraId="193BADB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1.7.1联络来往函件的送达和接收</w:t>
      </w:r>
    </w:p>
    <w:p w14:paraId="61880C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14:paraId="15B820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 xml:space="preserve"> 本工程现场发包人代表办公室</w:t>
      </w:r>
      <w:r>
        <w:rPr>
          <w:rFonts w:hint="eastAsia" w:ascii="宋体" w:hAnsi="宋体" w:eastAsia="宋体" w:cs="宋体"/>
          <w:color w:val="auto"/>
          <w:sz w:val="24"/>
          <w:szCs w:val="24"/>
        </w:rPr>
        <w:t>。</w:t>
      </w:r>
    </w:p>
    <w:p w14:paraId="00D885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 xml:space="preserve"> 发包人代表 </w:t>
      </w:r>
      <w:r>
        <w:rPr>
          <w:rFonts w:hint="eastAsia" w:ascii="宋体" w:hAnsi="宋体" w:eastAsia="宋体" w:cs="宋体"/>
          <w:color w:val="auto"/>
          <w:sz w:val="24"/>
          <w:szCs w:val="24"/>
        </w:rPr>
        <w:t>。</w:t>
      </w:r>
    </w:p>
    <w:p w14:paraId="5FAC61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 xml:space="preserve"> 本工程现场总监代表办公室</w:t>
      </w:r>
      <w:r>
        <w:rPr>
          <w:rFonts w:hint="eastAsia" w:ascii="宋体" w:hAnsi="宋体" w:eastAsia="宋体" w:cs="宋体"/>
          <w:color w:val="auto"/>
          <w:sz w:val="24"/>
          <w:szCs w:val="24"/>
        </w:rPr>
        <w:t>。</w:t>
      </w:r>
    </w:p>
    <w:p w14:paraId="3AED9E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 xml:space="preserve"> 总监或总监代表</w:t>
      </w:r>
      <w:r>
        <w:rPr>
          <w:rFonts w:hint="eastAsia" w:ascii="宋体" w:hAnsi="宋体" w:eastAsia="宋体" w:cs="宋体"/>
          <w:color w:val="auto"/>
          <w:sz w:val="24"/>
          <w:szCs w:val="24"/>
        </w:rPr>
        <w:t>。</w:t>
      </w:r>
    </w:p>
    <w:p w14:paraId="638D32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33407A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本合同其他方。发包人(包括监理人)和承包人应当确保其各自指定的接收人在法定的和(或)符合合同约定的工作时间内始终工作在指定的接收地点，指定接收人离开工作岗位而无法及时签收来往信函构成拒不签收。</w:t>
      </w:r>
    </w:p>
    <w:p w14:paraId="4EE9A2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本合同其他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0A448F7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2.发包人义务</w:t>
      </w:r>
    </w:p>
    <w:p w14:paraId="5DCFA47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2.1提供施工场地</w:t>
      </w:r>
    </w:p>
    <w:p w14:paraId="6566E1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1040660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2.2组织设计交底</w:t>
      </w:r>
    </w:p>
    <w:p w14:paraId="06208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4A8B505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2.3其他义务</w:t>
      </w:r>
    </w:p>
    <w:p w14:paraId="2036C8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14:paraId="47554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14:paraId="6474FE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63BB20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14:paraId="4CD4574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w:t>
      </w:r>
    </w:p>
    <w:p w14:paraId="10AF1FB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3.1监理人的职责和权力</w:t>
      </w:r>
    </w:p>
    <w:p w14:paraId="1A8888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 xml:space="preserve"> 涉及本工程分包、变更、价款、费用、质量、工期的事项及监理合同中须发包人书面盖章批准才能行使的监理人的权利。  </w:t>
      </w:r>
    </w:p>
    <w:p w14:paraId="1458AA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不管通用合同条款第3.1.1项如何约定，监理人履行须经发包人批准行使的权力时，应当向承包人出示其行使该权利已经取得发包人书面批准的文件或者其他合法有效的证明。</w:t>
      </w:r>
    </w:p>
    <w:p w14:paraId="0211FE9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3.2监理人员</w:t>
      </w:r>
    </w:p>
    <w:p w14:paraId="6158E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3.2.1总监理工程师不应将第3.5款约定应由总监理工程师作出确定的权力授权或者委托给其他监理人员。</w:t>
      </w:r>
    </w:p>
    <w:p w14:paraId="4981FF3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3.3监理人的指示</w:t>
      </w:r>
    </w:p>
    <w:p w14:paraId="6E8E89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3.3.1除通用合同条款已有的专门约定外，承包人只能从总监理工程师或按第3.3.1项授权的监理人员处取得指示，发包人应当通过监理人向承包人发出指示。</w:t>
      </w:r>
    </w:p>
    <w:p w14:paraId="62F7963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3.4监理人的宽恕</w:t>
      </w:r>
    </w:p>
    <w:p w14:paraId="43F90E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4A76E84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w:t>
      </w:r>
    </w:p>
    <w:p w14:paraId="588455E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4.1承包人的一般义务</w:t>
      </w:r>
    </w:p>
    <w:p w14:paraId="158ECF6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4626FBA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4.1.8为他人提供方便</w:t>
      </w:r>
    </w:p>
    <w:p w14:paraId="1022C2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视为已经包括在承包人的签约合同价(投标总报价)中，结算时不再另行计取。具体工作内容和要求包括：</w:t>
      </w:r>
      <w:r>
        <w:rPr>
          <w:rFonts w:hint="eastAsia" w:ascii="宋体" w:hAnsi="宋体" w:eastAsia="宋体" w:cs="宋体"/>
          <w:color w:val="auto"/>
          <w:sz w:val="24"/>
          <w:szCs w:val="24"/>
          <w:u w:val="single"/>
        </w:rPr>
        <w:t xml:space="preserve">根据施工过程中实际情况由发包人和监理人指派并审批，承包人应无条件配合 </w:t>
      </w:r>
      <w:r>
        <w:rPr>
          <w:rFonts w:hint="eastAsia" w:ascii="宋体" w:hAnsi="宋体" w:eastAsia="宋体" w:cs="宋体"/>
          <w:color w:val="auto"/>
          <w:sz w:val="24"/>
          <w:szCs w:val="24"/>
        </w:rPr>
        <w:t>。</w:t>
      </w:r>
    </w:p>
    <w:p w14:paraId="532F14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14:paraId="73C07D7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4.1.10其他义务</w:t>
      </w:r>
    </w:p>
    <w:p w14:paraId="6566AF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sz w:val="24"/>
          <w:szCs w:val="24"/>
          <w:u w:val="single"/>
        </w:rPr>
        <w:t xml:space="preserve">需要时发包人与承包人另行约定         </w:t>
      </w:r>
      <w:r>
        <w:rPr>
          <w:rFonts w:hint="eastAsia" w:ascii="宋体" w:hAnsi="宋体" w:eastAsia="宋体" w:cs="宋体"/>
          <w:color w:val="auto"/>
          <w:sz w:val="24"/>
          <w:szCs w:val="24"/>
        </w:rPr>
        <w:t>。</w:t>
      </w:r>
    </w:p>
    <w:p w14:paraId="22A91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 xml:space="preserve">需要时发包人与承包人另行约定  </w:t>
      </w:r>
      <w:r>
        <w:rPr>
          <w:rFonts w:hint="eastAsia" w:ascii="宋体" w:hAnsi="宋体" w:eastAsia="宋体" w:cs="宋体"/>
          <w:color w:val="auto"/>
          <w:sz w:val="24"/>
          <w:szCs w:val="24"/>
        </w:rPr>
        <w:t>。</w:t>
      </w:r>
    </w:p>
    <w:p w14:paraId="6AD274A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4.2履约担保</w:t>
      </w:r>
    </w:p>
    <w:p w14:paraId="52EE9A6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无。</w:t>
      </w:r>
    </w:p>
    <w:p w14:paraId="2E8B996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4.3分包</w:t>
      </w:r>
    </w:p>
    <w:p w14:paraId="0C5545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4.3.2发包人同意承包人分包的非主体、非关键性工作见投标函附录。除通用合同条款第4.3款的约定外，分包还应遵循以下约定：</w:t>
      </w:r>
    </w:p>
    <w:p w14:paraId="513558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DC024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(2)在相关分包合同签订并报送有关建设行政主管部门备案后7天内，承包人应当将一份副本提交给监理人，承包人应保障分包工作不得再次分包。</w:t>
      </w:r>
    </w:p>
    <w:p w14:paraId="5208BD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45288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14:paraId="7E8669B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4.5承包人项目经理</w:t>
      </w:r>
    </w:p>
    <w:p w14:paraId="3DBA63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61A2B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4.5.5</w:t>
      </w:r>
      <w:r>
        <w:rPr>
          <w:rFonts w:hint="eastAsia" w:ascii="宋体" w:hAnsi="宋体" w:eastAsia="宋体" w:cs="宋体"/>
          <w:b/>
          <w:bCs/>
          <w:color w:val="auto"/>
          <w:sz w:val="24"/>
          <w:szCs w:val="24"/>
          <w:u w:val="single"/>
        </w:rPr>
        <w:t>项目经理及管理班子人员名单（包括项目副经理、技术负责人、商务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w:t>
      </w:r>
    </w:p>
    <w:p w14:paraId="612A0B9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项目经理及承包人项目部主要管理人员（包括项目副经理、技术负责人、商务负责人、预算员、施工员、安全员等）不得擅自更换。如承包人代表确需易人，承包人应提前15天书面通知发包人，经发包人批准后方可易人，后任继续承担前任应负的责任。</w:t>
      </w:r>
    </w:p>
    <w:p w14:paraId="6F048F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未经发包人同意，承包人不得擅自更换，项目经理每更换一次，承包人须支付违约金人民币150,000元；承包人在收到更换通知七日历天内上报新项目经理资质报，发包人审批合格后进场，否则按照人民币10,000元/天向发包人支付违约金。</w:t>
      </w:r>
    </w:p>
    <w:p w14:paraId="49FDE2D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未经发包人同意，其他管理人员（指技术负责人、商务负责人、现场经理、质量员、安全员）每更换一次，承包人须支付违约金人民币5,000元。</w:t>
      </w:r>
    </w:p>
    <w:p w14:paraId="6D29DC4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需开除人员，经发包人提出后，必须在24小时内调离本工程范围，否则每人次承包人支付发包人违约金人民币2,000元；同时，承包人应在3天内用发包人批准的合格的人员代替上述调离的任何人员。</w:t>
      </w:r>
    </w:p>
    <w:p w14:paraId="0D83B37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将扣罚合同价2</w:t>
      </w:r>
      <w:r>
        <w:rPr>
          <w:rFonts w:hint="eastAsia" w:ascii="宋体" w:hAnsi="宋体" w:eastAsia="宋体" w:cs="宋体"/>
          <w:b/>
          <w:color w:val="auto"/>
          <w:sz w:val="24"/>
          <w:szCs w:val="24"/>
          <w:u w:val="single"/>
        </w:rPr>
        <w:t>％</w:t>
      </w:r>
      <w:r>
        <w:rPr>
          <w:rFonts w:hint="eastAsia" w:ascii="宋体" w:hAnsi="宋体" w:eastAsia="宋体" w:cs="宋体"/>
          <w:b/>
          <w:bCs/>
          <w:color w:val="auto"/>
          <w:sz w:val="24"/>
          <w:szCs w:val="24"/>
          <w:u w:val="single"/>
        </w:rPr>
        <w:t>作为违约金，发包人有权解除合同。发包人可以随时要求承包人更换不合格的项目经理。</w:t>
      </w:r>
    </w:p>
    <w:p w14:paraId="07EFAB1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u w:val="single"/>
        </w:rPr>
        <w:t>本条未提到的项目经理其它权利和义务执行合同通用条款</w:t>
      </w:r>
      <w:r>
        <w:rPr>
          <w:rFonts w:hint="eastAsia" w:ascii="宋体" w:hAnsi="宋体" w:eastAsia="宋体" w:cs="宋体"/>
          <w:b/>
          <w:bCs/>
          <w:color w:val="auto"/>
          <w:sz w:val="24"/>
          <w:szCs w:val="24"/>
        </w:rPr>
        <w:t>。</w:t>
      </w:r>
    </w:p>
    <w:p w14:paraId="6B7A618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4.11不利物质条件</w:t>
      </w:r>
    </w:p>
    <w:p w14:paraId="160338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4.11.1不利物质条件的范围：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14:paraId="407C55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14:paraId="18520D7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5.材料和工程设备</w:t>
      </w:r>
    </w:p>
    <w:p w14:paraId="7E5F8F7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5.1承包人提供的材料和工程设备</w:t>
      </w:r>
    </w:p>
    <w:p w14:paraId="1A2C57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招标时给定暂估价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0CA8A33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承包人负责提供的材料和工程设备，技术标准和要求中有规定的必须优于或等同于技术标准和要求中的规定。</w:t>
      </w:r>
    </w:p>
    <w:p w14:paraId="2BA9F83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承包人负责提供的主要材料和工程设备必须经发包人和承包人共同考察，经发包人书面确定材料品牌、规格后方可投入工程。</w:t>
      </w:r>
    </w:p>
    <w:p w14:paraId="377652B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承包人所采购的材料必须达到国标标准，并满足一次性验收合格。</w:t>
      </w:r>
    </w:p>
    <w:p w14:paraId="4335947C">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u w:val="single"/>
        </w:rPr>
        <w:t>材料进场验收要求：货物验收必须以本合同规定的货物品牌、规格、型号、产地和质量检验标准为依据。货物品种、规格、型号、质量不符合合同约定的，承包人应在3日内将其搬离发包人现场，因此产生的费用由承包人自行承担，并向发包人支付由此导致的5000-30000元的违约金和对发包人产生的一切经济损失。若承包人在采购前提供样品的，承包人交付的货物，不但需满足国家规范质量标准，并需达到样品的质量标准。若货物与样品不符，承包人应立即清除现场并及时更换合格产品，因此产生的费用由承包人自行承担，并向发包人支付由此导致的5000-30000元的违约金。未经批准，承包人私自将已按照合同约定进入施工现场的材料或设备撤离施工现场的，并承担由此导致的5000-30000元的违约责任。因承包人自购的材料、货物不符合设计标准和技术标准导致的工期延误，由承包人自行承担，总工期不顺延（造成总工期延误，</w:t>
      </w:r>
      <w:r>
        <w:rPr>
          <w:rFonts w:hint="eastAsia" w:ascii="宋体" w:hAnsi="宋体" w:eastAsia="宋体" w:cs="宋体"/>
          <w:b/>
          <w:bCs/>
          <w:color w:val="auto"/>
          <w:sz w:val="24"/>
          <w:szCs w:val="24"/>
          <w:u w:val="single"/>
        </w:rPr>
        <w:t>按照第11.5的约定执行</w:t>
      </w:r>
      <w:r>
        <w:rPr>
          <w:rFonts w:hint="eastAsia" w:ascii="宋体" w:hAnsi="宋体" w:eastAsia="宋体" w:cs="宋体"/>
          <w:b/>
          <w:color w:val="auto"/>
          <w:sz w:val="24"/>
          <w:szCs w:val="24"/>
          <w:u w:val="single"/>
        </w:rPr>
        <w:t>）。</w:t>
      </w:r>
    </w:p>
    <w:p w14:paraId="23F991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 xml:space="preserve">相关分部分项工程开始施工前7天报送监理人审批。 </w:t>
      </w:r>
    </w:p>
    <w:p w14:paraId="46508FD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5.2发包人提供的材料和工程设备</w:t>
      </w:r>
    </w:p>
    <w:p w14:paraId="72786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5.2.1发包人负责提供的材料和工程设备的名称、规格、数量、价格、交货方式、交货地点和计划交货日期等确定后7日内转交给承包人。</w:t>
      </w:r>
    </w:p>
    <w:p w14:paraId="190C2F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5.2.3由发包人提供的材料和工程设备验收后，由承包人负责接收（含卸车）、运输和保管及二次运输，由此发生的费用被认为已经包括</w:t>
      </w:r>
      <w:r>
        <w:rPr>
          <w:rFonts w:hint="eastAsia" w:ascii="宋体" w:hAnsi="宋体" w:eastAsia="宋体" w:cs="宋体"/>
          <w:color w:val="auto"/>
          <w:sz w:val="24"/>
          <w:szCs w:val="24"/>
          <w:lang w:eastAsia="zh-CN"/>
        </w:rPr>
        <w:t>（均摊）</w:t>
      </w:r>
      <w:r>
        <w:rPr>
          <w:rFonts w:hint="eastAsia" w:ascii="宋体" w:hAnsi="宋体" w:eastAsia="宋体" w:cs="宋体"/>
          <w:color w:val="auto"/>
          <w:sz w:val="24"/>
          <w:szCs w:val="24"/>
        </w:rPr>
        <w:t>在承包人的</w:t>
      </w:r>
      <w:r>
        <w:rPr>
          <w:rFonts w:hint="eastAsia" w:ascii="宋体" w:hAnsi="宋体" w:eastAsia="宋体" w:cs="宋体"/>
          <w:color w:val="auto"/>
          <w:sz w:val="24"/>
          <w:szCs w:val="24"/>
          <w:u w:val="none"/>
          <w:lang w:val="en-US" w:eastAsia="zh-CN"/>
        </w:rPr>
        <w:t>固定含税</w:t>
      </w:r>
      <w:r>
        <w:rPr>
          <w:rFonts w:hint="eastAsia" w:ascii="宋体" w:hAnsi="宋体" w:eastAsia="宋体" w:cs="宋体"/>
          <w:color w:val="auto"/>
          <w:sz w:val="24"/>
          <w:szCs w:val="24"/>
          <w:u w:val="none"/>
        </w:rPr>
        <w:t>全费用综合单价</w:t>
      </w:r>
      <w:r>
        <w:rPr>
          <w:rFonts w:hint="eastAsia" w:ascii="宋体" w:hAnsi="宋体" w:eastAsia="宋体" w:cs="宋体"/>
          <w:color w:val="auto"/>
          <w:sz w:val="24"/>
          <w:szCs w:val="24"/>
        </w:rPr>
        <w:t>中，结算时不再另行计取。</w:t>
      </w:r>
    </w:p>
    <w:p w14:paraId="3F18D0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5.2.4（1）发包人有权视情况更改本工程所有材料的供应方式，承包人不得有异议，并不得为此向发包人提出任何索赔。</w:t>
      </w:r>
    </w:p>
    <w:p w14:paraId="649699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142FD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（3）在双方认价过程中，如发包人给与的最高限价能够采购到该产品，承包人不给予确认，发包人有权改变材料供应方式，该材料价格在结算中按材料价格的120%扣除。</w:t>
      </w:r>
    </w:p>
    <w:p w14:paraId="1CCB174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5.5第5条补充如下：</w:t>
      </w:r>
    </w:p>
    <w:p w14:paraId="752FB4B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5.5.1发包人有权视情况更改本工程所有材料的供应方式，承包人不得有异议，并不得为此向发包人提出任何索赔。</w:t>
      </w:r>
    </w:p>
    <w:p w14:paraId="08F4C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5307AF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5.5.3在双方认价过程中，如发包人给与的最高限价能够采购到该产品，承包人不给予确认，发包人有权改变材料供应方式，该材料价格在结算中按材料价格的120%扣除。</w:t>
      </w:r>
    </w:p>
    <w:p w14:paraId="53D5114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6.施工设备和临时设施</w:t>
      </w:r>
    </w:p>
    <w:p w14:paraId="41F3393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6.1承包人提供的施工设备和临时设施</w:t>
      </w:r>
    </w:p>
    <w:p w14:paraId="2DBB4F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7D05E0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3CC2F99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6.2发包人提供的施工设备和临时设施</w:t>
      </w:r>
    </w:p>
    <w:p w14:paraId="406A8D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06F6A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EE983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6.4施工设备和临时设施专用于合同工程</w:t>
      </w:r>
    </w:p>
    <w:p w14:paraId="175FB0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14:paraId="76D50CD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7.交通运输</w:t>
      </w:r>
    </w:p>
    <w:p w14:paraId="280085F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7.1道路通行权和场外设施</w:t>
      </w:r>
    </w:p>
    <w:p w14:paraId="057131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，其相关费用由承包人承担。</w:t>
      </w:r>
    </w:p>
    <w:p w14:paraId="7E06164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7.2场内施工道路</w:t>
      </w:r>
    </w:p>
    <w:p w14:paraId="47A7FB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6F7994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14:paraId="2E5497B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7.4超大件和超重件的运输</w:t>
      </w:r>
    </w:p>
    <w:p w14:paraId="28BE59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 xml:space="preserve"> 承包人</w:t>
      </w:r>
      <w:r>
        <w:rPr>
          <w:rFonts w:hint="eastAsia" w:ascii="宋体" w:hAnsi="宋体" w:eastAsia="宋体" w:cs="宋体"/>
          <w:color w:val="auto"/>
          <w:sz w:val="24"/>
          <w:szCs w:val="24"/>
        </w:rPr>
        <w:t>。</w:t>
      </w:r>
    </w:p>
    <w:p w14:paraId="3AD5451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8.测量放线</w:t>
      </w:r>
    </w:p>
    <w:p w14:paraId="345BA07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8.1施工控制网</w:t>
      </w:r>
    </w:p>
    <w:p w14:paraId="55FDEBE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3A1D8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65BF09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E520D2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9.施工安全、治安保卫和环境保护</w:t>
      </w:r>
    </w:p>
    <w:p w14:paraId="7967261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9.2承包人的施工安全责任</w:t>
      </w:r>
    </w:p>
    <w:p w14:paraId="174FC5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 xml:space="preserve"> 签订施工合同后7天内 </w:t>
      </w:r>
      <w:r>
        <w:rPr>
          <w:rFonts w:hint="eastAsia" w:ascii="宋体" w:hAnsi="宋体" w:eastAsia="宋体" w:cs="宋体"/>
          <w:color w:val="auto"/>
          <w:sz w:val="24"/>
          <w:szCs w:val="24"/>
        </w:rPr>
        <w:t>。</w:t>
      </w:r>
    </w:p>
    <w:p w14:paraId="648E53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719025F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9.3治安保卫</w:t>
      </w:r>
    </w:p>
    <w:p w14:paraId="32D571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14:paraId="0A1B2C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14:paraId="287B833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9.4环境保护</w:t>
      </w:r>
    </w:p>
    <w:p w14:paraId="7E8592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 xml:space="preserve">  签订施工合同后7天内      </w:t>
      </w:r>
      <w:r>
        <w:rPr>
          <w:rFonts w:hint="eastAsia" w:ascii="宋体" w:hAnsi="宋体" w:eastAsia="宋体" w:cs="宋体"/>
          <w:color w:val="auto"/>
          <w:sz w:val="24"/>
          <w:szCs w:val="24"/>
        </w:rPr>
        <w:t>。</w:t>
      </w:r>
    </w:p>
    <w:p w14:paraId="614D8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14:paraId="1474EF9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10.进度计划</w:t>
      </w:r>
    </w:p>
    <w:p w14:paraId="054C5B8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10.1合同进度计划</w:t>
      </w:r>
    </w:p>
    <w:p w14:paraId="7356CF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rPr>
        <w:t>，施工进度计划中还应载明要求发包人组织设计人进行阶段性工程设计交底的时间。</w:t>
      </w:r>
    </w:p>
    <w:p w14:paraId="7A21E10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14:paraId="7AEEA5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          </w:t>
      </w:r>
    </w:p>
    <w:p w14:paraId="3D1E0F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19B65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D1D0F6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10.2合同进度计划的修订</w:t>
      </w:r>
    </w:p>
    <w:p w14:paraId="098FDF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14:paraId="473CE0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 xml:space="preserve"> 收到修订合同进度计划申请报告后2天内。</w:t>
      </w:r>
    </w:p>
    <w:p w14:paraId="454191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14:paraId="4374346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11.开工和竣工</w:t>
      </w:r>
    </w:p>
    <w:p w14:paraId="5366FDE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11.3发包人的工期延误</w:t>
      </w:r>
    </w:p>
    <w:p w14:paraId="32B3AFA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14:paraId="41B302D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11.4异常恶劣的气候条件</w:t>
      </w:r>
    </w:p>
    <w:p w14:paraId="05A4BA6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 xml:space="preserve">  项目所在地30年以上一遇的罕见气候现象（包括温度、降水、降雪、风等）</w:t>
      </w:r>
      <w:r>
        <w:rPr>
          <w:rFonts w:hint="eastAsia" w:ascii="宋体" w:hAnsi="宋体" w:eastAsia="宋体" w:cs="宋体"/>
          <w:color w:val="auto"/>
          <w:sz w:val="24"/>
          <w:szCs w:val="24"/>
        </w:rPr>
        <w:t>。</w:t>
      </w:r>
    </w:p>
    <w:p w14:paraId="08D8EC83">
      <w:pPr>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14:paraId="1DDBAA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承包人因自身原因未能按照约定的期限内完成本工程，或者未能在相应的期限完成本工程中某单项工程，每延误一天承包人向发包人支付违约金为合同签约总价的 5‰ 及由此引起的所有相关损失。发包人可以向承包人支付的任何款项中扣除此项违约金，此赔偿费的支付并不能解除承包人应完成工程的责任或本合同规定的其他责任。</w:t>
      </w:r>
    </w:p>
    <w:p w14:paraId="38E777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11.5.1、延期开工：承包人因故不能按时开工，应在约定的开工日期提前五天，向发包人提出延期开工的理由和要求。发包人书面同意延期要求的，工期方可相应顺延。否则，工期不予顺延。</w:t>
      </w:r>
    </w:p>
    <w:p w14:paraId="0F1B30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11.5.2、 暂停施工：发包人代表认为必要时，可提出暂停施工要求。承包人在实施发包人代表处理意见后，应及时提出复工要求，发包人书面予以答复后，方可复工；停工责任在发包人的，工期相应顺延。停工责任在承包人的，由承包人承担发生的费用，并向发包人支付违约金。</w:t>
      </w:r>
    </w:p>
    <w:p w14:paraId="62189E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11.5.3、 工期延误：下列情况造成竣工日期推迟的，经发包人、监理方代表书面确认，工期相应顺延。</w:t>
      </w:r>
    </w:p>
    <w:p w14:paraId="0985B1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工程量变化和设计变更量超过总量的1/4时。</w:t>
      </w:r>
    </w:p>
    <w:p w14:paraId="582D9E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（2）一周内，非承包人原因停水、停电、扬尘治理、疫情影响施工造成停工连续超过48小时（不含48小时）。</w:t>
      </w:r>
    </w:p>
    <w:p w14:paraId="0B0A2F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（3）施工中遇到不可预见因素需处理时。</w:t>
      </w:r>
    </w:p>
    <w:p w14:paraId="2C1CF5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（4）不可抗力（指战争、动乱、空气飞行体坠落或其它非甲、乙双方造成的爆炸、火灾，以及协议条款约定的等级以上的风、雨、雪、震等对工程造成损害的自然灾害）。</w:t>
      </w:r>
    </w:p>
    <w:p w14:paraId="78D695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11.5.4、承包人在以上情况发生后当天内向发包人、监理方提出书面报告，发包人、监理方在收到报告后五天内予以确认答复，逾期不答复，承包人即可视为延期要求已被确认。</w:t>
      </w:r>
    </w:p>
    <w:p w14:paraId="1F326F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11.5.5、工期约定：为确保工程按期竣工验收，承包人必须按期保质保量并通过一次性验收合格，由承包人原因造成工期逾期的，每延期一天应承担合同签约总价的 5‰作为因延期给发包人造成损失的赔偿。</w:t>
      </w:r>
    </w:p>
    <w:p w14:paraId="15AFC38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11.6工期提前</w:t>
      </w:r>
    </w:p>
    <w:p w14:paraId="6C946B7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 xml:space="preserve"> 。</w:t>
      </w:r>
    </w:p>
    <w:p w14:paraId="078EA6B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12.暂停施工</w:t>
      </w:r>
    </w:p>
    <w:p w14:paraId="1ABE8E5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12.1承包人暂停施工的责任</w:t>
      </w:r>
    </w:p>
    <w:p w14:paraId="0235ED77">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B8A6FB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12.4暂停施工后的复工</w:t>
      </w:r>
    </w:p>
    <w:p w14:paraId="66DB16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4377E3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39F48D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12.4.5复工后，合同计价原则不变，仍按原合同计价，不因工期变化而调整。</w:t>
      </w:r>
    </w:p>
    <w:p w14:paraId="122C9D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12.4.6因政府主管部门扬尘治理原因通知暂缓施工的，承包人书面办理工期延期签证文件后，施工工期相应顺延，停工期间所产生的相关费用均由承包人承担。</w:t>
      </w:r>
    </w:p>
    <w:p w14:paraId="6FE90ED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14:paraId="79444A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13.1工程质量要求</w:t>
      </w:r>
    </w:p>
    <w:p w14:paraId="168349E9">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b/>
          <w:color w:val="auto"/>
          <w:sz w:val="24"/>
          <w:szCs w:val="24"/>
          <w:u w:val="single"/>
        </w:rPr>
      </w:pPr>
      <w:r>
        <w:rPr>
          <w:rFonts w:hint="eastAsia" w:ascii="宋体" w:hAnsi="宋体" w:eastAsia="宋体" w:cs="宋体"/>
          <w:color w:val="auto"/>
          <w:sz w:val="24"/>
          <w:szCs w:val="24"/>
        </w:rPr>
        <w:t>13.1.2</w:t>
      </w:r>
      <w:r>
        <w:rPr>
          <w:rFonts w:hint="eastAsia" w:ascii="宋体" w:hAnsi="宋体" w:eastAsia="宋体" w:cs="宋体"/>
          <w:b/>
          <w:color w:val="auto"/>
          <w:sz w:val="24"/>
          <w:szCs w:val="24"/>
          <w:u w:val="single"/>
        </w:rPr>
        <w:t>在工程施工过程中，因承包人偷工减料，使用劣质材料、不合格设备，或因技术、管理等自身原因，造成工程质量达不到合同约定验收标准的，发包人和监理人有权要求承包人返工直至符合合同要求为止，由此造成的费用增加和（或）工期延误由承包人承担。</w:t>
      </w:r>
    </w:p>
    <w:p w14:paraId="58AD6B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所有施工的项目工程质量必须一次性满足设计图纸中的规定及要求，并达到一次性验收合格；否则，承包人无偿返工至验收合格为止。</w:t>
      </w:r>
    </w:p>
    <w:p w14:paraId="6F901AD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13.2承包人的质量管理</w:t>
      </w:r>
    </w:p>
    <w:p w14:paraId="76B8AF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14:paraId="607AE3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14:paraId="79B938AA">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13.3承包人的质量检查 </w:t>
      </w:r>
    </w:p>
    <w:p w14:paraId="27F9A0E0">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 xml:space="preserve">每月25日前  </w:t>
      </w:r>
      <w:r>
        <w:rPr>
          <w:rFonts w:hint="eastAsia" w:ascii="宋体" w:hAnsi="宋体" w:eastAsia="宋体" w:cs="宋体"/>
          <w:color w:val="auto"/>
          <w:sz w:val="24"/>
          <w:szCs w:val="24"/>
        </w:rPr>
        <w:t>。</w:t>
      </w:r>
    </w:p>
    <w:p w14:paraId="24EB25D1">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 xml:space="preserve">  按规范及监理人要求  </w:t>
      </w:r>
      <w:r>
        <w:rPr>
          <w:rFonts w:hint="eastAsia" w:ascii="宋体" w:hAnsi="宋体" w:eastAsia="宋体" w:cs="宋体"/>
          <w:color w:val="auto"/>
          <w:sz w:val="24"/>
          <w:szCs w:val="24"/>
        </w:rPr>
        <w:t>。</w:t>
      </w:r>
    </w:p>
    <w:p w14:paraId="17F71147">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 xml:space="preserve">收到承包人报送的工程质量报表后3天内  </w:t>
      </w:r>
      <w:r>
        <w:rPr>
          <w:rFonts w:hint="eastAsia" w:ascii="宋体" w:hAnsi="宋体" w:eastAsia="宋体" w:cs="宋体"/>
          <w:color w:val="auto"/>
          <w:sz w:val="24"/>
          <w:szCs w:val="24"/>
        </w:rPr>
        <w:t>。</w:t>
      </w:r>
    </w:p>
    <w:p w14:paraId="420AA62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13.4监理人的质量检查</w:t>
      </w:r>
    </w:p>
    <w:p w14:paraId="5CD9196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E973FA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13.5工程隐蔽部位覆盖前的检查</w:t>
      </w:r>
    </w:p>
    <w:p w14:paraId="3E4A59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 xml:space="preserve"> 收到承包人的通知后3天内 </w:t>
      </w:r>
      <w:r>
        <w:rPr>
          <w:rFonts w:hint="eastAsia" w:ascii="宋体" w:hAnsi="宋体" w:eastAsia="宋体" w:cs="宋体"/>
          <w:color w:val="auto"/>
          <w:sz w:val="24"/>
          <w:szCs w:val="24"/>
        </w:rPr>
        <w:t>。</w:t>
      </w:r>
    </w:p>
    <w:p w14:paraId="7D062C2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13.7质量争议</w:t>
      </w:r>
    </w:p>
    <w:p w14:paraId="0618EA77">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13267B2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15.变更</w:t>
      </w:r>
    </w:p>
    <w:p w14:paraId="7855CA08">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15.1变更的范围和内容</w:t>
      </w:r>
    </w:p>
    <w:p w14:paraId="1BAA90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应当进行变更的其他情形：</w:t>
      </w:r>
      <w:r>
        <w:rPr>
          <w:rFonts w:hint="eastAsia" w:ascii="宋体" w:hAnsi="宋体" w:eastAsia="宋体" w:cs="宋体"/>
          <w:color w:val="auto"/>
          <w:sz w:val="24"/>
          <w:szCs w:val="24"/>
          <w:u w:val="single"/>
        </w:rPr>
        <w:t xml:space="preserve">  发包方与承包方根据实际情况另行约定    </w:t>
      </w:r>
      <w:r>
        <w:rPr>
          <w:rFonts w:hint="eastAsia" w:ascii="宋体" w:hAnsi="宋体" w:eastAsia="宋体" w:cs="宋体"/>
          <w:color w:val="auto"/>
          <w:sz w:val="24"/>
          <w:szCs w:val="24"/>
        </w:rPr>
        <w:t>。</w:t>
      </w:r>
    </w:p>
    <w:p w14:paraId="6A45E71B">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违背通用合同条款15.1(1)目的约定，将被取消的合同中的工作转由发包人或其他人实施的，承包人可向监理人发出通知，要求发包人采取有效措施纠正违约行为。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14CCB7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15.3变更程序</w:t>
      </w:r>
    </w:p>
    <w:p w14:paraId="697CF2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15.3.2变更估价</w:t>
      </w:r>
    </w:p>
    <w:p w14:paraId="32C05F04">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 xml:space="preserve">   按工程变更报批程序办理 （参照发包人工程变更报批程序） </w:t>
      </w:r>
      <w:r>
        <w:rPr>
          <w:rFonts w:hint="eastAsia" w:ascii="宋体" w:hAnsi="宋体" w:eastAsia="宋体" w:cs="宋体"/>
          <w:color w:val="auto"/>
          <w:sz w:val="24"/>
          <w:szCs w:val="24"/>
        </w:rPr>
        <w:t>。</w:t>
      </w:r>
    </w:p>
    <w:p w14:paraId="7BAB86A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 xml:space="preserve">按工程变更报批程序办理 （参照发包人工程变更报批程序）  </w:t>
      </w:r>
      <w:r>
        <w:rPr>
          <w:rFonts w:hint="eastAsia" w:ascii="宋体" w:hAnsi="宋体" w:eastAsia="宋体" w:cs="宋体"/>
          <w:color w:val="auto"/>
          <w:sz w:val="24"/>
          <w:szCs w:val="24"/>
        </w:rPr>
        <w:t>。</w:t>
      </w:r>
    </w:p>
    <w:p w14:paraId="495B1F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w:t>
      </w:r>
    </w:p>
    <w:p w14:paraId="25A422D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15.4变更的估价原则</w:t>
      </w:r>
    </w:p>
    <w:p w14:paraId="257CB3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设计变更追加工程新增加的工程量清单项目，原招标控制价中（或合同中约定的价格）两者有冲突时以合同价格为准，有的按原招标控制价（或合同中约定的价格）确定。原招标控制价（或合同中约定的价格）中没有的按照以下编制依据执行：</w:t>
      </w:r>
    </w:p>
    <w:p w14:paraId="635B98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1）、《建设工程工程量清单计价规范》（GB 50500-2013）；</w:t>
      </w:r>
    </w:p>
    <w:p w14:paraId="299C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2）、《山东省建设工程工程量清单计价规则》；</w:t>
      </w:r>
    </w:p>
    <w:p w14:paraId="79387A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3）、《2016山东省建筑、装饰、安装、园林工程消耗量定额》；                           </w:t>
      </w:r>
    </w:p>
    <w:p w14:paraId="4AA43F0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4）、《山东省建筑、装饰、安装、园林建设工程费用项目组成及计算规则》；</w:t>
      </w:r>
    </w:p>
    <w:p w14:paraId="1ADA96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5）、《建筑业营改增建设工程计价依据调整实施意见》（鲁建办[2019]10号）；</w:t>
      </w:r>
    </w:p>
    <w:p w14:paraId="28AB3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人工费执行合同签订时的邹城现行工日单价；施工过程中出现的零星用工，实际用工按150元/工日（每个工日不低于10个小时计算，包死价），只计取税金；</w:t>
      </w:r>
    </w:p>
    <w:p w14:paraId="10D161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材料、设备价格执行投标时的价格，投标文件中没有的由双方共同考察确定材料品牌、规格及价格，作为结算的依据。</w:t>
      </w:r>
    </w:p>
    <w:p w14:paraId="3F8E389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15.5承包人的合理化建议</w:t>
      </w:r>
    </w:p>
    <w:p w14:paraId="251497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 xml:space="preserve">   无                               </w:t>
      </w:r>
    </w:p>
    <w:p w14:paraId="167B2AF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14:paraId="78ED36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7ECB53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(1)在任何招标工作启动前，承包人应当提前至少</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天内给予批准或者提出修改意见。承包人应当严格按照经过发包人批准的招标工作计划开展招标工作。</w:t>
      </w:r>
    </w:p>
    <w:p w14:paraId="518891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(2)承包人应当在发出招标公告(或者资格预审公告或者投标邀请书)、资格预审文件和招标文件前至少</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天，分别将相关文件通过监理人报请发包人审批，发包人应当在监理人收到承包人报送的相关文件后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28D0D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(3)如果发、承包任何一方委派评标代表，评标委员会应当由七人以上单数构成。除发包人或者承包人自愿放弃委派评标代表的权利外，招标人评标代表应当分别由发包人和承包人等额委派。</w:t>
      </w:r>
    </w:p>
    <w:p w14:paraId="76A9BF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20EA7E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423D69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217E02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(7)承包人与专业分包人或者专项供应商订立合同前</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天内给予批准或者提出修改意见，承包人应当按照发包人批准的合同文件签订相关合同，合同订立后</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天内，承包人应当将其中的两份副本报送监理人，其中一份由监理人报发包人留存。</w:t>
      </w:r>
    </w:p>
    <w:p w14:paraId="332BF9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(8)发包人对承包人报送文件进行审批或提出的修改意见应当合理，并符合现行有关法律法规的规定。</w:t>
      </w:r>
    </w:p>
    <w:p w14:paraId="63EB85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6B6313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15.8.2发包人给定暂估价的材料和工程设备不属于依法必须招标的范围或未达到规定的规模标准的，按照下列约定：</w:t>
      </w:r>
      <w:r>
        <w:rPr>
          <w:rFonts w:hint="eastAsia" w:ascii="宋体" w:hAnsi="宋体" w:eastAsia="宋体" w:cs="宋体"/>
          <w:b/>
          <w:color w:val="auto"/>
          <w:sz w:val="24"/>
          <w:szCs w:val="24"/>
          <w:u w:val="single"/>
        </w:rPr>
        <w:t>招标文件给定暂估价的材料、工程设备的实施时由发包方与承包方共同考察，确定材料设备品牌、规格及价格，由承包方负责采购和实施，结算时按发包方签证价格进行调整</w:t>
      </w:r>
      <w:r>
        <w:rPr>
          <w:rFonts w:hint="eastAsia" w:ascii="宋体" w:hAnsi="宋体" w:eastAsia="宋体" w:cs="宋体"/>
          <w:color w:val="auto"/>
          <w:sz w:val="24"/>
          <w:szCs w:val="24"/>
          <w:u w:val="single"/>
        </w:rPr>
        <w:t>。</w:t>
      </w:r>
    </w:p>
    <w:p w14:paraId="0E9B267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16.价格调整</w:t>
      </w:r>
    </w:p>
    <w:p w14:paraId="31B587E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5E7CF3D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17.计量与支付</w:t>
      </w:r>
    </w:p>
    <w:p w14:paraId="3E26EA77">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17.1计量</w:t>
      </w:r>
    </w:p>
    <w:p w14:paraId="63A298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14:paraId="498771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工程量计算规则执行国家标准《建设工程工程量清单计价规范》(GB50500—2013)及</w:t>
      </w:r>
      <w:r>
        <w:rPr>
          <w:rFonts w:hint="eastAsia" w:ascii="宋体" w:hAnsi="宋体" w:eastAsia="宋体" w:cs="宋体"/>
          <w:b/>
          <w:color w:val="auto"/>
          <w:sz w:val="24"/>
          <w:szCs w:val="24"/>
        </w:rPr>
        <w:t>《山东省建设工程工程量清单计价规则》</w:t>
      </w:r>
      <w:r>
        <w:rPr>
          <w:rFonts w:hint="eastAsia" w:ascii="宋体" w:hAnsi="宋体" w:eastAsia="宋体" w:cs="宋体"/>
          <w:color w:val="auto"/>
          <w:sz w:val="24"/>
          <w:szCs w:val="24"/>
        </w:rPr>
        <w:t>或其适用的修订版本。除合同另有约定外，承包人实际完成的工程量按约定的工程量计算规则和有合同约束力的图纸进行计量。</w:t>
      </w:r>
    </w:p>
    <w:p w14:paraId="587DB5B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17.2预付款</w:t>
      </w:r>
    </w:p>
    <w:p w14:paraId="785C708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17.2.1预付款</w:t>
      </w:r>
    </w:p>
    <w:p w14:paraId="3E385372">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(1)预付款额度</w:t>
      </w:r>
    </w:p>
    <w:p w14:paraId="30E782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分部分项工程部分的预付款额度：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548C8B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措施项目部分预付款额度：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86D3A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其中：安全文明施工费用预付额度：</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0A7B34A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(2)预付办法</w:t>
      </w:r>
    </w:p>
    <w:p w14:paraId="198692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预付款预付办法：</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p>
    <w:p w14:paraId="77FCB1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预付款的支付时间：</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p>
    <w:p w14:paraId="6B2F00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发包人逾期支付合同约定的预付款时，双方协商确定逾期支付时间，不承担通用合同条款第22.2款约定的违约责任及专用合同条款第17.3.3(2)目约定的标准和方法计算的逾期付款违约金。</w:t>
      </w:r>
    </w:p>
    <w:p w14:paraId="6806C91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17.2.2预付款保函</w:t>
      </w:r>
    </w:p>
    <w:p w14:paraId="495AA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预付款保函的金额与预付款金额相同。预付款保函的提交时间：</w:t>
      </w:r>
      <w:r>
        <w:rPr>
          <w:rFonts w:hint="eastAsia" w:ascii="宋体" w:hAnsi="宋体" w:eastAsia="宋体" w:cs="宋体"/>
          <w:color w:val="auto"/>
          <w:sz w:val="24"/>
          <w:szCs w:val="24"/>
          <w:u w:val="single"/>
        </w:rPr>
        <w:t xml:space="preserve">  无   </w:t>
      </w:r>
    </w:p>
    <w:p w14:paraId="064AEF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38427FD5">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17.2.3预付款的扣回与还清</w:t>
      </w:r>
    </w:p>
    <w:p w14:paraId="0668E8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预付款的扣回办法：</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33FA033A">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17.2.4预付款保函的格式</w:t>
      </w:r>
    </w:p>
    <w:p w14:paraId="3ED928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7826A3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17.2.5预付款保函的有效期</w:t>
      </w:r>
    </w:p>
    <w:p w14:paraId="5D3CE6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预付款保函的有效期应当自预付款支付给承包人之日起至发包人签认的进度付款证书说明预付款已完全扣清之日止。</w:t>
      </w:r>
    </w:p>
    <w:p w14:paraId="560196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17.2.6发包人的通知义务</w:t>
      </w:r>
    </w:p>
    <w:p w14:paraId="47B2BC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不管保函条款中如何约定，发包人根据担保提出索赔或兑现要求之前，均应通知承包人并说明导致此类索赔或兑现的原因，但此类通知不应理解为是在任何意义上寻求承包人的同意。</w:t>
      </w:r>
    </w:p>
    <w:p w14:paraId="7ACF59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17.2.7预付款保函的退还</w:t>
      </w:r>
    </w:p>
    <w:p w14:paraId="325477F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预付款保函应在发包人签认的进度付款证书说明预付款已完全扣清之日后14天内退还给承包人。发包人不承担承包人与预付款保函有关的任何利息或其它类似的费用或者收益。</w:t>
      </w:r>
    </w:p>
    <w:p w14:paraId="65EBA68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17.3工程进度付款</w:t>
      </w:r>
    </w:p>
    <w:p w14:paraId="092443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14:paraId="26527A2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 xml:space="preserve">贰份 </w:t>
      </w:r>
      <w:r>
        <w:rPr>
          <w:rFonts w:hint="eastAsia" w:ascii="宋体" w:hAnsi="宋体" w:eastAsia="宋体" w:cs="宋体"/>
          <w:color w:val="auto"/>
          <w:sz w:val="24"/>
          <w:szCs w:val="24"/>
        </w:rPr>
        <w:t>。</w:t>
      </w:r>
    </w:p>
    <w:p w14:paraId="6A429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 xml:space="preserve">按监理人统一要求办理  </w:t>
      </w:r>
      <w:r>
        <w:rPr>
          <w:rFonts w:hint="eastAsia" w:ascii="宋体" w:hAnsi="宋体" w:eastAsia="宋体" w:cs="宋体"/>
          <w:color w:val="auto"/>
          <w:sz w:val="24"/>
          <w:szCs w:val="24"/>
        </w:rPr>
        <w:t>。</w:t>
      </w:r>
    </w:p>
    <w:p w14:paraId="013D29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14:paraId="49F657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4731B2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25AA553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14:paraId="77F7E2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进度付款的支付方法：</w:t>
      </w:r>
    </w:p>
    <w:p w14:paraId="75E6EF46">
      <w:pPr>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none"/>
          <w:lang w:val="en-US" w:eastAsia="zh-CN"/>
        </w:rPr>
        <w:t>1</w:t>
      </w: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single"/>
        </w:rPr>
        <w:t>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同比例扣除发包人供应材料、设备价款）。</w:t>
      </w:r>
    </w:p>
    <w:p w14:paraId="3FF4E6D2">
      <w:pPr>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none"/>
          <w:lang w:val="en-US" w:eastAsia="zh-CN"/>
        </w:rPr>
        <w:t>2</w:t>
      </w:r>
      <w:r>
        <w:rPr>
          <w:rFonts w:hint="eastAsia" w:ascii="宋体" w:hAnsi="宋体" w:eastAsia="宋体" w:cs="宋体"/>
          <w:b/>
          <w:bCs/>
          <w:color w:val="auto"/>
          <w:sz w:val="24"/>
          <w:szCs w:val="24"/>
          <w:u w:val="none"/>
          <w:lang w:eastAsia="zh-CN"/>
        </w:rPr>
        <w:t>）</w:t>
      </w:r>
      <w:r>
        <w:rPr>
          <w:rFonts w:hint="eastAsia" w:ascii="宋体" w:hAnsi="宋体" w:eastAsia="宋体" w:cs="宋体"/>
          <w:b/>
          <w:bCs/>
          <w:color w:val="auto"/>
          <w:sz w:val="24"/>
          <w:szCs w:val="24"/>
          <w:u w:val="single"/>
        </w:rPr>
        <w:t>整体工程施工全部完成，并经甲方及监理方验收合格后，累计支付实际完成总额工程造价的85%（同比例扣除发包人供应材料、设备价款）。</w:t>
      </w:r>
    </w:p>
    <w:p w14:paraId="52EAFA08">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）整体工程竣工验收合格移交工程竣工资料并工程备案完毕、</w:t>
      </w:r>
      <w:r>
        <w:rPr>
          <w:rFonts w:hint="eastAsia" w:ascii="宋体" w:hAnsi="宋体" w:eastAsia="宋体" w:cs="宋体"/>
          <w:b/>
          <w:bCs/>
          <w:color w:val="auto"/>
          <w:sz w:val="24"/>
          <w:szCs w:val="24"/>
          <w:u w:val="single"/>
        </w:rPr>
        <w:t>经</w:t>
      </w:r>
      <w:r>
        <w:rPr>
          <w:rFonts w:hint="eastAsia" w:ascii="宋体" w:hAnsi="宋体" w:eastAsia="宋体" w:cs="宋体"/>
          <w:b/>
          <w:bCs/>
          <w:color w:val="auto"/>
          <w:sz w:val="24"/>
          <w:szCs w:val="24"/>
          <w:u w:val="single"/>
          <w:lang w:val="en-US" w:eastAsia="zh-CN"/>
        </w:rPr>
        <w:t>具有工程造价咨询资质的机构</w:t>
      </w:r>
      <w:r>
        <w:rPr>
          <w:rFonts w:hint="eastAsia" w:ascii="宋体" w:hAnsi="宋体" w:eastAsia="宋体" w:cs="宋体"/>
          <w:b/>
          <w:bCs/>
          <w:color w:val="auto"/>
          <w:sz w:val="24"/>
          <w:szCs w:val="24"/>
          <w:u w:val="single"/>
        </w:rPr>
        <w:t>审计完成</w:t>
      </w:r>
      <w:r>
        <w:rPr>
          <w:rFonts w:hint="eastAsia" w:ascii="宋体" w:hAnsi="宋体" w:eastAsia="宋体" w:cs="宋体"/>
          <w:b/>
          <w:bCs/>
          <w:color w:val="auto"/>
          <w:sz w:val="24"/>
          <w:szCs w:val="24"/>
          <w:u w:val="single"/>
        </w:rPr>
        <w:t>，竣工结算办理完毕手续后累计支付到结算值的97%（全额扣除发包人供应材料、设备价款）。</w:t>
      </w:r>
    </w:p>
    <w:p w14:paraId="44E4EAF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rPr>
        <w:t>）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5996CB3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lang w:val="zh-CN"/>
        </w:rPr>
        <w:t>（</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lang w:val="zh-CN"/>
        </w:rPr>
        <w:t>）工程结算总价</w:t>
      </w:r>
      <w:r>
        <w:rPr>
          <w:rFonts w:hint="eastAsia" w:ascii="宋体" w:hAnsi="宋体" w:eastAsia="宋体" w:cs="宋体"/>
          <w:b/>
          <w:bCs/>
          <w:color w:val="auto"/>
          <w:sz w:val="24"/>
          <w:szCs w:val="24"/>
          <w:u w:val="single"/>
        </w:rPr>
        <w:t>=确认的固定含税全费用综合单价×实测工程量</w:t>
      </w:r>
      <w:r>
        <w:rPr>
          <w:rFonts w:hint="eastAsia" w:ascii="宋体" w:hAnsi="宋体" w:eastAsia="宋体" w:cs="宋体"/>
          <w:b/>
          <w:bCs/>
          <w:color w:val="auto"/>
          <w:sz w:val="24"/>
          <w:szCs w:val="24"/>
          <w:u w:val="single"/>
          <w:lang w:val="zh-CN"/>
        </w:rPr>
        <w:t>+设计变更、洽商、签证＋依据本合同的增加项目-依据本合同的减少项目-违约金和（或）损失赔偿额；</w:t>
      </w:r>
      <w:r>
        <w:rPr>
          <w:rFonts w:hint="eastAsia" w:ascii="宋体" w:hAnsi="宋体" w:eastAsia="宋体" w:cs="宋体"/>
          <w:b/>
          <w:bCs/>
          <w:color w:val="auto"/>
          <w:sz w:val="24"/>
          <w:szCs w:val="24"/>
          <w:u w:val="single"/>
        </w:rPr>
        <w:t>结算资料需双方签字盖章方为有效，不符合条件的工程结算资料依据均属无效，双方不作为办理结算的依据。</w:t>
      </w:r>
    </w:p>
    <w:p w14:paraId="4A3293D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为确保工程保质保量按期完工，本项目工程款承包人必须专款专用，如发现承包人挪用工程款现象，由此造成的一切损失均由承包人承担。</w:t>
      </w:r>
    </w:p>
    <w:p w14:paraId="66EB4C2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u w:val="single"/>
        </w:rPr>
        <w:t>因承包人原因停止施工的，发包人有权单方解除合同，并要求承包人双倍退回发包人已支付的工程款。</w:t>
      </w:r>
    </w:p>
    <w:p w14:paraId="58C8F0F6">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甲乙双方办理每一次付款手续前，承包人须向发包人开具与当期已完工并完成对应核算产值或结算产值等额的、合法有效的增值税发票及收款收据，并加盖发票专用章及公司财务专用章。发包人在收取承包人发票及收款收据后支付工程款到承包人提供的自有账户。</w:t>
      </w:r>
    </w:p>
    <w:p w14:paraId="3E2254B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承包人须同时提供其防伪税控系统开具的《销售货物或者提供应税劳务清单》,并加盖发票专用章。发包人收到承包人的增值税发票须经过</w:t>
      </w:r>
      <w:r>
        <w:rPr>
          <w:rFonts w:hint="eastAsia" w:ascii="宋体" w:hAnsi="宋体" w:cs="宋体"/>
          <w:b/>
          <w:bCs/>
          <w:color w:val="auto"/>
          <w:sz w:val="24"/>
          <w:szCs w:val="24"/>
          <w:u w:val="single"/>
          <w:lang w:eastAsia="zh-CN"/>
        </w:rPr>
        <w:t>确认</w:t>
      </w:r>
      <w:r>
        <w:rPr>
          <w:rFonts w:hint="eastAsia" w:ascii="宋体" w:hAnsi="宋体" w:eastAsia="宋体" w:cs="宋体"/>
          <w:b/>
          <w:bCs/>
          <w:color w:val="auto"/>
          <w:sz w:val="24"/>
          <w:szCs w:val="24"/>
          <w:u w:val="single"/>
        </w:rPr>
        <w:t>后方可向承包人付款。如发生发票丢失、毁损及需要开具红字增值税发票等情况时，双方应互相配合进行处理，如承包人不予及时配合解决，全部责任及损失由承包人承担。</w:t>
      </w:r>
    </w:p>
    <w:p w14:paraId="1CB884A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开具的增值税发票必须符合国家税收有关法律规定，不得使用虚假发票或伪造、变造的发票，否则一切责任由承包人自行承担，同时承包人需向发包人承担票面金额20%的违约金，对由此引起的发包人全部损失由承包人负责双倍赔偿。</w:t>
      </w:r>
    </w:p>
    <w:p w14:paraId="66C950EC">
      <w:pPr>
        <w:pStyle w:val="10"/>
        <w:widowControl w:val="0"/>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承包人提供的发票为虚开、伪造、变造、未交税款等导致发包人无法抵扣，或被税务机关认定为取得异常增值税扣税凭证的，相关增值税及增值税附加、城市维护建设税、教育费附加、地方教育费附加，以及由此导致发包人未按税法规定取得合规发票、无法在税前扣除公司，成本减少，企业所得税增加的损失（包括因总体亏损等当年未交所得税，无法在税前扣除影响的将来弥补上年度亏损同样的额度的损失）等均由承包人承担，发包人有权向承包人追偿。</w:t>
      </w:r>
    </w:p>
    <w:p w14:paraId="0D765587">
      <w:pPr>
        <w:pStyle w:val="10"/>
        <w:widowControl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承包人知悉并特别承诺，发票是发包人办理付款手续的必须资料，付款前，承包人须开具相等金额的合法发票，否则视为款项不到期，发包人有权拒绝付款并无须承担任何责任。</w:t>
      </w:r>
    </w:p>
    <w:p w14:paraId="6DCDB868">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进度款与质量挂钩，若所报工程质量达不到验收规范要求，发包人有权不予支付该部分工程款，同时承包人须依据本合同支付违约金并赔偿发包人损失。</w:t>
      </w:r>
    </w:p>
    <w:p w14:paraId="5B73973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在质保金退还前，承包人还必须按发包人规定填写《质保金退还申请表》，由发包人的客户服务及负责该工程物业服务的部门确认承包人在该期间履行了保修义务后，方可办理质保金退还及领取手续。在质保金退还后的质保期间，承包人仍应按照合同约定及相关法律规定的质量保修范围承担质保义务，承包人未尽质保义务的，因此发生的责任和费用由承包人承担。</w:t>
      </w:r>
    </w:p>
    <w:p w14:paraId="49DD6DBA">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（3）发包人增值税发票开票信息</w:t>
      </w:r>
    </w:p>
    <w:p w14:paraId="42C1CFB2">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(1)名称：</w:t>
      </w:r>
      <w:r>
        <w:rPr>
          <w:rFonts w:hint="eastAsia" w:ascii="宋体" w:hAnsi="宋体" w:eastAsia="宋体" w:cs="宋体"/>
          <w:color w:val="auto"/>
          <w:sz w:val="24"/>
          <w:szCs w:val="24"/>
          <w:u w:val="single"/>
          <w:lang w:eastAsia="zh-CN"/>
        </w:rPr>
        <w:t>邹城市钢山街道李官庄村村民委员会</w:t>
      </w:r>
    </w:p>
    <w:p w14:paraId="7C592BBB">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(2)纳税人设别号：</w:t>
      </w:r>
      <w:r>
        <w:rPr>
          <w:rFonts w:hint="eastAsia" w:ascii="宋体" w:hAnsi="宋体" w:eastAsia="宋体" w:cs="宋体"/>
          <w:color w:val="auto"/>
          <w:sz w:val="24"/>
          <w:szCs w:val="24"/>
          <w:u w:val="single"/>
          <w:lang w:eastAsia="zh-CN"/>
        </w:rPr>
        <w:t>54370883B4784119X4</w:t>
      </w:r>
    </w:p>
    <w:p w14:paraId="6E78824A">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(3)工程地点：</w:t>
      </w:r>
      <w:r>
        <w:rPr>
          <w:rFonts w:hint="eastAsia" w:ascii="宋体" w:hAnsi="宋体" w:eastAsia="宋体" w:cs="宋体"/>
          <w:color w:val="auto"/>
          <w:sz w:val="24"/>
          <w:szCs w:val="24"/>
          <w:u w:val="single"/>
          <w:lang w:eastAsia="zh-CN"/>
        </w:rPr>
        <w:t>邹城市钢山花园社区内</w:t>
      </w:r>
    </w:p>
    <w:p w14:paraId="4F8B1010">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(4)工程名称：</w:t>
      </w:r>
      <w:r>
        <w:rPr>
          <w:rFonts w:hint="eastAsia" w:ascii="宋体" w:hAnsi="宋体" w:cs="宋体"/>
          <w:color w:val="auto"/>
          <w:sz w:val="24"/>
          <w:szCs w:val="24"/>
          <w:u w:val="single"/>
          <w:lang w:eastAsia="zh-CN"/>
        </w:rPr>
        <w:t>邹城市钢山街道办事处钢山花园小区李官村三期室外雨污水及弱电管网工程</w:t>
      </w:r>
      <w:r>
        <w:rPr>
          <w:rFonts w:hint="eastAsia" w:ascii="宋体" w:hAnsi="宋体" w:eastAsia="宋体" w:cs="宋体"/>
          <w:color w:val="auto"/>
          <w:sz w:val="24"/>
          <w:szCs w:val="24"/>
        </w:rPr>
        <w:t>；</w:t>
      </w:r>
    </w:p>
    <w:p w14:paraId="19B6A902">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(4)承包人增值税发票开票信息</w:t>
      </w:r>
    </w:p>
    <w:p w14:paraId="781095E9">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（1）公 司  名 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703F4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（2）纳税人识别号：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w:t>
      </w:r>
    </w:p>
    <w:p w14:paraId="4C5AB5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（3）开 户 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D9879B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 户  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4CE22C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（5）公 司  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DDD1477">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（6）公 司  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40AF3AA">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（7）公司电子邮箱：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771E3B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14:paraId="093F33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523420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B0986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326BCD1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17.4质量保证金</w:t>
      </w:r>
    </w:p>
    <w:p w14:paraId="535693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免费质量包修期内，出现质量问题，承包人接到发包人维修通知后，未能在规定时间内进行维修，则视为授权发包人（或发包人指定的物业公司）组织维修，并由承包人承担所有费用和质量责任。上述费用在承包人质保金中直接双倍扣除后，若质保金额不足以支付以上费用，承包人负责补足质保金。</w:t>
      </w:r>
    </w:p>
    <w:p w14:paraId="1F0C00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在免费质量包修期内，出现质量问题，由于承包人原因，发包人（或发包人指定的物业公司）无法同承包人取得联系，按照上条执行。</w:t>
      </w:r>
    </w:p>
    <w:p w14:paraId="6F7515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质量问题后，发包人（或发包人指定的物业公司）是否与承包人指定的联系人取得联系及联系时间以发包人（或发包人指定的物业公司）联系记录为准，维修项目及费用以发包人、物业公司、实际施工方三方签字的资料为准。</w:t>
      </w:r>
    </w:p>
    <w:p w14:paraId="13D90C6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17.5竣工结算</w:t>
      </w:r>
    </w:p>
    <w:p w14:paraId="4315857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14:paraId="52AD0A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 xml:space="preserve">   贰份                              </w:t>
      </w:r>
      <w:r>
        <w:rPr>
          <w:rFonts w:hint="eastAsia" w:ascii="宋体" w:hAnsi="宋体" w:eastAsia="宋体" w:cs="宋体"/>
          <w:color w:val="auto"/>
          <w:sz w:val="24"/>
          <w:szCs w:val="24"/>
        </w:rPr>
        <w:t>。</w:t>
      </w:r>
    </w:p>
    <w:p w14:paraId="7CF12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 xml:space="preserve">  竣工验收合格后28天内              </w:t>
      </w:r>
      <w:r>
        <w:rPr>
          <w:rFonts w:hint="eastAsia" w:ascii="宋体" w:hAnsi="宋体" w:eastAsia="宋体" w:cs="宋体"/>
          <w:color w:val="auto"/>
          <w:sz w:val="24"/>
          <w:szCs w:val="24"/>
        </w:rPr>
        <w:t>。</w:t>
      </w:r>
    </w:p>
    <w:p w14:paraId="2EC0D2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14:paraId="4EE165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3E0672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lang w:val="zh-CN"/>
        </w:rPr>
        <w:t>工程结算总价</w:t>
      </w:r>
      <w:r>
        <w:rPr>
          <w:rFonts w:hint="eastAsia" w:ascii="宋体" w:hAnsi="宋体" w:eastAsia="宋体" w:cs="宋体"/>
          <w:color w:val="auto"/>
          <w:sz w:val="24"/>
          <w:szCs w:val="24"/>
          <w:u w:val="single"/>
        </w:rPr>
        <w:t>=确认的固定含税全费用综合单价×实测工程量</w:t>
      </w:r>
      <w:r>
        <w:rPr>
          <w:rFonts w:hint="eastAsia" w:ascii="宋体" w:hAnsi="宋体" w:eastAsia="宋体" w:cs="宋体"/>
          <w:color w:val="auto"/>
          <w:sz w:val="24"/>
          <w:szCs w:val="24"/>
          <w:u w:val="single"/>
          <w:lang w:val="zh-CN"/>
        </w:rPr>
        <w:t>+设计变更、洽商、签证＋依据本合同的增加项目-依据本合同的减少项目-违约金和（或）损失赔偿额；</w:t>
      </w:r>
      <w:r>
        <w:rPr>
          <w:rFonts w:hint="eastAsia" w:ascii="宋体" w:hAnsi="宋体" w:eastAsia="宋体" w:cs="宋体"/>
          <w:color w:val="auto"/>
          <w:sz w:val="24"/>
          <w:szCs w:val="24"/>
          <w:u w:val="single"/>
        </w:rPr>
        <w:t>结算资料需双方签字盖章方为有效，不符合条件的工程结算资料依据均属无效，双方不作为办理结算的依据。</w:t>
      </w:r>
    </w:p>
    <w:p w14:paraId="3F39578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不管通用合同条款17.5.2项如何约定，发包人和承包人应当在监理人颁发(出具)工程接收证书后90天内办清竣工结算和竣工付款。</w:t>
      </w:r>
    </w:p>
    <w:p w14:paraId="575F52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17.6最终结清</w:t>
      </w:r>
    </w:p>
    <w:p w14:paraId="5D62A2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14:paraId="3F55B6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   五份 </w:t>
      </w:r>
      <w:r>
        <w:rPr>
          <w:rFonts w:hint="eastAsia" w:ascii="宋体" w:hAnsi="宋体" w:eastAsia="宋体" w:cs="宋体"/>
          <w:color w:val="auto"/>
          <w:sz w:val="24"/>
          <w:szCs w:val="24"/>
        </w:rPr>
        <w:t>。</w:t>
      </w:r>
    </w:p>
    <w:p w14:paraId="35235A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 xml:space="preserve">  缺陷责任期终止证书签发后30天内   </w:t>
      </w:r>
      <w:r>
        <w:rPr>
          <w:rFonts w:hint="eastAsia" w:ascii="宋体" w:hAnsi="宋体" w:eastAsia="宋体" w:cs="宋体"/>
          <w:color w:val="auto"/>
          <w:sz w:val="24"/>
          <w:szCs w:val="24"/>
        </w:rPr>
        <w:t>。</w:t>
      </w:r>
    </w:p>
    <w:p w14:paraId="1977D4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18.竣工验收</w:t>
      </w:r>
    </w:p>
    <w:p w14:paraId="4717DC73">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18.2竣工验收申请报告</w:t>
      </w:r>
    </w:p>
    <w:p w14:paraId="6CA16C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rPr>
        <w:t>。</w:t>
      </w:r>
    </w:p>
    <w:p w14:paraId="7CB5EF3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w:t>
      </w:r>
      <w:r>
        <w:rPr>
          <w:rFonts w:hint="eastAsia" w:ascii="宋体" w:hAnsi="宋体" w:eastAsia="宋体" w:cs="宋体"/>
          <w:color w:val="auto"/>
          <w:sz w:val="24"/>
          <w:szCs w:val="24"/>
          <w:u w:val="single"/>
        </w:rPr>
        <w:t xml:space="preserve">按工程所在地建设行政主管部门和(或)城市建设档案管理机构的规定及发包人要求    </w:t>
      </w:r>
      <w:r>
        <w:rPr>
          <w:rFonts w:hint="eastAsia" w:ascii="宋体" w:hAnsi="宋体" w:eastAsia="宋体" w:cs="宋体"/>
          <w:color w:val="auto"/>
          <w:sz w:val="24"/>
          <w:szCs w:val="24"/>
        </w:rPr>
        <w:t>。</w:t>
      </w:r>
    </w:p>
    <w:p w14:paraId="1F7C85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 xml:space="preserve">  由承包人自行承担  </w:t>
      </w:r>
      <w:r>
        <w:rPr>
          <w:rFonts w:hint="eastAsia" w:ascii="宋体" w:hAnsi="宋体" w:eastAsia="宋体" w:cs="宋体"/>
          <w:color w:val="auto"/>
          <w:sz w:val="24"/>
          <w:szCs w:val="24"/>
        </w:rPr>
        <w:t>。</w:t>
      </w:r>
    </w:p>
    <w:p w14:paraId="09281F6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18.3验收</w:t>
      </w:r>
    </w:p>
    <w:p w14:paraId="358052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14:paraId="53D43302">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18.5施工期运行</w:t>
      </w:r>
    </w:p>
    <w:p w14:paraId="5F3DB6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 xml:space="preserve">   根据实际情况按发包人要求  </w:t>
      </w:r>
      <w:r>
        <w:rPr>
          <w:rFonts w:hint="eastAsia" w:ascii="宋体" w:hAnsi="宋体" w:eastAsia="宋体" w:cs="宋体"/>
          <w:color w:val="auto"/>
          <w:sz w:val="24"/>
          <w:szCs w:val="24"/>
        </w:rPr>
        <w:t>。</w:t>
      </w:r>
    </w:p>
    <w:p w14:paraId="03F39F2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18.6试运行</w:t>
      </w:r>
    </w:p>
    <w:p w14:paraId="7904CA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14:paraId="3E24B3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14:paraId="6BB8B7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14:paraId="750052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（3）投料试运行应在工程竣工验收后由发包人负责，如发包人要求在工程竣工验收前进行或需要承包人配合时，应征得承包人同意，另行签订补充协议。</w:t>
      </w:r>
    </w:p>
    <w:p w14:paraId="663C0DB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18.7竣工清场</w:t>
      </w:r>
    </w:p>
    <w:p w14:paraId="74B74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14:paraId="0B20DE7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18.8施工队伍的撤离</w:t>
      </w:r>
    </w:p>
    <w:p w14:paraId="1B7536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45E1B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 xml:space="preserve">缺陷责任期满时，承包人的人员和施工设备应全部撤离施工场地     </w:t>
      </w:r>
      <w:r>
        <w:rPr>
          <w:rFonts w:hint="eastAsia" w:ascii="宋体" w:hAnsi="宋体" w:eastAsia="宋体" w:cs="宋体"/>
          <w:color w:val="auto"/>
          <w:sz w:val="24"/>
          <w:szCs w:val="24"/>
        </w:rPr>
        <w:t>。</w:t>
      </w:r>
    </w:p>
    <w:p w14:paraId="504FE52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18.9中间验收</w:t>
      </w:r>
    </w:p>
    <w:p w14:paraId="0AEC64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r>
        <w:rPr>
          <w:rFonts w:hint="eastAsia" w:ascii="宋体" w:hAnsi="宋体" w:eastAsia="宋体" w:cs="宋体"/>
          <w:color w:val="auto"/>
          <w:sz w:val="24"/>
          <w:szCs w:val="24"/>
          <w:u w:val="single"/>
        </w:rPr>
        <w:t xml:space="preserve">                                                                                     </w:t>
      </w:r>
    </w:p>
    <w:p w14:paraId="457485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 xml:space="preserve"> 监理人要求的 </w:t>
      </w:r>
      <w:r>
        <w:rPr>
          <w:rFonts w:hint="eastAsia" w:ascii="宋体" w:hAnsi="宋体" w:eastAsia="宋体" w:cs="宋体"/>
          <w:color w:val="auto"/>
          <w:sz w:val="24"/>
          <w:szCs w:val="24"/>
        </w:rPr>
        <w:t>期限内进行修改后重新验收。</w:t>
      </w:r>
    </w:p>
    <w:p w14:paraId="2258CB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1DC3BB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14:paraId="3DA11A3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19.缺陷责任与保修责任</w:t>
      </w:r>
    </w:p>
    <w:p w14:paraId="0B4B5010">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19.7保修责任</w:t>
      </w:r>
    </w:p>
    <w:p w14:paraId="4F70E9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5A419C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444DF0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 xml:space="preserve"> 详见质量保修书    </w:t>
      </w:r>
      <w:r>
        <w:rPr>
          <w:rFonts w:hint="eastAsia" w:ascii="宋体" w:hAnsi="宋体" w:eastAsia="宋体" w:cs="宋体"/>
          <w:color w:val="auto"/>
          <w:sz w:val="24"/>
          <w:szCs w:val="24"/>
        </w:rPr>
        <w:t>。</w:t>
      </w:r>
    </w:p>
    <w:p w14:paraId="007E6C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3D598F14">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14:paraId="26A58A3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14:paraId="21BD8F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工程保险。投保工程保险时，险种为：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，并符合以下约定。</w:t>
      </w:r>
    </w:p>
    <w:p w14:paraId="5E138C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4D07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2012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(3)保险费率：由投保人与合同双方同意的保险人商定。</w:t>
      </w:r>
    </w:p>
    <w:p w14:paraId="5D98E3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0833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981416">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14:paraId="68946F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14:paraId="582F3659">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14:paraId="0363AE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承包人应为其施工设备、进场材料和工程设备等办理的保险：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B16A22">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14:paraId="41F6E5FD">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20.6.1保险凭证</w:t>
      </w:r>
    </w:p>
    <w:p w14:paraId="4EFE1D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承包人向发包人提交各项保险生效的证据和保险单副本的期限：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9DEB4FE">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14:paraId="4D8F95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 </w:t>
      </w:r>
    </w:p>
    <w:p w14:paraId="20F5055E">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21.不可抗力</w:t>
      </w:r>
    </w:p>
    <w:p w14:paraId="3A64860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21.1不可抗力的确认</w:t>
      </w:r>
    </w:p>
    <w:p w14:paraId="3BA54C7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 xml:space="preserve">  按国家有关部门认定的标准。 </w:t>
      </w:r>
    </w:p>
    <w:p w14:paraId="1648D8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 xml:space="preserve">  发包人与承包人另行协商约定         。 </w:t>
      </w:r>
    </w:p>
    <w:p w14:paraId="2C0CE14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21.3不可抗力后果及其处理</w:t>
      </w:r>
    </w:p>
    <w:p w14:paraId="2A013DC3">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14:paraId="77C0F2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14:paraId="5A7E3A64">
      <w:pPr>
        <w:pStyle w:val="4"/>
        <w:widowControl w:val="0"/>
        <w:numPr>
          <w:ilvl w:val="0"/>
          <w:numId w:val="4"/>
        </w:numPr>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违约</w:t>
      </w:r>
    </w:p>
    <w:p w14:paraId="174F6E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第22.1.1条补充如下：</w:t>
      </w:r>
    </w:p>
    <w:p w14:paraId="6E054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所有特殊工种人员均应符合有关规定，获得上岗资格，持有有关部门颁发的资质证书或上岗证（且在有效期内），并在施工上岗之前提供给监理工程师审查，施工中持证上岗，并佩戴单位上岗证。在特殊工种的施工中，若发现不佩戴岗位证的人员，不持有资格证书施工，则按每发现一次，按照人民币1000元/人次向发包人支付违约金。累计10次则停工整顿。</w:t>
      </w:r>
    </w:p>
    <w:p w14:paraId="5F4E88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在工程施工过程中以及保修期内，由于承包人责任出现质量问题、劳资纠纷、拖欠工人工资或者其他原因，受到报纸、电视等媒体的曝光或上访、政府有关主管部门的通报批评，每次由承包人向发包人支付人民币5万元/次违约金，从承包人当期工程款项、结算款或质保金中扣除，不足部分以实际损失为限，由承包人补足。</w:t>
      </w:r>
    </w:p>
    <w:p w14:paraId="143F27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因承包人原因工程竣工资料（按档案馆要求，含相应的电子磁盘资料、声像资料）延误移交，每延误一天，承包人支付发包人违约金人民币5万元。此外因其工程竣工资料导致的竣工日期及交房日期延误，造成的一切经济损失由承包人承担。</w:t>
      </w:r>
    </w:p>
    <w:p w14:paraId="65AAB1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承包人员工或其分包人员到政府部门、发包人办公室、售楼处等处围攻、静坐等现象发生的，每发生一次承包人支付发包人违约金人民币2万元/次。</w:t>
      </w:r>
    </w:p>
    <w:p w14:paraId="4C00B0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承包人未在发包人或监理通知单规定时间内完成整改并回复的，罚款人民币1万元/次。且发包人有权指定其他单位代为实施，所发生费用（另加20%的管理费）及责任由承包人承担。</w:t>
      </w:r>
    </w:p>
    <w:p w14:paraId="62D149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发包人指令要求的销售配合工作，承包人需按双方确认的工期按时完成，延误销售开放的，每延期一天，承包人向发包人支付违约金人民币10,000元。</w:t>
      </w:r>
    </w:p>
    <w:p w14:paraId="7998CA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发包人、监理、承包人三方提前1个月约定分包的进场时间。经发包人、监理判定，若承包人不能及时按约定时间给分包提供进场条件，超过7天后承包人仍不能给分包提供进场条件，罚款人民币10,000元/日。</w:t>
      </w:r>
    </w:p>
    <w:p w14:paraId="2D28FD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承包人不按时参加相关会议，承包人应向发包人支付人民币500元/人.次的违约金。</w:t>
      </w:r>
    </w:p>
    <w:p w14:paraId="26B760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承包人延迟申报完成预结算资料或核对不配合，承包人应向发包人支付人民币1,000元/天的违约金。</w:t>
      </w:r>
    </w:p>
    <w:p w14:paraId="3BCC3B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因承包人原因工程质量达不到约定的质量标准，承包人应按本合同结算总价款的2﹪向发包人支付违约金。承包人的施工存在质量问题，经两次整改后仍不能合格的，发包人有权解除合同，将工程另行委托第三方完成，承包人须赔偿发包人的一切损失。承包人如违反工程施工质量管理相关要求，承包人应向发包人支付人民币1,000 元/次的违约金。</w:t>
      </w:r>
    </w:p>
    <w:p w14:paraId="6AF13A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(11)因承包人分项工程质量不符合本合同附件相关质量标准要求，发包人视质量问题严重程度，承包人应向发包人支付人民币500－10,000元/次的违约金。</w:t>
      </w:r>
    </w:p>
    <w:p w14:paraId="135FC9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承包人未按本合同约定期限完工、竣工或交付使用，每逾期一日,按合同签约总价的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‰向发包人支付违约金，并赔偿发包人因延误开工生产所造成的全部损失，逾期超过30天，发包人有权单方解除合同，并有权勒令停止承包人施工，将工程另行委托第三方完成，承包人须赔偿发包人的一切损失。</w:t>
      </w:r>
    </w:p>
    <w:p w14:paraId="07484D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承包人有义务对分包单位进行进度、质量、安全、文明施工的管理，提供临时水电源，挂表按相关单位收费标准收费。承包人不得故意刁难，收受不合理的费用，若出现分包单位举报，经落实事实确凿，每出现一次承包人向发包人支付违约金20000元。</w:t>
      </w:r>
    </w:p>
    <w:p w14:paraId="6EB5A5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为确保工程施工质量和安全施工，本项目工程严禁违法转包、违法分包和挂靠，如出现违法转包、违法分包和挂靠现象，承包人承诺已施工完成的合格工程，按实际合格工程量的50%进行结算，承包人应无条件7日内全部人员及物料撤场，发包人有权解除合同。</w:t>
      </w:r>
    </w:p>
    <w:p w14:paraId="447357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承包人必须按设计施工图纸和发包人确认的工程设计变更施工，承包人承诺如出现不按图施工现象，承包人无条件拆除此部分工程，所产生的所有损失均由承包人承担，并向发包人支付违约金壹拾万元。回填土工程未按施工图和施工规范施工，一经发现承包人向发包人支付违约金贰拾万元。</w:t>
      </w:r>
    </w:p>
    <w:p w14:paraId="16646C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（16）承包人的其他违约行为，但未约定具体处罚金额的，发包人有权在人民币200-20,000元范围内要求承包人支付违约金，并赔偿因此给发包人造成的全部损失。</w:t>
      </w:r>
    </w:p>
    <w:p w14:paraId="24FBC7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承包人按邹城市相关企业收费标准挂表缴纳水电费。包干价中已包含施工用水电费用，若承包人自行打备用井用于施工，所发生的费用和相关政府主管部门所收取的费用、责任、关系协调及对应的相关违规责任均有承包人承担。</w:t>
      </w:r>
    </w:p>
    <w:p w14:paraId="4679B9C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（18）临时停水、停电、二次搬运、成品保护等所需措施的一切费用和工期承包人已充分考虑，并已考虑了各种可能因素影响施工所增加的费用，因此，发生上述情况，发包人不另行增加费用。</w:t>
      </w:r>
    </w:p>
    <w:p w14:paraId="6D289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承包人承担因违反以上各条而导致的一切责任和费用，且不得以任何理由停工和向发包人提出经济和工期补偿要求。确保不会因上述原因使发包人声誉受到不良影响。在工程施工过程中以及工程竣工保修期内，由于承包人责任出现质量问题、安全事故或者因其他原因，受到报纸、电视等媒体的曝光或被政府有关主管部门的通报批评，均会给本工程的社会形象造成损失，每次由承包人向发包人支付5万元违约金，从承包人工程进度款或保修款中扣除。</w:t>
      </w:r>
    </w:p>
    <w:p w14:paraId="69CFC34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（20）发包人发给承包人所有的文件、函件、资料、指令，承包人必须无条件接收，否则每拒收一次，发包人将给予处罚1000元，并视为已经送达。</w:t>
      </w:r>
    </w:p>
    <w:p w14:paraId="4F4D72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（21）因承包人原因导致合同提前解除的：</w:t>
      </w:r>
    </w:p>
    <w:p w14:paraId="77A089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a、发包人有权委托第三人对未完工程进行施工，由此导致发包人比由承包人按合同约定完成工程所增加的费用由承包人承担。</w:t>
      </w:r>
    </w:p>
    <w:p w14:paraId="6B1B28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在第三人未将剩余工程施工完毕、发包人与第三人未结算完毕前，承包人不得要求支付工程款。待发包人与第三人结算完毕后，发包人在扣除承包人应承担的违约金和各项费用以后，发包人向承包人支付剩余工程款。</w:t>
      </w:r>
    </w:p>
    <w:p w14:paraId="7173D8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C、承包人仍需对其已完成工程承担保修义务，且发包人有权将质量保修金提高至结算工程款的15%。</w:t>
      </w:r>
    </w:p>
    <w:p w14:paraId="593F7C0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24.争议的解决</w:t>
      </w:r>
    </w:p>
    <w:p w14:paraId="5A13071C">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24.1争议的解决方式</w:t>
      </w:r>
    </w:p>
    <w:p w14:paraId="46AC44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因本合同引起的或与本合同有关的任何争议，合同双方友好协商不成、不愿提请争议组评审或者不愿接受争议评审组意见的，向工程所在地有管辖权的人民法院提起诉讼。</w:t>
      </w:r>
    </w:p>
    <w:p w14:paraId="281F1761">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24.3争议评审</w:t>
      </w:r>
    </w:p>
    <w:p w14:paraId="539FF7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14:paraId="29A07B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24.3.5争议评审组在调查会后作出争议评审意见的期限：</w:t>
      </w:r>
      <w:r>
        <w:rPr>
          <w:rFonts w:hint="eastAsia" w:ascii="宋体" w:hAnsi="宋体" w:eastAsia="宋体" w:cs="宋体"/>
          <w:color w:val="auto"/>
          <w:sz w:val="24"/>
          <w:szCs w:val="24"/>
          <w:u w:val="single"/>
        </w:rPr>
        <w:t xml:space="preserve">在调查会结束后的14天内。  </w:t>
      </w:r>
    </w:p>
    <w:p w14:paraId="0320C02B">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补充条款</w:t>
      </w:r>
    </w:p>
    <w:p w14:paraId="1AFBAF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25.1施工期间的安全问题、地方关系或个体关系由承包人单位自行解决，发生费用包含在</w:t>
      </w:r>
      <w:r>
        <w:rPr>
          <w:rStyle w:val="50"/>
          <w:rFonts w:hint="eastAsia" w:ascii="宋体" w:hAnsi="宋体" w:eastAsia="宋体" w:cs="宋体"/>
          <w:color w:val="auto"/>
          <w:sz w:val="24"/>
          <w:szCs w:val="24"/>
          <w:lang w:val="en-US" w:eastAsia="zh-CN"/>
        </w:rPr>
        <w:t>固定含税</w:t>
      </w:r>
      <w:r>
        <w:rPr>
          <w:rFonts w:hint="eastAsia" w:ascii="宋体" w:hAnsi="宋体" w:eastAsia="宋体" w:cs="宋体"/>
          <w:color w:val="auto"/>
          <w:sz w:val="24"/>
          <w:szCs w:val="24"/>
          <w:lang w:val="en-US" w:eastAsia="zh-CN"/>
        </w:rPr>
        <w:t>全费用综合单价</w:t>
      </w:r>
      <w:r>
        <w:rPr>
          <w:rFonts w:hint="eastAsia" w:ascii="宋体" w:hAnsi="宋体" w:eastAsia="宋体" w:cs="宋体"/>
          <w:color w:val="auto"/>
          <w:sz w:val="24"/>
          <w:szCs w:val="24"/>
        </w:rPr>
        <w:t>内，不再另行计取。</w:t>
      </w:r>
    </w:p>
    <w:p w14:paraId="32C394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25.2承包人应无条件接受发包人及监理单位的现场指导，并保持与工程其他专业队伍的严密配合对接，因拒绝现场指导，配合不足造成其他专业进度延误以及经济损失等情况，一切责任及损失概由承包人承担。</w:t>
      </w:r>
    </w:p>
    <w:p w14:paraId="2741F3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25.3本招标文件技术标准和要求中第16.1条列出的图纸变更等因素已包括在合同固定含税全费用综合单价中。</w:t>
      </w:r>
    </w:p>
    <w:p w14:paraId="775041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25.4承诺能够按照设计要求、相关规范和发包人企业标准完成约定的内容，并提供良好的服务。</w:t>
      </w:r>
    </w:p>
    <w:p w14:paraId="658DA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25.5承包人应了解当地法规、政策，了解政府相关部门的管理规定，承诺能够在当前政策条件下完成约定内容，遵守法律、法规和政策，接受政府相关部门的管理。</w:t>
      </w:r>
    </w:p>
    <w:p w14:paraId="4894C2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25.6承包人应了解当地建筑材料及劳动力市场状况，承诺能够组织足够的建筑设备、材料及劳动力，并承诺农忙不减员、按时支付农民工工资等条件。</w:t>
      </w:r>
    </w:p>
    <w:p w14:paraId="4FE8F5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25.7承包人已充分了解工程所在地的天气状况和变化规律，承诺能够在现有自然条件下按照约定条款完成约定的工程内容。</w:t>
      </w:r>
    </w:p>
    <w:p w14:paraId="00902D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25.8竣工后的场地，承包人将该场地内平整至图纸标高。</w:t>
      </w:r>
    </w:p>
    <w:p w14:paraId="7AC67F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25.9承包人基本税务信息</w:t>
      </w:r>
    </w:p>
    <w:p w14:paraId="2B76B1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承包人应依法纳税并开具合法有效的增值税发票</w:t>
      </w:r>
      <w:r>
        <w:rPr>
          <w:rFonts w:hint="eastAsia" w:ascii="宋体" w:hAnsi="宋体" w:eastAsia="宋体" w:cs="宋体"/>
          <w:color w:val="auto"/>
          <w:sz w:val="24"/>
          <w:szCs w:val="24"/>
        </w:rPr>
        <w:t>。</w:t>
      </w:r>
    </w:p>
    <w:p w14:paraId="3440C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25.10重要节点延误30天以上的，发包人有权单方解除合同，承包人无条件撤场。</w:t>
      </w:r>
    </w:p>
    <w:p w14:paraId="6FA6D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25.11发包人将从应付给承包人的最后一笔工程款中预留壹拾万元人民币作为档案押金，若承包人能按期移交工程档案，在获取发包人档案验收合格证后可返还所有档案押金(无息)。若承包人不能按期移交工程档案，承包人将按照施工承包合同承担违约责任，发包人按每拖交14日历天将扣除承包人工程档案押金的50％，即伍万元人民币。</w:t>
      </w:r>
    </w:p>
    <w:p w14:paraId="11EEF1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25.12本工程可能涉及到的所有控制价中包含的、或实际施工过程中需发生的规费（如工程排污费、建筑安全生产监督费、建设工程社会保障费及住房公积金等），已经包含在投标总价及合同固定含税全费用综合单价中。即使明确规定由发包人名义缴纳的，也将由发包人代缴后，从承包人工程款中分四次等额代扣（代扣金额=代缴费用+缴纳过程中产生的税金及费用），首次代扣时间为第二次进度款支付时开始扣除。工程竣工后，由承包人向有关部门进行协调，办理可能的退款事宜（可能的退款金额由承包人自行协调解决）。</w:t>
      </w:r>
    </w:p>
    <w:p w14:paraId="71333A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25.13墙改、散装水泥及城建档案资料等保证金或押金由发包人负责缴纳，承包人接到发包人通知后15个日历天内提供符合发包人要求的合法发票及合格的资料。否则由于承包人原因造成有关保证金或押金未能全部退回的，扣除部分的保证金或押金由承包人负责，发包人有权从支付承包人的任何工程款项中扣除。</w:t>
      </w:r>
    </w:p>
    <w:p w14:paraId="797CED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25.14农民工工资专项条款</w:t>
      </w:r>
    </w:p>
    <w:p w14:paraId="3FBFCC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根据《济宁市住房和城乡建设局关于全面落实建筑领域农民工实名制和工资专用账户管理制度执行委托银行按月代发工资办法的实施意见》济建行发字【2018】8号文精神，甲乙双方确实做好农民工工资发放工作。</w:t>
      </w:r>
    </w:p>
    <w:p w14:paraId="70C0FB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如果承包人对工程进行分包的，承包人须于每月第5个工作日前，将上月农民工工资暂付款拨付到分包企业专用账户，以保障农民工工资按月支付。</w:t>
      </w:r>
    </w:p>
    <w:p w14:paraId="1BE56A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承包人直接招用农民工，承包人须依法与农民工签订劳动合同，建立农民工个人工作银行卡名册，与监管银行签订农民工工资委托代发协议，并在监管银行为农民工办理个人工资银行卡。承包人应当制定内部工资支付方法，并告知本企业全体农民工。</w:t>
      </w:r>
    </w:p>
    <w:p w14:paraId="008626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确保本施工合同项下不因农民工工资未能按时足额发放到位而引发讨薪事件。</w:t>
      </w:r>
    </w:p>
    <w:p w14:paraId="556984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农民工工资月结月清，发包人将每次工程付款节点前承包人农民工工资支付清单作为拨付工程进度款的前置条件。在发包人支付每笔款项之前，承包人须提供有关农民工工资已按时发放的书面承诺函件及农民工身份证复印件，并且要有十个以上的农民工代表的签字、摁手印，否则，发包人有权拒绝付款。</w:t>
      </w:r>
    </w:p>
    <w:p w14:paraId="741CB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25.15承包人应按时足额支付农民工的工资和分包人的工程款，若发生因欠款情况导致民工或分包单位上访或媒体披露或诉讼及其它恶性事件的，发包人有权根据法院送达的《协助执行通知书》或政府主管部门的指令性通知，对承包人的违约行为可同时作如下处理，并保留进一步追诉的权利：</w:t>
      </w:r>
    </w:p>
    <w:p w14:paraId="528998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从上访事件及其它恶性事件发生当月起，暂扣当月发包人应付承包人工程款的50%，在承包人处理好拖欠农民工工资问题，并取得政府处理意见后，再支付暂扣工程款。当月没有处理完的，下次付款继续按照50%比例暂扣工程款。</w:t>
      </w:r>
    </w:p>
    <w:p w14:paraId="12C3B8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发包人按照政府主管部门的指令性通知文件或根据法院送达的《协助执行通知书》，在相关部门的见证下可直接向农民工、分包人、法院或政府主管部门支付承包人欠付的工资或工程款、材料款等各项欠款，且发包人有权从应付承包人的任何一笔工程款中扣除相应的金额。</w:t>
      </w:r>
    </w:p>
    <w:p w14:paraId="4ADF060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25.16项目安全生产的达标目标及相应事项的约定：除执行通用条款外，执行现行的济宁市建筑工地扬尘防治及施工现场标准。承包人承包的全部工程（含合同内工程及增加工程）之工程安全文明施工须达到标准，发生费用包含在固定含税全费用综合单价内，不再另行计取。若未达到标准，承包人向发包人按5元/平方米（建筑面积）支付违约金，并可在发包人向承包人的任意一次付款中予以扣除。</w:t>
      </w:r>
    </w:p>
    <w:p w14:paraId="0430FF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25.17施工机械设备保险</w:t>
      </w:r>
    </w:p>
    <w:p w14:paraId="6AA75E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承包人所拥有或提供的机械设备，由承包人负责投保并承担费用。</w:t>
      </w:r>
    </w:p>
    <w:p w14:paraId="3D4451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25.18运输险及存仓保险</w:t>
      </w:r>
    </w:p>
    <w:p w14:paraId="6432AA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承包人应当负责其供应的材料及设备在运送途中直至运抵现场的安全；如果认为有需要，承包人应当自行购买有关保险。</w:t>
      </w:r>
    </w:p>
    <w:p w14:paraId="09FE8B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25.19其他商业保险</w:t>
      </w:r>
    </w:p>
    <w:p w14:paraId="394D7A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承包人必须为从事危险作业的职工办理意外伤害保险，支付保险费。为了分散或降低风险，承包人可办理其他商业保险，其费用由承包人自行负担。</w:t>
      </w:r>
    </w:p>
    <w:p w14:paraId="532757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25.20保险事故发生时承包人应立即向保险公司报案并通知发包人，若承包人未能在 24 小时内向保险公司报案或未采取必要措施防止或减少损失，导致保险公司拒赔或者不能足额赔付，则由此发生的损失由承包人自行承担。</w:t>
      </w:r>
    </w:p>
    <w:p w14:paraId="2DB83E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25.21如果工程出现损失、损害或损坏、承包人须立即负责修复、补救及更换或维修任何受破坏或损坏之物料，清理及弃置任何残骸。所有由发包人或承包人按本条款获得有关本工程之保险赔偿须用于本工程之修复、重建、更换、维修或完成工作。除从保险获得之赔偿外，承包人将无权向发包人收取为修复受损工程、更换及维修任何物料或货物、以及为清理及弃置残骸而发生之费用。</w:t>
      </w:r>
    </w:p>
    <w:p w14:paraId="43D530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25.22在承保人赔偿未发放前，所有关于本工程的抢险费用均先由承包人支付。</w:t>
      </w:r>
    </w:p>
    <w:p w14:paraId="200C36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25.23施工企业外来从业人员保险</w:t>
      </w:r>
    </w:p>
    <w:p w14:paraId="648873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承包人应当按照邹城市关于外来从业人员保险的最新规定为外来从业人员购买相关保险，相关费用已包括在合同固定含税全费用综合单价内，如须发包人代缴，将从应付的中期付款中相应扣除。</w:t>
      </w:r>
    </w:p>
    <w:p w14:paraId="7CF942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25.24施工期间若出现任何安全事故及给第三者造成的安全事故均由承包人负责，与发包人无关，如给发包人造成损失，发包人有权向承包人追偿。</w:t>
      </w:r>
    </w:p>
    <w:p w14:paraId="510671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 工程结算流程</w:t>
      </w:r>
    </w:p>
    <w:p w14:paraId="09D0B7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25.25.1 承包人上报施工图预算及竣工结算（含广联达算量图形及工程量计算式）、竣工图纸、变更签证等资料、验收合格证明等资料一次性上报齐全，发包人将进行社会审价或发包人内部审价，造价咨询公司审核并经发包人确认后的预算价为工程结算造价的一部分。在一审的预结算审核结果基础上，发包人有权进行二审，二审工作由二审咨询单位与一审咨询单位对接，承包人必须全力配合一审咨询公司的各项工作，经发包人审核确认后双方协商一致确定最终结算价。</w:t>
      </w:r>
    </w:p>
    <w:p w14:paraId="1341D5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工程结算总价</w:t>
      </w:r>
      <w:r>
        <w:rPr>
          <w:rFonts w:hint="eastAsia" w:ascii="宋体" w:hAnsi="宋体" w:eastAsia="宋体" w:cs="宋体"/>
          <w:color w:val="auto"/>
          <w:sz w:val="24"/>
          <w:szCs w:val="24"/>
        </w:rPr>
        <w:t>=确认的固定含税全费用综合单价×实测工程量</w:t>
      </w:r>
      <w:r>
        <w:rPr>
          <w:rFonts w:hint="eastAsia" w:ascii="宋体" w:hAnsi="宋体" w:eastAsia="宋体" w:cs="宋体"/>
          <w:color w:val="auto"/>
          <w:sz w:val="24"/>
          <w:szCs w:val="24"/>
          <w:lang w:val="zh-CN"/>
        </w:rPr>
        <w:t>+设计变更、洽商、签证＋依据本合同的增加项目-依据本合同的减少项目-违约金和（或）损失赔偿额；</w:t>
      </w:r>
      <w:r>
        <w:rPr>
          <w:rFonts w:hint="eastAsia" w:ascii="宋体" w:hAnsi="宋体" w:eastAsia="宋体" w:cs="宋体"/>
          <w:color w:val="auto"/>
          <w:sz w:val="24"/>
          <w:szCs w:val="24"/>
        </w:rPr>
        <w:t>结算资料需双方签字盖章方为有效，不符合条件的工程结算资料依据均属无效，双方不作为办理结算的依据。</w:t>
      </w:r>
    </w:p>
    <w:p w14:paraId="14B76C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报送的结算资料：承包人须及时向发包人报送完整的结算资料，否则发包人有权不予结算，并有权拒付工程款，结算资料包括但不限于：</w:t>
      </w:r>
    </w:p>
    <w:p w14:paraId="0DA8AE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（1）工程竣工验收报告</w:t>
      </w:r>
    </w:p>
    <w:p w14:paraId="3BED6F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（2）工程移交表   </w:t>
      </w:r>
    </w:p>
    <w:p w14:paraId="1710EA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（3）施工合同      </w:t>
      </w:r>
    </w:p>
    <w:p w14:paraId="0E9CF7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（4）开竣工报告</w:t>
      </w:r>
    </w:p>
    <w:p w14:paraId="6D952D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（5）结算报告</w:t>
      </w:r>
    </w:p>
    <w:p w14:paraId="74CA2A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（6）工程量计算书</w:t>
      </w:r>
    </w:p>
    <w:p w14:paraId="66E36B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（7）图纸会审记录 </w:t>
      </w:r>
    </w:p>
    <w:p w14:paraId="211226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（8）增加工程现场签证</w:t>
      </w:r>
    </w:p>
    <w:p w14:paraId="6A4040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（10）设计变更通知单 </w:t>
      </w:r>
    </w:p>
    <w:p w14:paraId="6E0259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（11）单位工程验收记录</w:t>
      </w:r>
    </w:p>
    <w:p w14:paraId="57C355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（12）相关设备和材料的协议书、购销合同、价格确认资料</w:t>
      </w:r>
    </w:p>
    <w:p w14:paraId="7051EA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（13）竣工图纸</w:t>
      </w:r>
    </w:p>
    <w:p w14:paraId="0E8981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（14）工程验收单</w:t>
      </w:r>
    </w:p>
    <w:p w14:paraId="1C3A00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（15）发包人或有关单位及部门要求的其他资料</w:t>
      </w:r>
    </w:p>
    <w:p w14:paraId="570D27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25.25.2结算资料需双方签字盖章方为有效，不符合条件的工程结算资料依据均属无效，双方不作为办理结算的依据。</w:t>
      </w:r>
    </w:p>
    <w:p w14:paraId="28D953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25.25.3工程经监理、发包人工程人员验收合格，承包人及时移交符合要求的工程施工资料并提交完整的工程结算资料。</w:t>
      </w:r>
    </w:p>
    <w:p w14:paraId="7D03E6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25.25.4 在二次结算审价过程中，不再增加任何结算资料（图纸、签证变更单、价格凭证等），送审的结算书中若有遗漏项目均作为让利给发包人，不作增加调整。</w:t>
      </w:r>
    </w:p>
    <w:p w14:paraId="0D7B06F9">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shd w:val="clear" w:color="auto" w:fill="auto"/>
        </w:rPr>
        <w:t>25.25.5 在结算审价过程中，审计人员对提供的结算资料（图纸、签证变更单、价格凭证等）有权提出质疑，承包人、监理人和发包人应积极配合询证。</w:t>
      </w:r>
    </w:p>
    <w:p w14:paraId="4B2375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25.26 对承包人高估冒算的处罚</w:t>
      </w:r>
    </w:p>
    <w:p w14:paraId="142017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25.26.1 承包人向发包人报送的所有计价文件，包括预算、变更签证、结算等，均不得高估冒算。如果承包人报送的计价文件的送审价超过发包人最终审定价的5%，即认为承包人存在高估冒算行为，承包人违约，承包人应承担相应的审价费及违约金；具体按如下约定执行：</w:t>
      </w:r>
    </w:p>
    <w:p w14:paraId="555470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 如果[承包人送审价-发包人审定价]/发包人审定价≤5%，承包人不支付任何审价违约金。</w:t>
      </w:r>
    </w:p>
    <w:p w14:paraId="090712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 如果[承包人送审价-发包人审定价]/发包人审定价&gt;5%，承包人向发包人支付按核减额的 5%审价违约金。</w:t>
      </w:r>
    </w:p>
    <w:p w14:paraId="2451B6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 如果[承包人送审价-发包人审定价]/发包人审定价&gt;8%,承包人除向发包人支付按核减额的 5%审价违约金外,另按[承包人送审价-发包人审定价*1.08]*10%向发包人支付违约金。</w:t>
      </w:r>
    </w:p>
    <w:p w14:paraId="708984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 发包人可以委托社会审价机构对承包人报送的预算、结算等计价文件进行审计，但社会审价机构出具的审计文件最终以发包人签字盖章认可为准。</w:t>
      </w:r>
    </w:p>
    <w:p w14:paraId="0BA418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 结算流程按发包人相关规定执行。</w:t>
      </w:r>
    </w:p>
    <w:p w14:paraId="20481A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 除发包人明确的单价外，其他清单中漏项、错项、少项的不再调整任何单价，均与发包人明确的单价。</w:t>
      </w:r>
    </w:p>
    <w:p w14:paraId="034632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25.27承包人应根据现场实际情况，制定有效安全防范、防护措施，安设醒目安全标志、警戒线，并安排专人负责。任何因承包人原因引起的交通、生产等安全问题均由承包人负责。 </w:t>
      </w:r>
    </w:p>
    <w:p w14:paraId="0AB789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25.28承包人应加强治安管理及现场管理，任何因承包人原因造成的扰民纠纷及其他纠纷均由承包人负责。</w:t>
      </w:r>
    </w:p>
    <w:p w14:paraId="07B2BB51">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sz w:val="24"/>
          <w:szCs w:val="24"/>
          <w:shd w:val="clear" w:color="auto" w:fill="auto"/>
        </w:rPr>
        <w:t>25.29承包人在疫情防控期间，应严格贯彻落实各级部门的防控要求，产生的相关费用以及可能造成的窝工费等，承包人都应充分考虑在投标总报价中，不再另行计取。</w:t>
      </w:r>
    </w:p>
    <w:p w14:paraId="361E7CF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26.保修</w:t>
      </w:r>
    </w:p>
    <w:p w14:paraId="326689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26.1本工程质保期、苗木养护期均为两年，自承包人所有施工项目全部完成并经发包人及监理单位验收合格之日起开始计算。质保期、苗木养护期内的质量问题、苗木养护均由承包人负责，养护期内苗木出现非发包人原因自然死亡的，由承包人按合同清单内的苗木规格予以更换补种，相应费用由承包人承担。</w:t>
      </w:r>
    </w:p>
    <w:p w14:paraId="1FB8D4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在保修期内出现的故障，承包人承诺在接到发包人通知24小时内维修人员到达现场进行修复，先修复后划分责任。因逾期派员或逾期修复的，发包人有权另聘他人进行维修，维修费用发包人有权从承包人质保金中双倍扣除作为对发包人损失的赔偿，质保金不足，发包人有权继续向承包人追偿。</w:t>
      </w:r>
    </w:p>
    <w:p w14:paraId="1E25EC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26.3承包人维修过的部位，该部位的质量保修期自维修完工之日重新计算；连续维修的从最后一次维修完工之日起重新计算。</w:t>
      </w:r>
    </w:p>
    <w:p w14:paraId="45D7125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26.4承包人根据本合同约定需支付违约金或赔偿金的，发包人有权从质量保证金及未支付的工程款中直接扣除，不足部分，由承包人另行支付。</w:t>
      </w:r>
    </w:p>
    <w:p w14:paraId="6C653B55">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48AB370F">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44547734">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6DC232D4">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35346878">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78A7B1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64FBFD98">
      <w:pPr>
        <w:pStyle w:val="3"/>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bookmarkStart w:id="155" w:name="_Toc21212"/>
      <w:bookmarkStart w:id="156" w:name="_Toc330990565"/>
      <w:r>
        <w:rPr>
          <w:rFonts w:hint="eastAsia" w:ascii="宋体" w:hAnsi="宋体" w:eastAsia="宋体" w:cs="宋体"/>
          <w:color w:val="auto"/>
          <w:sz w:val="24"/>
          <w:szCs w:val="24"/>
        </w:rPr>
        <w:t>第三节  合同附件格式</w:t>
      </w:r>
      <w:bookmarkEnd w:id="155"/>
      <w:bookmarkEnd w:id="156"/>
    </w:p>
    <w:p w14:paraId="142A00CD">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附件一：承包人提供的材料和工程设备一览表</w:t>
      </w:r>
    </w:p>
    <w:p w14:paraId="765DFC88">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p>
    <w:p w14:paraId="318081A4">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承包人提供的材料和工程设备一览表</w:t>
      </w:r>
    </w:p>
    <w:p w14:paraId="0F495F3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69B0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32208BB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75" w:type="dxa"/>
            <w:noWrap w:val="0"/>
            <w:vAlign w:val="center"/>
          </w:tcPr>
          <w:p w14:paraId="6D8DD74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4E136CB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1032" w:type="dxa"/>
            <w:noWrap w:val="0"/>
            <w:vAlign w:val="center"/>
          </w:tcPr>
          <w:p w14:paraId="369878C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5AD7CD25">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13" w:type="dxa"/>
            <w:noWrap w:val="0"/>
            <w:vAlign w:val="center"/>
          </w:tcPr>
          <w:p w14:paraId="673CB29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2D30FE8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613" w:type="dxa"/>
            <w:noWrap w:val="0"/>
            <w:vAlign w:val="center"/>
          </w:tcPr>
          <w:p w14:paraId="68CB8F00">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341156B9">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613" w:type="dxa"/>
            <w:noWrap w:val="0"/>
            <w:vAlign w:val="center"/>
          </w:tcPr>
          <w:p w14:paraId="7636C69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5C86966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900" w:type="dxa"/>
            <w:noWrap w:val="0"/>
            <w:vAlign w:val="center"/>
          </w:tcPr>
          <w:p w14:paraId="5738C42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D8B6876">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900" w:type="dxa"/>
            <w:noWrap w:val="0"/>
            <w:vAlign w:val="center"/>
          </w:tcPr>
          <w:p w14:paraId="7224F1A0">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7BF7ADE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900" w:type="dxa"/>
            <w:noWrap w:val="0"/>
            <w:vAlign w:val="center"/>
          </w:tcPr>
          <w:p w14:paraId="514EEF3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143C2E8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6669302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00" w:type="dxa"/>
            <w:noWrap w:val="0"/>
            <w:vAlign w:val="center"/>
          </w:tcPr>
          <w:p w14:paraId="0691F76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FF69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5C43B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2EE94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659C9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E829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9A5B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9A2A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4B3EC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C9454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6C0F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397949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3AC4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BDE2F2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61212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A32A5F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4015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8A22BE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B91E13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FA102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F43E5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AAAD4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1B975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D68D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7A2B7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65C0D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BD2CD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EB214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0A01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1729F4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81E6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F4467E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0191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332402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7A98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8159C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7EDB5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BB34BD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8649F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6B622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BFCA82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35E3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9CEC2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0843B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6A422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FEC0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41C2A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D9903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DDE74E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E15EB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30013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E3D430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F3A21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7A5A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BEFD7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116E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2EF4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67E7F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8DAE6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3C2FC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49983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14320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DE17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3971F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74432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B767A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519B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ED70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DA48FB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DDA88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10DF2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EFD3C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D2DEE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3289A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49769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88D757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79B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7588C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3D6E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1AC07A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2578D2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2D7401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88B7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8D4F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7928C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043D6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1C50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D5EA5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F578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42034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7AAC8B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741F9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09042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31BC3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3C86D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0038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22CF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DD7D7D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1629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7A89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A9BE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978A9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0B5D92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538BC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C3A4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24C6A0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555ECD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E7DA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223808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FD96A3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765C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499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29403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A7DFE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56717C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A85E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428F14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F177B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99F5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3393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CCE70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A18AC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7B38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A713A8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F42A1F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547605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E7C4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BEF4E7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3FA9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1F65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027D5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6583FA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6FB29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F2F1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B42D6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FD8BB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B236F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3DDB23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8A1FE3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63C92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3EA0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3AA0B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0EA4D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3789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8A0B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EFABB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B302B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7D362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7B3FB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05947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9F7BD5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64F54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BC40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63D16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21337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E162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E2D07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B9C1D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0CE5A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2F3F0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AB42D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F6DF8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5F370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F1818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6481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6820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CF11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63C3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4BF18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7076A4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E7C1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018CF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EE70B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F4DF3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3E2F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CAD2C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49273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6E67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A5EB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8FF4F6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B1908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DCDA78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B93B7B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2A2A6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989B3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1D9E2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532C2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65CEB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9C97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90D5A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88BF68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7B430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B9323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3C13AD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A0EC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6B5793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13B556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C1654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CA2B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04CD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88907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37D698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43190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621CA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AEFD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9C8D55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3E953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3D0C0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1FE2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92D95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038F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C0E1A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0B8ED0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3E5340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9A718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56120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9A2B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F4587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E974D0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7704A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436D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9F95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AB877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7C4C9D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7473D1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A28AFC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885D3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CD01D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48D9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D57232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144B48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36C55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1E7E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B9BAC1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F0E27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00ECD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273E6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73F196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F410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38086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1AACB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6CCB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466A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EA3C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A219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55851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E2CA5F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6EE3B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97DC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B6E89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BFD7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23956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DAD7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0BCE9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24FE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1D1688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2C4B2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C196A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8E71A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D0805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9382C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9D2E6B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E6F56C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07B6CB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2D7B2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3BA4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4950949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5FAF232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64D36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C056EF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AF4F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F6DC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DD662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346437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C2BD61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A491E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bl>
    <w:p w14:paraId="7855A454">
      <w:pPr>
        <w:widowControl w:val="0"/>
        <w:kinsoku/>
        <w:wordWrap/>
        <w:overflowPunct/>
        <w:topLinePunct w:val="0"/>
        <w:autoSpaceDE/>
        <w:autoSpaceDN/>
        <w:bidi w:val="0"/>
        <w:spacing w:after="72" w:afterLines="30" w:line="360" w:lineRule="auto"/>
        <w:textAlignment w:val="auto"/>
        <w:rPr>
          <w:rFonts w:hint="eastAsia" w:ascii="宋体" w:hAnsi="宋体" w:eastAsia="宋体" w:cs="宋体"/>
          <w:color w:val="auto"/>
          <w:sz w:val="24"/>
          <w:szCs w:val="24"/>
        </w:rPr>
      </w:pPr>
    </w:p>
    <w:p w14:paraId="117C95C5">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附件二：发包人提供的材料和工程设备一览表</w:t>
      </w:r>
    </w:p>
    <w:p w14:paraId="12E944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084EFB1D">
      <w:pPr>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发包人提供的材料和工程设备一览表</w:t>
      </w: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6137F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6BA3B66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75" w:type="dxa"/>
            <w:noWrap w:val="0"/>
            <w:vAlign w:val="center"/>
          </w:tcPr>
          <w:p w14:paraId="034D3F1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14:paraId="6E2B04D8">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1032" w:type="dxa"/>
            <w:noWrap w:val="0"/>
            <w:vAlign w:val="center"/>
          </w:tcPr>
          <w:p w14:paraId="0DB4D2C4">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p w14:paraId="20C9C04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613" w:type="dxa"/>
            <w:noWrap w:val="0"/>
            <w:vAlign w:val="center"/>
          </w:tcPr>
          <w:p w14:paraId="3410D13A">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3E52185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613" w:type="dxa"/>
            <w:noWrap w:val="0"/>
            <w:vAlign w:val="center"/>
          </w:tcPr>
          <w:p w14:paraId="6D98ABE6">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w:t>
            </w:r>
          </w:p>
          <w:p w14:paraId="1AE81629">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613" w:type="dxa"/>
            <w:noWrap w:val="0"/>
            <w:vAlign w:val="center"/>
          </w:tcPr>
          <w:p w14:paraId="7D74B273">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w:t>
            </w:r>
          </w:p>
          <w:p w14:paraId="1AC2AC81">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900" w:type="dxa"/>
            <w:noWrap w:val="0"/>
            <w:vAlign w:val="center"/>
          </w:tcPr>
          <w:p w14:paraId="12C5EA0D">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1F3A910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900" w:type="dxa"/>
            <w:noWrap w:val="0"/>
            <w:vAlign w:val="center"/>
          </w:tcPr>
          <w:p w14:paraId="458466C3">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0E1A7BD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900" w:type="dxa"/>
            <w:noWrap w:val="0"/>
            <w:vAlign w:val="center"/>
          </w:tcPr>
          <w:p w14:paraId="3A28C1F7">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w:t>
            </w:r>
          </w:p>
          <w:p w14:paraId="540F395E">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w:t>
            </w:r>
          </w:p>
          <w:p w14:paraId="05FF4C5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00" w:type="dxa"/>
            <w:noWrap w:val="0"/>
            <w:vAlign w:val="center"/>
          </w:tcPr>
          <w:p w14:paraId="4C985C3C">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EF82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37ED6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7B69C8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3ADC8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34642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9A0D2B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F02BA9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B1FC8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D69D3F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FB41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4D9C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1F8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8F0282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C646F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3A3053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B2C7FE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53867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D345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8986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2709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ABE6C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85E3ED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4029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A9BA2F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86742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6055A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DA5F5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25EED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4E6C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409E6F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1D43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E95C7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2A69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38E1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485DC4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8C3AB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D0FBD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299769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1A75C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1BB07D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4A02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BC3E1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8249B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6C0F5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9FE7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8EFBE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398D3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9B04E5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7375E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A58D3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A55ED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98CE0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FDA122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351E8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4ED296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FA2B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27D54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87390D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4EAB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7E2520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906CFF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526824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47420B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6160E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49416C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26103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F1A7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3CD4F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AF8E91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8837B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D33FD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8FF90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6BA026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8D1E45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2AE139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A79816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D4EFC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5D56B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08B11B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03D2FE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0605A7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1944B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8F12D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9D482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16B0FB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BD775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B44D7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58585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4C5E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1C40DB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3458EA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D19C4E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796ED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B0756D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97245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F0D93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638D20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81C1DB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A2CC4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DFE4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7391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D8E397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F76DA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4C1BF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AB50EE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928F29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733CDB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05D94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72E91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27FE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AD13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7D16A4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43F2D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35F30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A662C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DF5700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1F996A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F3E9C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C83B45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1D5274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8C1B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849D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867AB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11048DB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8227A5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1BFB1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265BDE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6D2166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242CE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C3B63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74D167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B13C7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1FD7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EB3F1D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089179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F615B5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EC59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601881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11803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852A57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DECC7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B4DF62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CED0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46FB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25E3CD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49E96C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55569A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B1574A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2EA180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F169D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D14EF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98FF4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F6C339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11E3D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DF61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7CF6F1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91AA16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9BFFA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16A55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3109DD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FF710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B4513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F6D0D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5786E3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D0801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49A33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9C73C5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DE64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6FACE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0BBFB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0A4709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046A0A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B88968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C740CC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94B72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9DEBA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5D10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86411C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770B62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04BBCE9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F15C1C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053E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C815E1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054AF4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382EA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2BD2B6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6DD05F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F56F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A945EA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D1E158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DCAE9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2CAAE7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616DB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D2EBB9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EED4A3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028614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A5F6BA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5D34BC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3790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B9AA8D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115C41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855992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C7DE8D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9AFC0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B05DFE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E1B994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1186CE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EC9186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EEA41A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CA6E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0A16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5F499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627B6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226E53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083933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4495E0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A8F8A8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5C21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4F371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F6B320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5E7F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F36B96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6EAF28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1078FF0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6C39E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3DB9781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EB851D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1F5CE5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0C5E55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13EAD5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40873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1E201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0149EF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AF6025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6C1F56D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85F9D1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58EE7E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48A384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E27E75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ED34B0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284687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F97D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B970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605EEF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3F049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245900E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0CF56F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82BD89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C6DBFE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2C379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BD6CC7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D33B4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D2C048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0F4C6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C55869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86130E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4D7FA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DE638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57C213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5C5A4A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D026F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B95EC3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B4820C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492D01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28C71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E5CCD1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C6A310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4CF84FD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C1662A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768DF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5E5DC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780BCA21">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C9DB2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71B6BF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91736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7CF55B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1AE788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3C5E4CF2">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30C491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0AA989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7F2055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291D008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BF9B9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8F161B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1AAA396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3F3E0B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653FA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A3138E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44F9F7A7">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72162B8E">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6A55552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758D09E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085AEF3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AA79F7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479A68F3">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DBFC7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054716E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r w14:paraId="377D3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962129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175" w:type="dxa"/>
            <w:noWrap w:val="0"/>
            <w:vAlign w:val="top"/>
          </w:tcPr>
          <w:p w14:paraId="225CC8D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1032" w:type="dxa"/>
            <w:noWrap w:val="0"/>
            <w:vAlign w:val="top"/>
          </w:tcPr>
          <w:p w14:paraId="592C837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5C60EB4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47B2178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613" w:type="dxa"/>
            <w:noWrap w:val="0"/>
            <w:vAlign w:val="top"/>
          </w:tcPr>
          <w:p w14:paraId="19232B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CD321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6AB1941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5E43026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c>
          <w:tcPr>
            <w:tcW w:w="900" w:type="dxa"/>
            <w:noWrap w:val="0"/>
            <w:vAlign w:val="top"/>
          </w:tcPr>
          <w:p w14:paraId="27D8A9B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tc>
      </w:tr>
    </w:tbl>
    <w:p w14:paraId="4BD2C2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备注：除合同另有约定外，本表所列发包人供应材料和工程设备的数量不考虑施工损耗，施工损耗被认为已经包括在承包人的投标价格中。</w:t>
      </w:r>
    </w:p>
    <w:p w14:paraId="5EC9E1EF">
      <w:pPr>
        <w:pStyle w:val="15"/>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sectPr>
          <w:footerReference r:id="rId13" w:type="default"/>
          <w:pgSz w:w="11906" w:h="16838"/>
          <w:pgMar w:top="1418" w:right="1418" w:bottom="1304" w:left="1418" w:header="851" w:footer="851" w:gutter="0"/>
          <w:pgNumType w:fmt="decimal"/>
          <w:cols w:space="720" w:num="1"/>
          <w:docGrid w:linePitch="312" w:charSpace="0"/>
        </w:sectPr>
      </w:pPr>
    </w:p>
    <w:p w14:paraId="09A7634F">
      <w:pPr>
        <w:pStyle w:val="4"/>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附件三：质量保修书格式</w:t>
      </w:r>
    </w:p>
    <w:p w14:paraId="04904832">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p>
    <w:p w14:paraId="1CE32D4B">
      <w:pPr>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房屋建筑工程质量保修书</w:t>
      </w:r>
    </w:p>
    <w:p w14:paraId="279976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邹城市钢山街道李官庄村村民委员会</w:t>
      </w:r>
      <w:r>
        <w:rPr>
          <w:rFonts w:hint="eastAsia" w:ascii="宋体" w:hAnsi="宋体" w:eastAsia="宋体" w:cs="宋体"/>
          <w:color w:val="auto"/>
          <w:sz w:val="24"/>
          <w:szCs w:val="24"/>
          <w:u w:val="single"/>
        </w:rPr>
        <w:t xml:space="preserve">                 </w:t>
      </w:r>
    </w:p>
    <w:p w14:paraId="2F3EB4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p>
    <w:p w14:paraId="254F83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发包人、承包人根据《中华人民共和国建筑法》、《建设工程质量管理条例》和《房屋建筑工程质量保修办法》，经协商一致，对</w:t>
      </w:r>
      <w:r>
        <w:rPr>
          <w:rFonts w:hint="eastAsia" w:ascii="宋体" w:hAnsi="宋体" w:cs="宋体"/>
          <w:color w:val="auto"/>
          <w:sz w:val="24"/>
          <w:szCs w:val="24"/>
          <w:u w:val="single"/>
          <w:lang w:eastAsia="zh-CN"/>
        </w:rPr>
        <w:t>邹城市钢山街道办事处钢山花园小区李官村三期室外雨污水及弱电管网工程</w:t>
      </w:r>
      <w:r>
        <w:rPr>
          <w:rFonts w:hint="eastAsia" w:ascii="宋体" w:hAnsi="宋体" w:eastAsia="宋体" w:cs="宋体"/>
          <w:color w:val="auto"/>
          <w:sz w:val="24"/>
          <w:szCs w:val="24"/>
          <w:u w:val="single"/>
        </w:rPr>
        <w:t xml:space="preserve">施工 </w:t>
      </w:r>
      <w:r>
        <w:rPr>
          <w:rFonts w:hint="eastAsia" w:ascii="宋体" w:hAnsi="宋体" w:eastAsia="宋体" w:cs="宋体"/>
          <w:color w:val="auto"/>
          <w:sz w:val="24"/>
          <w:szCs w:val="24"/>
        </w:rPr>
        <w:t>(工程名称)签订保修书。</w:t>
      </w:r>
    </w:p>
    <w:p w14:paraId="1FC914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14:paraId="1AE102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承包人在保修期内，按照有关法律、法规、规章的管理规定和双方约定，承担本工程保修责任。</w:t>
      </w:r>
    </w:p>
    <w:p w14:paraId="2DD677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C0EFB3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承包人施工的室外所有项目。                                                                           </w:t>
      </w:r>
    </w:p>
    <w:p w14:paraId="3CE83874">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542845A0">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38FF75C8">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0026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14:paraId="103C63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双方根据《建设工程质量管理条例》及有关规定，约定本工程的保修期如下：</w:t>
      </w:r>
    </w:p>
    <w:p w14:paraId="29BB6B69">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1、地基基础工程和主体结构工程为设计文件规定的该工程合理使用年限；</w:t>
      </w:r>
    </w:p>
    <w:p w14:paraId="5D10F184">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2、屋面防水工程、有防水要求的卫生间、房间和外墙面的防渗漏为</w:t>
      </w:r>
      <w:r>
        <w:rPr>
          <w:rFonts w:hint="eastAsia" w:ascii="宋体" w:hAnsi="宋体" w:eastAsia="宋体" w:cs="宋体"/>
          <w:color w:val="auto"/>
          <w:sz w:val="24"/>
          <w:szCs w:val="24"/>
          <w:u w:val="single"/>
        </w:rPr>
        <w:t xml:space="preserve"> 五 </w:t>
      </w:r>
      <w:r>
        <w:rPr>
          <w:rFonts w:hint="eastAsia" w:ascii="宋体" w:hAnsi="宋体" w:eastAsia="宋体" w:cs="宋体"/>
          <w:color w:val="auto"/>
          <w:sz w:val="24"/>
          <w:szCs w:val="24"/>
        </w:rPr>
        <w:t>年；</w:t>
      </w:r>
    </w:p>
    <w:p w14:paraId="158B8061">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年；</w:t>
      </w:r>
    </w:p>
    <w:p w14:paraId="3C912915">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年；</w:t>
      </w:r>
    </w:p>
    <w:p w14:paraId="232A0A0B">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二 </w:t>
      </w:r>
      <w:r>
        <w:rPr>
          <w:rFonts w:hint="eastAsia" w:ascii="宋体" w:hAnsi="宋体" w:eastAsia="宋体" w:cs="宋体"/>
          <w:color w:val="auto"/>
          <w:sz w:val="24"/>
          <w:szCs w:val="24"/>
        </w:rPr>
        <w:t>个采暖期、供冷期；</w:t>
      </w:r>
    </w:p>
    <w:p w14:paraId="3F48B6A9">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6、其他项目保修期限约定如下：</w:t>
      </w:r>
    </w:p>
    <w:p w14:paraId="05867E2E">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承包人施工的室外所有项目保修期为二年</w:t>
      </w:r>
      <w:r>
        <w:rPr>
          <w:rFonts w:hint="eastAsia" w:ascii="宋体" w:hAnsi="宋体" w:cs="宋体"/>
          <w:color w:val="auto"/>
          <w:sz w:val="24"/>
          <w:szCs w:val="24"/>
          <w:u w:val="single"/>
          <w:lang w:eastAsia="zh-CN"/>
        </w:rPr>
        <w:t>，其中涉及以上保修期约定的，按上述约定执行</w:t>
      </w:r>
      <w:r>
        <w:rPr>
          <w:rFonts w:hint="eastAsia" w:ascii="宋体" w:hAnsi="宋体" w:eastAsia="宋体" w:cs="宋体"/>
          <w:color w:val="auto"/>
          <w:sz w:val="24"/>
          <w:szCs w:val="24"/>
        </w:rPr>
        <w:t>。</w:t>
      </w:r>
    </w:p>
    <w:p w14:paraId="3C350C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14:paraId="40B257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14:paraId="5390AA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14:paraId="661A62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229A4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EDF5F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14:paraId="4AA470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014638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14:paraId="4365A42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14:paraId="2E3E36A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220BC82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1366961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08873D9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FCE97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14:paraId="156F85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p>
    <w:p w14:paraId="20C4E0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p>
    <w:p w14:paraId="483D7026">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(公章)</w:t>
      </w:r>
    </w:p>
    <w:p w14:paraId="5E0D1EBC">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法定地址：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9EF50D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14:paraId="228170C5">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(签字)</w:t>
      </w:r>
    </w:p>
    <w:p w14:paraId="42F4E2FD">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6B67139">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14:paraId="042C9B7F">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电子邮箱：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893E44F">
      <w:pPr>
        <w:widowControl w:val="0"/>
        <w:kinsoku/>
        <w:wordWrap/>
        <w:overflowPunct/>
        <w:topLinePunct w:val="0"/>
        <w:autoSpaceDE/>
        <w:autoSpaceDN/>
        <w:bidi w:val="0"/>
        <w:spacing w:line="360" w:lineRule="auto"/>
        <w:ind w:left="5880" w:hanging="6720" w:hangingChars="28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w w:val="90"/>
          <w:sz w:val="24"/>
          <w:szCs w:val="24"/>
        </w:rPr>
        <w:t>：</w:t>
      </w:r>
      <w:r>
        <w:rPr>
          <w:rFonts w:hint="eastAsia" w:ascii="宋体" w:hAnsi="宋体" w:eastAsia="宋体" w:cs="宋体"/>
          <w:color w:val="auto"/>
          <w:w w:val="90"/>
          <w:sz w:val="24"/>
          <w:szCs w:val="24"/>
          <w:u w:val="single"/>
          <w:lang w:val="en-US" w:eastAsia="zh-CN"/>
        </w:rPr>
        <w:t xml:space="preserve">         </w:t>
      </w:r>
    </w:p>
    <w:p w14:paraId="2DF9E74B">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帐号：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帐号：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14:paraId="520217CA">
      <w:pPr>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ADFD181">
      <w:pPr>
        <w:spacing w:line="360" w:lineRule="auto"/>
        <w:rPr>
          <w:rFonts w:ascii="宋体" w:hAnsi="宋体" w:cs="宋体"/>
          <w:b/>
          <w:bCs/>
          <w:color w:val="auto"/>
          <w:szCs w:val="21"/>
        </w:rPr>
      </w:pPr>
    </w:p>
    <w:p w14:paraId="16D30DD7">
      <w:pPr>
        <w:spacing w:line="360" w:lineRule="auto"/>
        <w:rPr>
          <w:rFonts w:ascii="宋体" w:hAnsi="宋体" w:cs="宋体"/>
          <w:b/>
          <w:bCs/>
          <w:color w:val="auto"/>
          <w:szCs w:val="21"/>
        </w:rPr>
      </w:pPr>
    </w:p>
    <w:p w14:paraId="66F7985D">
      <w:pPr>
        <w:spacing w:line="360" w:lineRule="auto"/>
        <w:rPr>
          <w:rFonts w:ascii="宋体" w:hAnsi="宋体" w:cs="宋体"/>
          <w:b/>
          <w:bCs/>
          <w:color w:val="auto"/>
          <w:szCs w:val="21"/>
        </w:rPr>
      </w:pPr>
    </w:p>
    <w:p w14:paraId="4458DB53">
      <w:pPr>
        <w:spacing w:line="360" w:lineRule="auto"/>
        <w:rPr>
          <w:rFonts w:ascii="宋体" w:hAnsi="宋体" w:cs="宋体"/>
          <w:b/>
          <w:bCs/>
          <w:color w:val="auto"/>
          <w:szCs w:val="21"/>
        </w:rPr>
      </w:pPr>
    </w:p>
    <w:p w14:paraId="015FFCFE">
      <w:pPr>
        <w:spacing w:line="360" w:lineRule="auto"/>
        <w:rPr>
          <w:rFonts w:ascii="宋体" w:hAnsi="宋体" w:cs="宋体"/>
          <w:b/>
          <w:bCs/>
          <w:color w:val="auto"/>
          <w:szCs w:val="21"/>
        </w:rPr>
      </w:pPr>
    </w:p>
    <w:p w14:paraId="3F372C71">
      <w:pPr>
        <w:spacing w:line="360" w:lineRule="auto"/>
        <w:rPr>
          <w:rFonts w:hint="eastAsia" w:ascii="宋体" w:hAnsi="宋体" w:cs="宋体"/>
          <w:b/>
          <w:bCs/>
          <w:color w:val="auto"/>
          <w:szCs w:val="21"/>
        </w:rPr>
      </w:pPr>
    </w:p>
    <w:p w14:paraId="42707CE1">
      <w:pPr>
        <w:spacing w:line="560" w:lineRule="exact"/>
        <w:jc w:val="center"/>
        <w:outlineLvl w:val="9"/>
        <w:rPr>
          <w:rFonts w:hint="eastAsia" w:ascii="宋体" w:hAnsi="宋体" w:cs="宋体"/>
          <w:b/>
          <w:color w:val="auto"/>
          <w:sz w:val="48"/>
          <w:szCs w:val="32"/>
        </w:rPr>
      </w:pPr>
    </w:p>
    <w:p w14:paraId="324FE131">
      <w:pPr>
        <w:spacing w:line="560" w:lineRule="exact"/>
        <w:jc w:val="center"/>
        <w:outlineLvl w:val="9"/>
        <w:rPr>
          <w:rFonts w:hint="eastAsia" w:ascii="宋体" w:hAnsi="宋体" w:cs="宋体"/>
          <w:b/>
          <w:color w:val="auto"/>
          <w:sz w:val="48"/>
          <w:szCs w:val="32"/>
        </w:rPr>
      </w:pPr>
    </w:p>
    <w:p w14:paraId="6F58750C">
      <w:pPr>
        <w:spacing w:line="560" w:lineRule="exact"/>
        <w:jc w:val="center"/>
        <w:outlineLvl w:val="9"/>
        <w:rPr>
          <w:rFonts w:hint="eastAsia" w:ascii="宋体" w:hAnsi="宋体" w:cs="宋体"/>
          <w:b/>
          <w:color w:val="auto"/>
          <w:sz w:val="48"/>
          <w:szCs w:val="32"/>
        </w:rPr>
      </w:pPr>
    </w:p>
    <w:p w14:paraId="78AE9322">
      <w:pPr>
        <w:spacing w:line="560" w:lineRule="exact"/>
        <w:jc w:val="center"/>
        <w:outlineLvl w:val="9"/>
        <w:rPr>
          <w:rFonts w:hint="eastAsia" w:ascii="宋体" w:hAnsi="宋体" w:cs="宋体"/>
          <w:b/>
          <w:color w:val="auto"/>
          <w:sz w:val="48"/>
          <w:szCs w:val="32"/>
        </w:rPr>
      </w:pPr>
    </w:p>
    <w:p w14:paraId="29431203">
      <w:pPr>
        <w:spacing w:line="560" w:lineRule="exact"/>
        <w:jc w:val="center"/>
        <w:outlineLvl w:val="9"/>
        <w:rPr>
          <w:rFonts w:hint="eastAsia" w:ascii="宋体" w:hAnsi="宋体" w:cs="宋体"/>
          <w:b/>
          <w:color w:val="auto"/>
          <w:sz w:val="48"/>
          <w:szCs w:val="32"/>
        </w:rPr>
      </w:pPr>
    </w:p>
    <w:p w14:paraId="584C9AC6">
      <w:pPr>
        <w:spacing w:line="560" w:lineRule="exact"/>
        <w:jc w:val="center"/>
        <w:outlineLvl w:val="9"/>
        <w:rPr>
          <w:rFonts w:hint="eastAsia" w:ascii="宋体" w:hAnsi="宋体" w:cs="宋体"/>
          <w:b/>
          <w:color w:val="auto"/>
          <w:sz w:val="48"/>
          <w:szCs w:val="32"/>
        </w:rPr>
      </w:pPr>
    </w:p>
    <w:p w14:paraId="0BD1B3B0">
      <w:pPr>
        <w:spacing w:line="560" w:lineRule="exact"/>
        <w:jc w:val="center"/>
        <w:outlineLvl w:val="9"/>
        <w:rPr>
          <w:rFonts w:hint="eastAsia" w:ascii="宋体" w:hAnsi="宋体" w:cs="宋体"/>
          <w:b/>
          <w:color w:val="auto"/>
          <w:sz w:val="48"/>
          <w:szCs w:val="32"/>
        </w:rPr>
      </w:pPr>
    </w:p>
    <w:p w14:paraId="1E5D6784">
      <w:pPr>
        <w:spacing w:line="560" w:lineRule="exact"/>
        <w:jc w:val="center"/>
        <w:outlineLvl w:val="9"/>
        <w:rPr>
          <w:rFonts w:hint="eastAsia" w:ascii="宋体" w:hAnsi="宋体" w:cs="宋体"/>
          <w:b/>
          <w:color w:val="auto"/>
          <w:sz w:val="48"/>
          <w:szCs w:val="32"/>
        </w:rPr>
      </w:pPr>
    </w:p>
    <w:p w14:paraId="54E672F3">
      <w:pPr>
        <w:spacing w:line="560" w:lineRule="exact"/>
        <w:jc w:val="center"/>
        <w:outlineLvl w:val="9"/>
        <w:rPr>
          <w:rFonts w:hint="eastAsia" w:ascii="宋体" w:hAnsi="宋体" w:cs="宋体"/>
          <w:b/>
          <w:color w:val="auto"/>
          <w:sz w:val="48"/>
          <w:szCs w:val="32"/>
        </w:rPr>
      </w:pPr>
    </w:p>
    <w:p w14:paraId="5A658CA8">
      <w:pPr>
        <w:spacing w:line="560" w:lineRule="exact"/>
        <w:jc w:val="center"/>
        <w:outlineLvl w:val="9"/>
        <w:rPr>
          <w:rFonts w:hint="eastAsia" w:ascii="宋体" w:hAnsi="宋体" w:cs="宋体"/>
          <w:b/>
          <w:color w:val="auto"/>
          <w:sz w:val="48"/>
          <w:szCs w:val="32"/>
        </w:rPr>
      </w:pPr>
    </w:p>
    <w:p w14:paraId="2B879571">
      <w:pPr>
        <w:spacing w:line="560" w:lineRule="exact"/>
        <w:jc w:val="center"/>
        <w:outlineLvl w:val="9"/>
        <w:rPr>
          <w:rFonts w:hint="eastAsia" w:ascii="宋体" w:hAnsi="宋体" w:cs="宋体"/>
          <w:b/>
          <w:color w:val="auto"/>
          <w:sz w:val="48"/>
          <w:szCs w:val="32"/>
        </w:rPr>
      </w:pPr>
    </w:p>
    <w:p w14:paraId="0B6CF498">
      <w:pPr>
        <w:pStyle w:val="3"/>
        <w:bidi w:val="0"/>
        <w:jc w:val="center"/>
        <w:outlineLvl w:val="0"/>
        <w:rPr>
          <w:rFonts w:hint="eastAsia" w:ascii="宋体" w:hAnsi="宋体" w:eastAsia="宋体" w:cs="宋体"/>
          <w:color w:val="auto"/>
          <w:sz w:val="24"/>
          <w:szCs w:val="24"/>
        </w:rPr>
      </w:pPr>
      <w:bookmarkStart w:id="157" w:name="_Toc30486"/>
      <w:r>
        <w:rPr>
          <w:rFonts w:hint="eastAsia" w:ascii="宋体" w:hAnsi="宋体" w:eastAsia="宋体" w:cs="宋体"/>
          <w:color w:val="auto"/>
          <w:sz w:val="24"/>
          <w:szCs w:val="24"/>
        </w:rPr>
        <w:t>第六部分  响应文件格式</w:t>
      </w:r>
      <w:bookmarkEnd w:id="157"/>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3DC9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1C8D1522">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633953FD">
      <w:pPr>
        <w:spacing w:line="560" w:lineRule="exact"/>
        <w:jc w:val="left"/>
        <w:rPr>
          <w:rFonts w:hint="eastAsia" w:ascii="宋体" w:hAnsi="宋体" w:eastAsia="宋体"/>
          <w:color w:val="auto"/>
          <w:lang w:eastAsia="zh-CN"/>
        </w:rPr>
      </w:pPr>
    </w:p>
    <w:p w14:paraId="48D89002">
      <w:pPr>
        <w:spacing w:line="360" w:lineRule="auto"/>
        <w:ind w:firstLine="1205" w:firstLineChars="300"/>
        <w:rPr>
          <w:rFonts w:hint="eastAsia" w:ascii="宋体" w:hAnsi="宋体"/>
          <w:b/>
          <w:color w:val="auto"/>
          <w:sz w:val="40"/>
          <w:u w:val="single"/>
        </w:rPr>
      </w:pPr>
    </w:p>
    <w:p w14:paraId="6516DF97">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14:paraId="64D01620">
      <w:pPr>
        <w:spacing w:line="360" w:lineRule="auto"/>
        <w:ind w:firstLine="480" w:firstLineChars="200"/>
        <w:rPr>
          <w:rFonts w:ascii="宋体" w:hAnsi="宋体"/>
          <w:color w:val="auto"/>
          <w:sz w:val="24"/>
        </w:rPr>
      </w:pPr>
    </w:p>
    <w:p w14:paraId="0034B309">
      <w:pPr>
        <w:spacing w:line="360" w:lineRule="auto"/>
        <w:ind w:firstLine="482" w:firstLineChars="200"/>
        <w:rPr>
          <w:rFonts w:ascii="宋体" w:hAnsi="宋体"/>
          <w:b/>
          <w:bCs/>
          <w:color w:val="auto"/>
          <w:sz w:val="24"/>
        </w:rPr>
      </w:pPr>
    </w:p>
    <w:p w14:paraId="6B4862BB">
      <w:pPr>
        <w:spacing w:line="360" w:lineRule="auto"/>
        <w:jc w:val="center"/>
        <w:rPr>
          <w:rFonts w:ascii="宋体" w:hAnsi="宋体"/>
          <w:b/>
          <w:color w:val="auto"/>
          <w:sz w:val="56"/>
        </w:rPr>
      </w:pPr>
      <w:r>
        <w:rPr>
          <w:rFonts w:hint="eastAsia" w:ascii="宋体" w:hAnsi="宋体"/>
          <w:b/>
          <w:bCs/>
          <w:color w:val="auto"/>
          <w:sz w:val="56"/>
        </w:rPr>
        <w:t>响应文件</w:t>
      </w:r>
    </w:p>
    <w:p w14:paraId="3D3FC67B">
      <w:pPr>
        <w:spacing w:line="360" w:lineRule="auto"/>
        <w:ind w:firstLine="480" w:firstLineChars="200"/>
        <w:rPr>
          <w:rFonts w:ascii="宋体" w:hAnsi="宋体"/>
          <w:color w:val="auto"/>
          <w:sz w:val="24"/>
        </w:rPr>
      </w:pPr>
    </w:p>
    <w:p w14:paraId="54DA1637">
      <w:pPr>
        <w:spacing w:line="360" w:lineRule="auto"/>
        <w:ind w:firstLine="480" w:firstLineChars="200"/>
        <w:rPr>
          <w:rFonts w:ascii="宋体" w:hAnsi="宋体"/>
          <w:color w:val="auto"/>
          <w:sz w:val="24"/>
        </w:rPr>
      </w:pPr>
    </w:p>
    <w:p w14:paraId="4A662E5F">
      <w:pPr>
        <w:spacing w:line="360" w:lineRule="auto"/>
        <w:ind w:firstLine="480" w:firstLineChars="200"/>
        <w:rPr>
          <w:rFonts w:ascii="宋体" w:hAnsi="宋体"/>
          <w:color w:val="auto"/>
          <w:sz w:val="24"/>
        </w:rPr>
      </w:pPr>
    </w:p>
    <w:p w14:paraId="65578B4D">
      <w:pPr>
        <w:spacing w:line="360" w:lineRule="auto"/>
        <w:ind w:firstLine="480" w:firstLineChars="200"/>
        <w:rPr>
          <w:rFonts w:ascii="宋体" w:hAnsi="宋体"/>
          <w:color w:val="auto"/>
          <w:sz w:val="24"/>
        </w:rPr>
      </w:pPr>
    </w:p>
    <w:p w14:paraId="5E9B3A2E">
      <w:pPr>
        <w:spacing w:line="360" w:lineRule="auto"/>
        <w:ind w:firstLine="480" w:firstLineChars="200"/>
        <w:rPr>
          <w:rFonts w:ascii="宋体" w:hAnsi="宋体"/>
          <w:color w:val="auto"/>
          <w:sz w:val="24"/>
        </w:rPr>
      </w:pPr>
    </w:p>
    <w:p w14:paraId="2DAA6AD5">
      <w:pPr>
        <w:spacing w:line="360" w:lineRule="auto"/>
        <w:ind w:firstLine="480" w:firstLineChars="200"/>
        <w:rPr>
          <w:rFonts w:ascii="宋体" w:hAnsi="宋体"/>
          <w:color w:val="auto"/>
          <w:sz w:val="24"/>
        </w:rPr>
      </w:pPr>
    </w:p>
    <w:p w14:paraId="17C0D7A9">
      <w:pPr>
        <w:pStyle w:val="10"/>
        <w:rPr>
          <w:rFonts w:ascii="宋体" w:hAnsi="宋体"/>
          <w:color w:val="auto"/>
          <w:szCs w:val="21"/>
        </w:rPr>
      </w:pPr>
    </w:p>
    <w:p w14:paraId="022A1E9F">
      <w:pPr>
        <w:rPr>
          <w:rFonts w:ascii="宋体" w:hAnsi="宋体"/>
          <w:color w:val="auto"/>
          <w:szCs w:val="21"/>
        </w:rPr>
      </w:pPr>
    </w:p>
    <w:p w14:paraId="4ADA30CE">
      <w:pPr>
        <w:rPr>
          <w:rFonts w:ascii="宋体" w:hAnsi="宋体"/>
          <w:color w:val="auto"/>
          <w:szCs w:val="21"/>
        </w:rPr>
      </w:pPr>
    </w:p>
    <w:p w14:paraId="36DC4433">
      <w:pPr>
        <w:spacing w:line="360" w:lineRule="auto"/>
        <w:rPr>
          <w:rFonts w:ascii="宋体" w:hAnsi="宋体"/>
          <w:color w:val="auto"/>
          <w:sz w:val="24"/>
        </w:rPr>
      </w:pPr>
    </w:p>
    <w:p w14:paraId="206D9516">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14:paraId="347B8E1A">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14:paraId="37371C56">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33FA10B9">
      <w:pPr>
        <w:pStyle w:val="36"/>
        <w:snapToGrid w:val="0"/>
        <w:spacing w:line="360" w:lineRule="auto"/>
        <w:ind w:left="578"/>
        <w:jc w:val="left"/>
        <w:rPr>
          <w:rFonts w:ascii="宋体" w:hAnsi="宋体" w:cs="宋体"/>
          <w:b/>
          <w:color w:val="auto"/>
          <w:sz w:val="30"/>
          <w:szCs w:val="30"/>
        </w:rPr>
        <w:sectPr>
          <w:headerReference r:id="rId14" w:type="first"/>
          <w:footerReference r:id="rId16" w:type="first"/>
          <w:footerReference r:id="rId15" w:type="default"/>
          <w:pgSz w:w="11906" w:h="16838"/>
          <w:pgMar w:top="1440" w:right="1080" w:bottom="1440" w:left="1080" w:header="851" w:footer="992" w:gutter="0"/>
          <w:pgNumType w:fmt="decimal"/>
          <w:cols w:space="720" w:num="1"/>
          <w:titlePg/>
          <w:docGrid w:type="lines" w:linePitch="286" w:charSpace="0"/>
        </w:sectPr>
      </w:pPr>
    </w:p>
    <w:p w14:paraId="5BD03554">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0DBB9FE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60B727C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0C6FE54D">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60A2E7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649949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5E9173EF">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2508CBE8">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2890D2F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03D2E8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62312E8B">
      <w:pPr>
        <w:spacing w:line="360" w:lineRule="auto"/>
        <w:jc w:val="left"/>
        <w:outlineLvl w:val="9"/>
        <w:rPr>
          <w:rFonts w:ascii="宋体" w:hAnsi="宋体"/>
          <w:b/>
          <w:color w:val="auto"/>
          <w:sz w:val="24"/>
        </w:rPr>
      </w:pPr>
    </w:p>
    <w:p w14:paraId="4332554F">
      <w:pPr>
        <w:spacing w:line="360" w:lineRule="auto"/>
        <w:jc w:val="left"/>
        <w:outlineLvl w:val="9"/>
        <w:rPr>
          <w:rFonts w:ascii="宋体" w:hAnsi="宋体"/>
          <w:b/>
          <w:color w:val="auto"/>
          <w:sz w:val="24"/>
        </w:rPr>
      </w:pPr>
    </w:p>
    <w:p w14:paraId="4B1E6C90">
      <w:pPr>
        <w:widowControl/>
        <w:shd w:val="clear" w:color="auto" w:fill="FFFFFF"/>
        <w:spacing w:line="560" w:lineRule="exact"/>
        <w:jc w:val="left"/>
        <w:rPr>
          <w:rFonts w:hint="eastAsia" w:ascii="宋体" w:hAnsi="宋体"/>
          <w:color w:val="auto"/>
          <w:sz w:val="24"/>
        </w:rPr>
      </w:pPr>
      <w:bookmarkStart w:id="158" w:name="_Toc323641999"/>
      <w:bookmarkStart w:id="159" w:name="_Toc300901193"/>
      <w:bookmarkStart w:id="160" w:name="_Toc374107067"/>
    </w:p>
    <w:p w14:paraId="0865B448">
      <w:pPr>
        <w:pStyle w:val="10"/>
        <w:rPr>
          <w:rFonts w:hint="eastAsia" w:ascii="宋体" w:hAnsi="宋体"/>
          <w:color w:val="auto"/>
          <w:sz w:val="24"/>
        </w:rPr>
      </w:pPr>
    </w:p>
    <w:p w14:paraId="5E576F67">
      <w:pPr>
        <w:rPr>
          <w:rFonts w:hint="eastAsia" w:ascii="宋体" w:hAnsi="宋体"/>
          <w:color w:val="auto"/>
          <w:sz w:val="24"/>
        </w:rPr>
      </w:pPr>
    </w:p>
    <w:p w14:paraId="6B61202C">
      <w:pPr>
        <w:pStyle w:val="10"/>
        <w:rPr>
          <w:rFonts w:hint="eastAsia"/>
          <w:color w:val="auto"/>
        </w:rPr>
      </w:pPr>
    </w:p>
    <w:p w14:paraId="63AF583D">
      <w:pPr>
        <w:widowControl/>
        <w:shd w:val="clear" w:color="auto" w:fill="FFFFFF"/>
        <w:spacing w:line="560" w:lineRule="exact"/>
        <w:jc w:val="left"/>
        <w:rPr>
          <w:rFonts w:hint="eastAsia" w:ascii="宋体" w:hAnsi="宋体"/>
          <w:color w:val="auto"/>
          <w:sz w:val="24"/>
        </w:rPr>
      </w:pPr>
    </w:p>
    <w:p w14:paraId="34773B81">
      <w:pPr>
        <w:widowControl/>
        <w:shd w:val="clear" w:color="auto" w:fill="FFFFFF"/>
        <w:spacing w:line="560" w:lineRule="exact"/>
        <w:jc w:val="left"/>
        <w:rPr>
          <w:rFonts w:hint="eastAsia" w:ascii="宋体" w:hAnsi="宋体"/>
          <w:color w:val="auto"/>
          <w:sz w:val="24"/>
        </w:rPr>
      </w:pPr>
    </w:p>
    <w:p w14:paraId="37774F21">
      <w:pPr>
        <w:widowControl/>
        <w:shd w:val="clear" w:color="auto" w:fill="FFFFFF"/>
        <w:spacing w:line="560" w:lineRule="exact"/>
        <w:jc w:val="left"/>
        <w:rPr>
          <w:rFonts w:hint="eastAsia" w:ascii="宋体" w:hAnsi="宋体" w:eastAsia="宋体"/>
          <w:color w:val="auto"/>
          <w:sz w:val="24"/>
          <w:szCs w:val="24"/>
        </w:rPr>
      </w:pPr>
    </w:p>
    <w:p w14:paraId="1CDF57BB">
      <w:pPr>
        <w:widowControl/>
        <w:shd w:val="clear" w:color="auto" w:fill="FFFFFF"/>
        <w:spacing w:line="560" w:lineRule="exact"/>
        <w:jc w:val="left"/>
        <w:rPr>
          <w:rFonts w:hint="eastAsia" w:ascii="宋体" w:hAnsi="宋体" w:eastAsia="宋体"/>
          <w:color w:val="auto"/>
          <w:sz w:val="24"/>
          <w:szCs w:val="24"/>
        </w:rPr>
      </w:pPr>
    </w:p>
    <w:p w14:paraId="28CDE42B">
      <w:pPr>
        <w:widowControl/>
        <w:shd w:val="clear" w:color="auto" w:fill="FFFFFF"/>
        <w:spacing w:line="560" w:lineRule="exact"/>
        <w:jc w:val="left"/>
        <w:rPr>
          <w:rFonts w:hint="eastAsia" w:ascii="宋体" w:hAnsi="宋体" w:eastAsia="宋体"/>
          <w:color w:val="auto"/>
          <w:sz w:val="24"/>
          <w:szCs w:val="24"/>
        </w:rPr>
      </w:pPr>
    </w:p>
    <w:p w14:paraId="35380ECC">
      <w:pPr>
        <w:widowControl/>
        <w:shd w:val="clear" w:color="auto" w:fill="FFFFFF"/>
        <w:spacing w:line="560" w:lineRule="exact"/>
        <w:jc w:val="left"/>
        <w:rPr>
          <w:rFonts w:hint="eastAsia" w:ascii="宋体" w:hAnsi="宋体" w:eastAsia="宋体"/>
          <w:color w:val="auto"/>
          <w:sz w:val="24"/>
          <w:szCs w:val="24"/>
        </w:rPr>
      </w:pPr>
    </w:p>
    <w:p w14:paraId="363668EC">
      <w:pPr>
        <w:pStyle w:val="54"/>
        <w:rPr>
          <w:rFonts w:hint="eastAsia" w:ascii="宋体" w:hAnsi="宋体" w:eastAsia="宋体"/>
          <w:color w:val="auto"/>
          <w:sz w:val="24"/>
          <w:szCs w:val="24"/>
        </w:rPr>
      </w:pPr>
    </w:p>
    <w:p w14:paraId="159A0CCD">
      <w:pPr>
        <w:pStyle w:val="54"/>
        <w:rPr>
          <w:rFonts w:hint="eastAsia" w:ascii="宋体" w:hAnsi="宋体" w:eastAsia="宋体"/>
          <w:color w:val="auto"/>
          <w:sz w:val="24"/>
          <w:szCs w:val="24"/>
        </w:rPr>
      </w:pPr>
    </w:p>
    <w:p w14:paraId="1DD083F6">
      <w:pPr>
        <w:spacing w:line="360" w:lineRule="auto"/>
        <w:jc w:val="both"/>
        <w:rPr>
          <w:rFonts w:hint="eastAsia" w:ascii="宋体" w:hAnsi="宋体" w:cs="宋体"/>
          <w:b/>
          <w:color w:val="auto"/>
          <w:kern w:val="0"/>
          <w:sz w:val="24"/>
        </w:rPr>
      </w:pPr>
    </w:p>
    <w:p w14:paraId="6B9231D5">
      <w:pPr>
        <w:pStyle w:val="10"/>
        <w:rPr>
          <w:rFonts w:hint="eastAsia"/>
          <w:color w:val="auto"/>
        </w:rPr>
      </w:pPr>
    </w:p>
    <w:p w14:paraId="70553304">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1F935BB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14:paraId="2136133C">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份。</w:t>
      </w:r>
    </w:p>
    <w:p w14:paraId="2E080AF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35528427">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2BECCFC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6045B19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3041699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6029558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3E039229">
      <w:pPr>
        <w:widowControl/>
        <w:spacing w:line="480" w:lineRule="auto"/>
        <w:ind w:firstLine="480" w:firstLineChars="200"/>
        <w:rPr>
          <w:rFonts w:hint="eastAsia" w:ascii="宋体" w:hAnsi="宋体" w:cs="宋体"/>
          <w:color w:val="auto"/>
          <w:kern w:val="0"/>
          <w:sz w:val="24"/>
          <w:szCs w:val="24"/>
        </w:rPr>
      </w:pPr>
    </w:p>
    <w:p w14:paraId="58D05391">
      <w:pPr>
        <w:widowControl/>
        <w:spacing w:line="360" w:lineRule="auto"/>
        <w:ind w:firstLine="480" w:firstLineChars="200"/>
        <w:rPr>
          <w:rFonts w:hint="eastAsia" w:ascii="宋体" w:hAnsi="宋体" w:cs="宋体"/>
          <w:color w:val="auto"/>
          <w:kern w:val="0"/>
          <w:sz w:val="24"/>
          <w:szCs w:val="24"/>
        </w:rPr>
      </w:pPr>
    </w:p>
    <w:p w14:paraId="34E6EFD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6E58330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14:paraId="0F0FD6BA">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BE10475">
      <w:pPr>
        <w:widowControl/>
        <w:jc w:val="left"/>
        <w:rPr>
          <w:rFonts w:ascii="宋体" w:hAnsi="宋体"/>
          <w:b/>
          <w:bCs/>
          <w:color w:val="auto"/>
          <w:sz w:val="24"/>
        </w:rPr>
      </w:pPr>
      <w:r>
        <w:rPr>
          <w:rFonts w:ascii="宋体" w:hAnsi="宋体"/>
          <w:color w:val="auto"/>
          <w:sz w:val="24"/>
        </w:rPr>
        <w:br w:type="page"/>
      </w:r>
    </w:p>
    <w:p w14:paraId="7E80C86E">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158"/>
      <w:bookmarkEnd w:id="159"/>
      <w:bookmarkEnd w:id="160"/>
    </w:p>
    <w:p w14:paraId="08295007">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56480274">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1C127C06">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390483FB">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757CB09">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53918743">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7043ABE0">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4C4D8BFA">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696644B3">
      <w:pPr>
        <w:spacing w:line="360" w:lineRule="auto"/>
        <w:rPr>
          <w:rFonts w:ascii="宋体" w:hAnsi="宋体"/>
          <w:color w:val="auto"/>
          <w:sz w:val="24"/>
        </w:rPr>
      </w:pPr>
      <w:r>
        <w:rPr>
          <w:rFonts w:hint="eastAsia" w:ascii="宋体" w:hAnsi="宋体"/>
          <w:color w:val="auto"/>
          <w:sz w:val="24"/>
        </w:rPr>
        <w:t>特此证明。</w:t>
      </w:r>
    </w:p>
    <w:p w14:paraId="6045B98C">
      <w:pPr>
        <w:spacing w:line="500" w:lineRule="exact"/>
        <w:jc w:val="left"/>
        <w:rPr>
          <w:rFonts w:ascii="宋体" w:hAnsi="宋体"/>
          <w:color w:val="auto"/>
          <w:sz w:val="24"/>
        </w:rPr>
      </w:pPr>
      <w:r>
        <w:rPr>
          <w:rFonts w:hint="eastAsia" w:ascii="宋体" w:hAnsi="宋体"/>
          <w:color w:val="auto"/>
          <w:sz w:val="24"/>
        </w:rPr>
        <w:t>附：法定代表人身份证明</w:t>
      </w:r>
    </w:p>
    <w:p w14:paraId="67D4FE07">
      <w:pPr>
        <w:spacing w:line="500" w:lineRule="exact"/>
        <w:jc w:val="right"/>
        <w:rPr>
          <w:rFonts w:ascii="宋体" w:hAnsi="宋体"/>
          <w:color w:val="auto"/>
          <w:sz w:val="24"/>
        </w:rPr>
      </w:pPr>
    </w:p>
    <w:p w14:paraId="692145D6">
      <w:pPr>
        <w:pStyle w:val="10"/>
        <w:rPr>
          <w:rFonts w:ascii="宋体" w:hAnsi="宋体"/>
          <w:color w:val="auto"/>
          <w:sz w:val="24"/>
        </w:rPr>
      </w:pPr>
    </w:p>
    <w:p w14:paraId="2F242C8E">
      <w:pPr>
        <w:rPr>
          <w:rFonts w:ascii="宋体" w:hAnsi="宋体"/>
          <w:color w:val="auto"/>
          <w:sz w:val="24"/>
        </w:rPr>
      </w:pPr>
    </w:p>
    <w:p w14:paraId="5F53836E">
      <w:pPr>
        <w:pStyle w:val="10"/>
        <w:rPr>
          <w:rFonts w:ascii="宋体" w:hAnsi="宋体"/>
          <w:color w:val="auto"/>
          <w:sz w:val="24"/>
        </w:rPr>
      </w:pPr>
    </w:p>
    <w:p w14:paraId="4DCA7CB6">
      <w:pPr>
        <w:rPr>
          <w:rFonts w:ascii="宋体" w:hAnsi="宋体"/>
          <w:color w:val="auto"/>
          <w:sz w:val="24"/>
        </w:rPr>
      </w:pPr>
    </w:p>
    <w:p w14:paraId="5B843442">
      <w:pPr>
        <w:pStyle w:val="10"/>
        <w:rPr>
          <w:color w:val="auto"/>
        </w:rPr>
      </w:pPr>
    </w:p>
    <w:p w14:paraId="15615AD7">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6A569942">
      <w:pPr>
        <w:widowControl/>
        <w:jc w:val="right"/>
        <w:rPr>
          <w:rFonts w:ascii="宋体" w:hAnsi="宋体"/>
          <w:color w:val="auto"/>
          <w:sz w:val="24"/>
        </w:rPr>
      </w:pPr>
      <w:r>
        <w:rPr>
          <w:rFonts w:hint="eastAsia" w:ascii="宋体" w:hAnsi="宋体"/>
          <w:color w:val="auto"/>
          <w:sz w:val="24"/>
        </w:rPr>
        <w:t xml:space="preserve">         </w:t>
      </w:r>
    </w:p>
    <w:p w14:paraId="3B1D86BC">
      <w:pPr>
        <w:widowControl/>
        <w:jc w:val="right"/>
        <w:rPr>
          <w:rFonts w:ascii="宋体" w:hAnsi="宋体"/>
          <w:color w:val="auto"/>
          <w:sz w:val="24"/>
        </w:rPr>
      </w:pPr>
      <w:r>
        <w:rPr>
          <w:rFonts w:hint="eastAsia" w:ascii="宋体" w:hAnsi="宋体"/>
          <w:color w:val="auto"/>
          <w:sz w:val="24"/>
        </w:rPr>
        <w:t xml:space="preserve">年        月       日  </w:t>
      </w:r>
    </w:p>
    <w:p w14:paraId="7FCC3BDF">
      <w:pPr>
        <w:spacing w:line="360" w:lineRule="auto"/>
        <w:jc w:val="right"/>
        <w:rPr>
          <w:rFonts w:ascii="宋体" w:hAnsi="宋体"/>
          <w:color w:val="auto"/>
          <w:sz w:val="24"/>
        </w:rPr>
      </w:pPr>
    </w:p>
    <w:p w14:paraId="55D14A9D">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728C0977">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34FD430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7FFDE55F">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3B1F7562">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24647DAD">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25107FED">
      <w:pPr>
        <w:pStyle w:val="10"/>
        <w:rPr>
          <w:rFonts w:hint="eastAsia" w:ascii="宋体" w:hAnsi="宋体"/>
          <w:color w:val="auto"/>
          <w:sz w:val="24"/>
        </w:rPr>
      </w:pPr>
    </w:p>
    <w:p w14:paraId="63F84AC0">
      <w:pPr>
        <w:rPr>
          <w:rFonts w:hint="eastAsia" w:ascii="宋体" w:hAnsi="宋体"/>
          <w:color w:val="auto"/>
          <w:sz w:val="24"/>
        </w:rPr>
      </w:pPr>
    </w:p>
    <w:p w14:paraId="2BFA78A8">
      <w:pPr>
        <w:pStyle w:val="10"/>
        <w:rPr>
          <w:color w:val="auto"/>
        </w:rPr>
      </w:pPr>
    </w:p>
    <w:p w14:paraId="1724C4E2">
      <w:pPr>
        <w:rPr>
          <w:color w:val="auto"/>
        </w:rPr>
      </w:pPr>
    </w:p>
    <w:p w14:paraId="0A546E2A">
      <w:pPr>
        <w:pStyle w:val="10"/>
        <w:rPr>
          <w:color w:val="auto"/>
        </w:rPr>
      </w:pPr>
    </w:p>
    <w:p w14:paraId="2C482DFF">
      <w:pPr>
        <w:rPr>
          <w:color w:val="auto"/>
        </w:rPr>
      </w:pPr>
    </w:p>
    <w:p w14:paraId="3CE5F2AC">
      <w:pPr>
        <w:pStyle w:val="10"/>
        <w:rPr>
          <w:color w:val="auto"/>
        </w:rPr>
      </w:pPr>
    </w:p>
    <w:p w14:paraId="31BC785A">
      <w:pPr>
        <w:rPr>
          <w:color w:val="auto"/>
        </w:rPr>
      </w:pPr>
    </w:p>
    <w:p w14:paraId="7DE58675">
      <w:pPr>
        <w:spacing w:line="560" w:lineRule="exact"/>
        <w:rPr>
          <w:rFonts w:ascii="宋体" w:hAnsi="宋体"/>
          <w:color w:val="auto"/>
          <w:sz w:val="24"/>
        </w:rPr>
      </w:pPr>
    </w:p>
    <w:p w14:paraId="064B8173">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5C6E452F">
      <w:pPr>
        <w:spacing w:line="400" w:lineRule="exact"/>
        <w:ind w:firstLine="4080" w:firstLineChars="1700"/>
        <w:jc w:val="left"/>
        <w:rPr>
          <w:rFonts w:ascii="宋体" w:hAnsi="宋体" w:cs="宋体"/>
          <w:color w:val="auto"/>
          <w:sz w:val="24"/>
        </w:rPr>
      </w:pPr>
    </w:p>
    <w:p w14:paraId="0A61C054">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32E0D5BE">
      <w:pPr>
        <w:spacing w:line="400" w:lineRule="exact"/>
        <w:ind w:firstLine="4080" w:firstLineChars="1700"/>
        <w:jc w:val="left"/>
        <w:rPr>
          <w:rFonts w:ascii="宋体" w:hAnsi="宋体" w:cs="宋体"/>
          <w:color w:val="auto"/>
          <w:sz w:val="24"/>
        </w:rPr>
      </w:pPr>
    </w:p>
    <w:p w14:paraId="45E4662C">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79AB755">
      <w:pPr>
        <w:spacing w:line="400" w:lineRule="exact"/>
        <w:ind w:firstLine="4080" w:firstLineChars="1700"/>
        <w:jc w:val="left"/>
        <w:rPr>
          <w:rFonts w:ascii="宋体" w:hAnsi="宋体" w:cs="宋体"/>
          <w:color w:val="auto"/>
          <w:sz w:val="24"/>
          <w:u w:val="single"/>
        </w:rPr>
      </w:pPr>
    </w:p>
    <w:p w14:paraId="5848A95D">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2E85AFE5">
      <w:pPr>
        <w:spacing w:line="400" w:lineRule="exact"/>
        <w:ind w:firstLine="4080" w:firstLineChars="1700"/>
        <w:jc w:val="left"/>
        <w:rPr>
          <w:rFonts w:ascii="宋体" w:hAnsi="宋体" w:cs="宋体"/>
          <w:color w:val="auto"/>
          <w:sz w:val="24"/>
        </w:rPr>
      </w:pPr>
    </w:p>
    <w:p w14:paraId="64092784">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45B2DC60">
      <w:pPr>
        <w:spacing w:line="400" w:lineRule="exact"/>
        <w:ind w:firstLine="4080" w:firstLineChars="1700"/>
        <w:jc w:val="left"/>
        <w:rPr>
          <w:rFonts w:ascii="宋体" w:hAnsi="宋体" w:cs="宋体"/>
          <w:color w:val="auto"/>
          <w:sz w:val="24"/>
        </w:rPr>
      </w:pPr>
    </w:p>
    <w:p w14:paraId="27057B1F">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D095740">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091A6440">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1DD90960">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3FE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639AAA5B">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2BC0E5B0">
            <w:pPr>
              <w:spacing w:line="360" w:lineRule="auto"/>
              <w:jc w:val="center"/>
              <w:rPr>
                <w:rFonts w:ascii="宋体" w:hAnsi="宋体"/>
                <w:color w:val="auto"/>
                <w:sz w:val="24"/>
              </w:rPr>
            </w:pPr>
          </w:p>
        </w:tc>
      </w:tr>
      <w:tr w14:paraId="001F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18E4D3FD">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71C48D21">
            <w:pPr>
              <w:spacing w:line="360" w:lineRule="auto"/>
              <w:jc w:val="center"/>
              <w:rPr>
                <w:rFonts w:ascii="宋体" w:hAnsi="宋体"/>
                <w:color w:val="auto"/>
                <w:sz w:val="24"/>
              </w:rPr>
            </w:pPr>
          </w:p>
        </w:tc>
      </w:tr>
      <w:tr w14:paraId="108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05D21986">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736F9211">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7190C913">
            <w:pPr>
              <w:pStyle w:val="54"/>
              <w:rPr>
                <w:rFonts w:hint="eastAsia"/>
                <w:color w:val="auto"/>
                <w:lang w:eastAsia="zh-CN"/>
              </w:rPr>
            </w:pPr>
          </w:p>
          <w:p w14:paraId="5F2AE897">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14:paraId="7D14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52BA63DE">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681073E9">
            <w:pPr>
              <w:spacing w:line="360" w:lineRule="auto"/>
              <w:jc w:val="center"/>
              <w:rPr>
                <w:rFonts w:ascii="宋体" w:hAnsi="宋体"/>
                <w:color w:val="auto"/>
                <w:sz w:val="24"/>
              </w:rPr>
            </w:pPr>
          </w:p>
        </w:tc>
      </w:tr>
      <w:tr w14:paraId="6D8F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7BC383F6">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3E1CE60F">
            <w:pPr>
              <w:spacing w:line="360" w:lineRule="auto"/>
              <w:jc w:val="center"/>
              <w:rPr>
                <w:rFonts w:ascii="宋体" w:hAnsi="宋体"/>
                <w:color w:val="auto"/>
                <w:w w:val="110"/>
                <w:sz w:val="24"/>
                <w:szCs w:val="24"/>
              </w:rPr>
            </w:pPr>
          </w:p>
        </w:tc>
      </w:tr>
      <w:tr w14:paraId="7FF9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27D79E00">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14:paraId="7302ECDA">
            <w:pPr>
              <w:spacing w:line="360" w:lineRule="auto"/>
              <w:jc w:val="center"/>
              <w:rPr>
                <w:rFonts w:ascii="宋体" w:hAnsi="宋体"/>
                <w:color w:val="auto"/>
                <w:w w:val="110"/>
                <w:sz w:val="24"/>
                <w:szCs w:val="24"/>
              </w:rPr>
            </w:pPr>
          </w:p>
        </w:tc>
      </w:tr>
      <w:tr w14:paraId="1578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14:paraId="00226C2B">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14:paraId="0BE89E44">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030025CD">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2A707BB2">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14:paraId="6528268E">
      <w:pPr>
        <w:spacing w:line="360" w:lineRule="auto"/>
        <w:ind w:right="420"/>
        <w:rPr>
          <w:rFonts w:hint="eastAsia" w:ascii="宋体" w:hAnsi="宋体"/>
          <w:color w:val="auto"/>
          <w:sz w:val="24"/>
        </w:rPr>
      </w:pPr>
      <w:r>
        <w:rPr>
          <w:rFonts w:hint="eastAsia" w:ascii="宋体" w:hAnsi="宋体"/>
          <w:color w:val="auto"/>
          <w:sz w:val="24"/>
        </w:rPr>
        <w:t xml:space="preserve">     </w:t>
      </w:r>
    </w:p>
    <w:p w14:paraId="7F3D39E2">
      <w:pPr>
        <w:spacing w:line="360" w:lineRule="auto"/>
        <w:ind w:right="420"/>
        <w:rPr>
          <w:rFonts w:ascii="宋体" w:hAnsi="宋体"/>
          <w:color w:val="auto"/>
          <w:sz w:val="24"/>
        </w:rPr>
      </w:pPr>
      <w:r>
        <w:rPr>
          <w:rFonts w:hint="eastAsia" w:ascii="宋体" w:hAnsi="宋体"/>
          <w:color w:val="auto"/>
          <w:sz w:val="24"/>
        </w:rPr>
        <w:t xml:space="preserve">                                                     </w:t>
      </w:r>
    </w:p>
    <w:p w14:paraId="023A6B9F">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37D49226">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16F70F05">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E903AF9">
      <w:pPr>
        <w:pStyle w:val="54"/>
        <w:rPr>
          <w:rFonts w:hint="eastAsia" w:ascii="宋体" w:hAnsi="宋体" w:cs="宋体"/>
          <w:color w:val="auto"/>
          <w:sz w:val="24"/>
        </w:rPr>
      </w:pPr>
    </w:p>
    <w:p w14:paraId="0E95859B">
      <w:pPr>
        <w:pStyle w:val="54"/>
        <w:rPr>
          <w:rFonts w:hint="eastAsia" w:ascii="宋体" w:hAnsi="宋体" w:cs="宋体"/>
          <w:color w:val="auto"/>
          <w:sz w:val="24"/>
        </w:rPr>
      </w:pPr>
    </w:p>
    <w:p w14:paraId="40A7D626">
      <w:pPr>
        <w:pStyle w:val="54"/>
        <w:rPr>
          <w:rFonts w:hint="eastAsia" w:ascii="宋体" w:hAnsi="宋体" w:cs="宋体"/>
          <w:color w:val="auto"/>
          <w:sz w:val="24"/>
        </w:rPr>
      </w:pPr>
    </w:p>
    <w:p w14:paraId="4C2FE628">
      <w:pPr>
        <w:pStyle w:val="54"/>
        <w:rPr>
          <w:rFonts w:hint="eastAsia" w:ascii="宋体" w:hAnsi="宋体" w:cs="宋体"/>
          <w:color w:val="auto"/>
          <w:sz w:val="24"/>
        </w:rPr>
      </w:pPr>
    </w:p>
    <w:p w14:paraId="64EE42E1">
      <w:pPr>
        <w:pStyle w:val="54"/>
        <w:rPr>
          <w:rFonts w:hint="eastAsia" w:ascii="宋体" w:hAnsi="宋体" w:cs="宋体"/>
          <w:color w:val="auto"/>
          <w:sz w:val="24"/>
        </w:rPr>
      </w:pPr>
    </w:p>
    <w:p w14:paraId="61A95A7C">
      <w:pPr>
        <w:pStyle w:val="54"/>
        <w:ind w:left="0" w:leftChars="0" w:firstLine="0" w:firstLineChars="0"/>
        <w:rPr>
          <w:rFonts w:hint="eastAsia" w:ascii="宋体" w:hAnsi="宋体" w:cs="宋体"/>
          <w:color w:val="auto"/>
          <w:sz w:val="24"/>
        </w:rPr>
      </w:pPr>
    </w:p>
    <w:p w14:paraId="79E48C2C">
      <w:pPr>
        <w:pStyle w:val="10"/>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14:paraId="4AB652D2">
      <w:pPr>
        <w:keepNext w:val="0"/>
        <w:keepLines w:val="0"/>
        <w:pageBreakBefore w:val="0"/>
        <w:widowControl w:val="0"/>
        <w:kinsoku/>
        <w:wordWrap/>
        <w:overflowPunct/>
        <w:topLinePunct w:val="0"/>
        <w:autoSpaceDE/>
        <w:autoSpaceDN/>
        <w:bidi w:val="0"/>
        <w:adjustRightInd/>
        <w:snapToGrid/>
        <w:spacing w:after="624" w:afterLines="200" w:line="360" w:lineRule="auto"/>
        <w:ind w:firstLine="880" w:firstLineChars="200"/>
        <w:jc w:val="center"/>
        <w:textAlignment w:val="auto"/>
        <w:rPr>
          <w:rFonts w:hint="eastAsia" w:ascii="宋体" w:hAnsi="宋体" w:eastAsia="宋体" w:cs="宋体"/>
          <w:color w:val="auto"/>
          <w:spacing w:val="20"/>
          <w:sz w:val="40"/>
          <w:szCs w:val="40"/>
          <w:highlight w:val="none"/>
        </w:rPr>
      </w:pPr>
      <w:r>
        <w:rPr>
          <w:rFonts w:hint="eastAsia" w:ascii="宋体" w:hAnsi="宋体" w:cs="宋体"/>
          <w:color w:val="auto"/>
          <w:spacing w:val="20"/>
          <w:sz w:val="40"/>
          <w:szCs w:val="40"/>
          <w:highlight w:val="none"/>
          <w:lang w:eastAsia="zh-CN"/>
        </w:rPr>
        <w:t>初次报价</w:t>
      </w:r>
      <w:r>
        <w:rPr>
          <w:rFonts w:hint="eastAsia" w:ascii="宋体" w:hAnsi="宋体" w:eastAsia="宋体" w:cs="宋体"/>
          <w:color w:val="auto"/>
          <w:spacing w:val="20"/>
          <w:sz w:val="40"/>
          <w:szCs w:val="40"/>
          <w:highlight w:val="none"/>
        </w:rPr>
        <w:t>总价</w:t>
      </w:r>
    </w:p>
    <w:p w14:paraId="26FD22C1">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lang w:eastAsia="zh-CN"/>
        </w:rPr>
        <w:t>采</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购</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E7C544C">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工程名称：</w:t>
      </w:r>
      <w:r>
        <w:rPr>
          <w:rFonts w:hint="eastAsia" w:ascii="宋体" w:hAnsi="宋体" w:eastAsia="宋体" w:cs="宋体"/>
          <w:color w:val="auto"/>
          <w:sz w:val="28"/>
          <w:szCs w:val="28"/>
          <w:highlight w:val="none"/>
          <w:u w:val="single"/>
          <w:lang w:val="en-US" w:eastAsia="zh-CN"/>
        </w:rPr>
        <w:t xml:space="preserve">                                          </w:t>
      </w:r>
    </w:p>
    <w:p w14:paraId="6E300735">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初次报价</w:t>
      </w:r>
      <w:r>
        <w:rPr>
          <w:rFonts w:hint="eastAsia" w:ascii="宋体" w:hAnsi="宋体" w:eastAsia="宋体" w:cs="宋体"/>
          <w:color w:val="auto"/>
          <w:sz w:val="28"/>
          <w:szCs w:val="28"/>
          <w:highlight w:val="none"/>
        </w:rPr>
        <w:t>总价(小写)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17C9510C">
      <w:pPr>
        <w:keepNext w:val="0"/>
        <w:keepLines w:val="0"/>
        <w:pageBreakBefore w:val="0"/>
        <w:widowControl w:val="0"/>
        <w:kinsoku/>
        <w:wordWrap/>
        <w:overflowPunct/>
        <w:topLinePunct w:val="0"/>
        <w:autoSpaceDE/>
        <w:autoSpaceDN/>
        <w:bidi w:val="0"/>
        <w:adjustRightInd/>
        <w:snapToGrid/>
        <w:spacing w:line="600" w:lineRule="auto"/>
        <w:ind w:firstLine="2240" w:firstLineChars="8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(大写)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2FD4875F">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color w:val="auto"/>
          <w:sz w:val="28"/>
          <w:szCs w:val="28"/>
          <w:highlight w:val="none"/>
        </w:rPr>
      </w:pPr>
    </w:p>
    <w:p w14:paraId="24390D4A">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color w:val="auto"/>
          <w:sz w:val="28"/>
          <w:szCs w:val="28"/>
          <w:highlight w:val="none"/>
        </w:rPr>
      </w:pPr>
    </w:p>
    <w:p w14:paraId="195FBF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eastAsia="zh-CN"/>
        </w:rPr>
        <w:t>供应商名称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781D8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(单位盖章)</w:t>
      </w:r>
    </w:p>
    <w:p w14:paraId="3C2911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p>
    <w:p w14:paraId="31DB2474">
      <w:pPr>
        <w:keepNext w:val="0"/>
        <w:keepLines w:val="0"/>
        <w:pageBreakBefore w:val="0"/>
        <w:widowControl w:val="0"/>
        <w:kinsoku/>
        <w:wordWrap/>
        <w:overflowPunct/>
        <w:topLinePunct w:val="0"/>
        <w:autoSpaceDE/>
        <w:autoSpaceDN/>
        <w:bidi w:val="0"/>
        <w:adjustRightInd/>
        <w:snapToGrid/>
        <w:spacing w:after="93" w:afterLines="30"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p w14:paraId="4D1279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或其授权人：</w:t>
      </w:r>
      <w:r>
        <w:rPr>
          <w:rFonts w:hint="eastAsia" w:ascii="宋体" w:hAnsi="宋体" w:eastAsia="宋体" w:cs="宋体"/>
          <w:color w:val="auto"/>
          <w:sz w:val="28"/>
          <w:szCs w:val="28"/>
          <w:highlight w:val="none"/>
          <w:u w:val="single"/>
        </w:rPr>
        <w:t xml:space="preserve">                                                               </w:t>
      </w:r>
    </w:p>
    <w:p w14:paraId="125C88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(签字或盖章)</w:t>
      </w:r>
    </w:p>
    <w:p w14:paraId="3EADF567">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color w:val="auto"/>
          <w:sz w:val="28"/>
          <w:szCs w:val="28"/>
          <w:highlight w:val="none"/>
        </w:rPr>
      </w:pPr>
    </w:p>
    <w:p w14:paraId="3FD0C2D2">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color w:val="auto"/>
          <w:sz w:val="28"/>
          <w:szCs w:val="28"/>
          <w:highlight w:val="none"/>
        </w:rPr>
      </w:pPr>
    </w:p>
    <w:p w14:paraId="73875A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编制人：</w:t>
      </w:r>
      <w:r>
        <w:rPr>
          <w:rFonts w:hint="eastAsia" w:ascii="宋体" w:hAnsi="宋体" w:eastAsia="宋体" w:cs="宋体"/>
          <w:color w:val="auto"/>
          <w:sz w:val="28"/>
          <w:szCs w:val="28"/>
          <w:highlight w:val="none"/>
          <w:u w:val="single"/>
        </w:rPr>
        <w:t xml:space="preserve">                                                               </w:t>
      </w:r>
    </w:p>
    <w:p w14:paraId="6A159A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(造价人员签字</w:t>
      </w:r>
      <w:r>
        <w:rPr>
          <w:rFonts w:hint="eastAsia" w:ascii="宋体" w:hAnsi="宋体" w:cs="宋体"/>
          <w:color w:val="auto"/>
          <w:sz w:val="28"/>
          <w:szCs w:val="28"/>
          <w:highlight w:val="none"/>
          <w:lang w:eastAsia="zh-CN"/>
        </w:rPr>
        <w:t>或</w:t>
      </w:r>
      <w:r>
        <w:rPr>
          <w:rFonts w:hint="eastAsia" w:ascii="宋体" w:hAnsi="宋体" w:eastAsia="宋体" w:cs="宋体"/>
          <w:color w:val="auto"/>
          <w:sz w:val="28"/>
          <w:szCs w:val="28"/>
          <w:highlight w:val="none"/>
        </w:rPr>
        <w:t>盖专用章)</w:t>
      </w:r>
    </w:p>
    <w:p w14:paraId="7E164F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p>
    <w:p w14:paraId="0080164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编制时间：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p>
    <w:p w14:paraId="2EF819B6">
      <w:pPr>
        <w:spacing w:line="360" w:lineRule="auto"/>
        <w:ind w:firstLine="560" w:firstLineChars="200"/>
        <w:rPr>
          <w:rFonts w:hint="eastAsia" w:ascii="宋体" w:hAnsi="宋体" w:eastAsia="宋体" w:cs="宋体"/>
          <w:color w:val="auto"/>
          <w:sz w:val="28"/>
          <w:szCs w:val="28"/>
          <w:highlight w:val="none"/>
        </w:rPr>
      </w:pPr>
    </w:p>
    <w:p w14:paraId="0938CB25">
      <w:pPr>
        <w:spacing w:line="360" w:lineRule="auto"/>
        <w:ind w:firstLine="560" w:firstLineChars="200"/>
        <w:rPr>
          <w:rFonts w:hint="eastAsia" w:ascii="宋体" w:hAnsi="宋体" w:eastAsia="宋体" w:cs="宋体"/>
          <w:color w:val="auto"/>
          <w:sz w:val="28"/>
          <w:szCs w:val="28"/>
          <w:highlight w:val="none"/>
        </w:rPr>
      </w:pPr>
    </w:p>
    <w:p w14:paraId="5CA1D9B9">
      <w:pPr>
        <w:ind w:firstLine="482" w:firstLineChars="200"/>
        <w:jc w:val="cente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报价明细表</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4015"/>
        <w:gridCol w:w="1295"/>
        <w:gridCol w:w="1295"/>
        <w:gridCol w:w="1295"/>
        <w:gridCol w:w="1311"/>
      </w:tblGrid>
      <w:tr w14:paraId="76BB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3ADE3B9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工程名称：室外雨污水管网</w:t>
            </w:r>
          </w:p>
        </w:tc>
      </w:tr>
      <w:tr w14:paraId="4FA2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A693D">
            <w:pPr>
              <w:keepNext w:val="0"/>
              <w:keepLines w:val="0"/>
              <w:widowControl/>
              <w:suppressLineNumbers w:val="0"/>
              <w:jc w:val="center"/>
              <w:textAlignment w:val="center"/>
              <w:rPr>
                <w:rFonts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序号</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F186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项目名称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项目特征</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AF7C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计量单位</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3086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工程量</w:t>
            </w:r>
          </w:p>
        </w:tc>
        <w:tc>
          <w:tcPr>
            <w:tcW w:w="650" w:type="pct"/>
            <w:tcBorders>
              <w:top w:val="single" w:color="000000" w:sz="4" w:space="0"/>
              <w:left w:val="single" w:color="000000" w:sz="4" w:space="0"/>
              <w:right w:val="single" w:color="000000" w:sz="4" w:space="0"/>
            </w:tcBorders>
            <w:shd w:val="clear" w:color="auto" w:fill="FFFFFF"/>
            <w:vAlign w:val="center"/>
          </w:tcPr>
          <w:p w14:paraId="36F4070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r>
              <w:rPr>
                <w:rFonts w:hint="eastAsia" w:ascii="Arial" w:hAnsi="Arial" w:eastAsia="宋体" w:cs="Arial"/>
                <w:i w:val="0"/>
                <w:iCs w:val="0"/>
                <w:color w:val="auto"/>
                <w:kern w:val="0"/>
                <w:sz w:val="24"/>
                <w:szCs w:val="24"/>
                <w:u w:val="none"/>
                <w:lang w:val="en-US" w:eastAsia="zh-CN" w:bidi="ar"/>
              </w:rPr>
              <w:t>固定含税全费用综合单价（元）</w:t>
            </w: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74C1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r>
              <w:rPr>
                <w:rFonts w:hint="eastAsia" w:ascii="Arial" w:hAnsi="Arial" w:eastAsia="宋体" w:cs="Arial"/>
                <w:i w:val="0"/>
                <w:iCs w:val="0"/>
                <w:color w:val="auto"/>
                <w:kern w:val="0"/>
                <w:sz w:val="24"/>
                <w:szCs w:val="24"/>
                <w:u w:val="none"/>
                <w:lang w:val="en-US" w:eastAsia="zh-CN" w:bidi="ar"/>
              </w:rPr>
              <w:t>合价（元）</w:t>
            </w:r>
          </w:p>
        </w:tc>
      </w:tr>
      <w:tr w14:paraId="271C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BD9D8">
            <w:pPr>
              <w:jc w:val="center"/>
              <w:rPr>
                <w:rFonts w:hint="default" w:ascii="Arial" w:hAnsi="Arial" w:eastAsia="宋体" w:cs="Arial"/>
                <w:i w:val="0"/>
                <w:iCs w:val="0"/>
                <w:color w:val="auto"/>
                <w:sz w:val="24"/>
                <w:szCs w:val="24"/>
                <w:u w:val="none"/>
              </w:rPr>
            </w:pP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F7BE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室外雨水</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B97D0">
            <w:pPr>
              <w:jc w:val="center"/>
              <w:rPr>
                <w:rFonts w:hint="default" w:ascii="Arial" w:hAnsi="Arial" w:eastAsia="宋体" w:cs="Arial"/>
                <w:i w:val="0"/>
                <w:iCs w:val="0"/>
                <w:color w:val="auto"/>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0D651">
            <w:pPr>
              <w:jc w:val="center"/>
              <w:rPr>
                <w:rFonts w:hint="default" w:ascii="Arial" w:hAnsi="Arial" w:eastAsia="宋体" w:cs="Arial"/>
                <w:i w:val="0"/>
                <w:iCs w:val="0"/>
                <w:color w:val="auto"/>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CD667">
            <w:pPr>
              <w:jc w:val="center"/>
              <w:rPr>
                <w:rFonts w:hint="default" w:ascii="Arial" w:hAnsi="Arial" w:eastAsia="宋体" w:cs="Arial"/>
                <w:i w:val="0"/>
                <w:iCs w:val="0"/>
                <w:color w:val="auto"/>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7286B">
            <w:pPr>
              <w:jc w:val="center"/>
              <w:rPr>
                <w:rFonts w:hint="default" w:ascii="Arial" w:hAnsi="Arial" w:eastAsia="宋体" w:cs="Arial"/>
                <w:i w:val="0"/>
                <w:iCs w:val="0"/>
                <w:color w:val="auto"/>
                <w:sz w:val="24"/>
                <w:szCs w:val="24"/>
                <w:u w:val="none"/>
              </w:rPr>
            </w:pPr>
          </w:p>
        </w:tc>
      </w:tr>
      <w:tr w14:paraId="1488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88C1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F776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2.规格：DN800环刚度不小于8KN/m2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B81B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0E5F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7.02</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167D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23A8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F93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95D9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07A0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2.规格：DN600环刚度不小于8KN/m2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A604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BBD3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54.98</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4B7C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CCBD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A06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D35A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7BC9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2.规格：DN500环刚度不小于8KN/m2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22CF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3F18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178.26</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7D257">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8CB0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BF5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BF96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CD02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2.规格：DN400环刚度不小于8KN/m2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6836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FC14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169.88</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7C00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C5FC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FF6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B625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336FD">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2.规格：DN300环刚度不小于8KN/m2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46E4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05E3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1092.38</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D6EF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53B3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5B0B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CC10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158F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2.规格：DN200环刚度不小于8KN/m2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354D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F4BD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198.62</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FEF9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3EA2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309F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67F5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6EBF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铸铁管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2.介质：污水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3.材质、规格：承插式抗震排水铸铁管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4.连接形式:柔性接口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EC0D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D984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10.66</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29D7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97E3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CDD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1F03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80DB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雨水口</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1.名称：新型复合材质平箅式雨水口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2.规格：雨水口均设300mm深沉泥室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1D67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9B93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51</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68CC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7564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E9B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5367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3B8E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雨水检查井</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1.名称：雨水检查井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2.规格：Ф1000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3.材质：混凝土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660A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AAB2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48</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C6A5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0F5F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E5A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E5FA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52F4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管道基础</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1.名称：管道基础采用中粗砂基础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2.厚度：100mm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D18E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9DF1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157.4</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B6C3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8BE7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D4F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696A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A6A0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挖沟槽土方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1.土壤类别：普通土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2.挖土深度：综合考虑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F7F3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217B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2833.31</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7984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DA79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2B5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C873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384E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回填方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1.密实度要求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2.填方材料品种：符合要求的原土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2FA6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4C7E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2108.41</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65FE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F0F67">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173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CD7F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F684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余方弃置</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1.废弃料品种：普通土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2.运距：暂按5KM计算</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1FAD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9F17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724.9</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98E86">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65DD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C19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75FF6">
            <w:pPr>
              <w:jc w:val="center"/>
              <w:rPr>
                <w:rFonts w:hint="default" w:ascii="Arial" w:hAnsi="Arial" w:eastAsia="宋体" w:cs="Arial"/>
                <w:i w:val="0"/>
                <w:iCs w:val="0"/>
                <w:color w:val="auto"/>
                <w:sz w:val="24"/>
                <w:szCs w:val="24"/>
                <w:u w:val="none"/>
              </w:rPr>
            </w:pP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347C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室外污水</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3046A">
            <w:pPr>
              <w:jc w:val="center"/>
              <w:rPr>
                <w:rFonts w:hint="default" w:ascii="Arial" w:hAnsi="Arial" w:eastAsia="宋体" w:cs="Arial"/>
                <w:i w:val="0"/>
                <w:iCs w:val="0"/>
                <w:color w:val="auto"/>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0F4CE">
            <w:pPr>
              <w:jc w:val="center"/>
              <w:rPr>
                <w:rFonts w:hint="default" w:ascii="Arial" w:hAnsi="Arial" w:eastAsia="宋体" w:cs="Arial"/>
                <w:i w:val="0"/>
                <w:iCs w:val="0"/>
                <w:color w:val="auto"/>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C5E49">
            <w:pPr>
              <w:jc w:val="center"/>
              <w:rPr>
                <w:rFonts w:hint="default" w:ascii="Arial" w:hAnsi="Arial" w:eastAsia="宋体" w:cs="Arial"/>
                <w:i w:val="0"/>
                <w:iCs w:val="0"/>
                <w:color w:val="auto"/>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6DB2B">
            <w:pPr>
              <w:jc w:val="center"/>
              <w:rPr>
                <w:rFonts w:hint="default" w:ascii="Arial" w:hAnsi="Arial" w:eastAsia="宋体" w:cs="Arial"/>
                <w:i w:val="0"/>
                <w:iCs w:val="0"/>
                <w:color w:val="auto"/>
                <w:sz w:val="24"/>
                <w:szCs w:val="24"/>
                <w:u w:val="none"/>
              </w:rPr>
            </w:pPr>
          </w:p>
        </w:tc>
      </w:tr>
      <w:tr w14:paraId="4AB9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1256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431D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塑料管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1.名称：高密度聚氣乙烯(HDPE)双壁波纹管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2.规格：DN300环刚度不小于8KN/m2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3.连接方式：承插橡胶圈接口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D3CE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8684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1409.22</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B026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5E97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CC3C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6CD9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E0FF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铸铁管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1.安装部位:室外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2.介质：污水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3.材质、规格：承插式抗震排水铸铁管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DN100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4.连接形式:柔性接口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5.其它详见图纸设计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0992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C9D7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375.44</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6A36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5764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CE6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9552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E59C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污水检查井</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1.名称：污水检查井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2.规格：Ф1000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3.材质：混凝土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2681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5FF2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36BF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45D3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348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713F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BB76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化粪池</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1.名称：7#化粪池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2.材质：钢筋混凝土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3.其它综合考虑、并详见图纸设计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F7EA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963A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4FBB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A52A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BB1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A183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18</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AF0C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化粪池</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1.名称：8#化粪池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2.材质：钢筋混凝土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3.其它综合考虑、并详见图纸设计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F867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D995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8631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6496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5853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B92D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19</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3FD46">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管道基础</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1.名称：管道基础采用中粗砂基础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2.厚度：100mm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F0C8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6293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126.83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C342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BDF6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BA0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8E7E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C528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挖沟槽土方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1.土壤类别：普通土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2.挖土深度：综合考虑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57CD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79A8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2638.99</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00FC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2811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151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7EF4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21</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3427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回填方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1.密实度要求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2.填方材料品种：满足图纸及相关技术标准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要求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3578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A14C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1938.36</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8644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63AC9">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E59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75B0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22</w:t>
            </w:r>
          </w:p>
        </w:tc>
        <w:tc>
          <w:tcPr>
            <w:tcW w:w="20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FC28B">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余方弃置</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1.废弃料品种：普通土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2.运距：暂按5KM计算</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C0BB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EABA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700.12</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E0629">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C6477">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bl>
    <w:p w14:paraId="61CE25FF">
      <w:pPr>
        <w:rPr>
          <w:color w:val="auto"/>
        </w:rPr>
      </w:pPr>
    </w:p>
    <w:tbl>
      <w:tblPr>
        <w:tblStyle w:val="39"/>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4011"/>
        <w:gridCol w:w="1295"/>
        <w:gridCol w:w="1313"/>
        <w:gridCol w:w="1293"/>
        <w:gridCol w:w="1283"/>
      </w:tblGrid>
      <w:tr w14:paraId="2D32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409660C0">
            <w:pPr>
              <w:keepNext w:val="0"/>
              <w:keepLines w:val="0"/>
              <w:widowControl/>
              <w:suppressLineNumbers w:val="0"/>
              <w:jc w:val="left"/>
              <w:textAlignment w:val="center"/>
              <w:rPr>
                <w:rFonts w:hint="default" w:ascii="Arial" w:hAnsi="Arial" w:eastAsia="宋体" w:cs="Arial"/>
                <w:i w:val="0"/>
                <w:iCs w:val="0"/>
                <w:color w:val="auto"/>
                <w:kern w:val="0"/>
                <w:sz w:val="24"/>
                <w:szCs w:val="24"/>
                <w:u w:val="none"/>
                <w:lang w:val="en-US" w:eastAsia="zh-CN" w:bidi="ar"/>
              </w:rPr>
            </w:pPr>
            <w:r>
              <w:rPr>
                <w:rFonts w:hint="default" w:ascii="Arial" w:hAnsi="Arial" w:eastAsia="宋体" w:cs="Arial"/>
                <w:i w:val="0"/>
                <w:iCs w:val="0"/>
                <w:color w:val="auto"/>
                <w:kern w:val="0"/>
                <w:sz w:val="24"/>
                <w:szCs w:val="24"/>
                <w:u w:val="none"/>
                <w:lang w:val="en-US" w:eastAsia="zh-CN" w:bidi="ar"/>
              </w:rPr>
              <w:t>工程名称：室外照明及弱电管网-评审</w:t>
            </w:r>
          </w:p>
        </w:tc>
      </w:tr>
      <w:tr w14:paraId="446F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6FEC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序号</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9EBF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项目名称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项目特征</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691A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计量单位</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BAF8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工程量</w:t>
            </w:r>
          </w:p>
        </w:tc>
        <w:tc>
          <w:tcPr>
            <w:tcW w:w="1293" w:type="dxa"/>
            <w:tcBorders>
              <w:top w:val="single" w:color="000000" w:sz="4" w:space="0"/>
              <w:left w:val="single" w:color="000000" w:sz="4" w:space="0"/>
              <w:right w:val="single" w:color="000000" w:sz="4" w:space="0"/>
            </w:tcBorders>
            <w:shd w:val="clear" w:color="auto" w:fill="FFFFFF"/>
            <w:vAlign w:val="center"/>
          </w:tcPr>
          <w:p w14:paraId="1C2DDA8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r>
              <w:rPr>
                <w:rFonts w:hint="eastAsia" w:ascii="Arial" w:hAnsi="Arial" w:eastAsia="宋体" w:cs="Arial"/>
                <w:i w:val="0"/>
                <w:iCs w:val="0"/>
                <w:color w:val="auto"/>
                <w:kern w:val="0"/>
                <w:sz w:val="24"/>
                <w:szCs w:val="24"/>
                <w:u w:val="none"/>
                <w:lang w:val="en-US" w:eastAsia="zh-CN" w:bidi="ar"/>
              </w:rPr>
              <w:t>固定含税全费用综合单价（元）</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BF8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r>
              <w:rPr>
                <w:rFonts w:hint="eastAsia" w:ascii="Arial" w:hAnsi="Arial" w:eastAsia="宋体" w:cs="Arial"/>
                <w:i w:val="0"/>
                <w:iCs w:val="0"/>
                <w:color w:val="auto"/>
                <w:kern w:val="0"/>
                <w:sz w:val="24"/>
                <w:szCs w:val="24"/>
                <w:u w:val="none"/>
                <w:lang w:val="en-US" w:eastAsia="zh-CN" w:bidi="ar"/>
              </w:rPr>
              <w:t>合价（元）</w:t>
            </w:r>
          </w:p>
        </w:tc>
      </w:tr>
      <w:tr w14:paraId="3E19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CEC21">
            <w:pPr>
              <w:jc w:val="center"/>
              <w:rPr>
                <w:rFonts w:hint="default" w:ascii="Arial" w:hAnsi="Arial" w:eastAsia="宋体" w:cs="Arial"/>
                <w:i w:val="0"/>
                <w:iCs w:val="0"/>
                <w:color w:val="auto"/>
                <w:sz w:val="24"/>
                <w:szCs w:val="24"/>
                <w:u w:val="none"/>
              </w:rPr>
            </w:pP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35D2F">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室外照明系统</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C3AB4">
            <w:pPr>
              <w:jc w:val="center"/>
              <w:rPr>
                <w:rFonts w:hint="default" w:ascii="Arial" w:hAnsi="Arial" w:eastAsia="宋体" w:cs="Arial"/>
                <w:i w:val="0"/>
                <w:iCs w:val="0"/>
                <w:color w:val="auto"/>
                <w:sz w:val="24"/>
                <w:szCs w:val="24"/>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3A0F8">
            <w:pPr>
              <w:jc w:val="center"/>
              <w:rPr>
                <w:rFonts w:hint="default" w:ascii="Arial" w:hAnsi="Arial" w:eastAsia="宋体" w:cs="Arial"/>
                <w:i w:val="0"/>
                <w:iCs w:val="0"/>
                <w:color w:val="auto"/>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FE7A8">
            <w:pPr>
              <w:jc w:val="center"/>
              <w:rPr>
                <w:rFonts w:hint="default" w:ascii="Arial" w:hAnsi="Arial" w:eastAsia="宋体" w:cs="Arial"/>
                <w:i w:val="0"/>
                <w:iCs w:val="0"/>
                <w:color w:val="auto"/>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FEAD5">
            <w:pPr>
              <w:jc w:val="center"/>
              <w:rPr>
                <w:rFonts w:hint="default" w:ascii="Arial" w:hAnsi="Arial" w:eastAsia="宋体" w:cs="Arial"/>
                <w:i w:val="0"/>
                <w:iCs w:val="0"/>
                <w:color w:val="auto"/>
                <w:sz w:val="24"/>
                <w:szCs w:val="24"/>
                <w:u w:val="none"/>
              </w:rPr>
            </w:pPr>
          </w:p>
        </w:tc>
      </w:tr>
      <w:tr w14:paraId="2EF7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19E3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4CC5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配电箱</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1.名称：配电箱AL1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2.型号:内含智能控制器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3.规格：详见图纸设计</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5F6E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台</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2F17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4BD8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7EF8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D42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EF4B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EA7E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电缆保护管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1.名称：电缆保护管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2.材质：PE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3.规格:25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4.敷设方式：埋地敷设</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D44B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1063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1198.93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B3E6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0DC91">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DD9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31C9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7E43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电力电缆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1.名称:电力电缆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2.型号：YJV-3*6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3.敷设方式、部位:管内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374A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B58F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1236.7</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7A5D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4306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894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7600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4DF8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一般路灯</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1.名称：庭院灯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2.型号：2*25W,LED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A216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套</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1DBA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29</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B020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FB36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5A21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281F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65919">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挖填土</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1.种类 ：普通土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2.规格</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5491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5CB9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539.5</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F990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7A47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D26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55624">
            <w:pPr>
              <w:jc w:val="center"/>
              <w:rPr>
                <w:rFonts w:hint="default" w:ascii="Arial" w:hAnsi="Arial" w:eastAsia="宋体" w:cs="Arial"/>
                <w:i w:val="0"/>
                <w:iCs w:val="0"/>
                <w:color w:val="auto"/>
                <w:sz w:val="24"/>
                <w:szCs w:val="24"/>
                <w:u w:val="none"/>
              </w:rPr>
            </w:pP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07D8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弱电管网</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6E0EB">
            <w:pPr>
              <w:jc w:val="center"/>
              <w:rPr>
                <w:rFonts w:hint="default" w:ascii="Arial" w:hAnsi="Arial" w:eastAsia="宋体" w:cs="Arial"/>
                <w:i w:val="0"/>
                <w:iCs w:val="0"/>
                <w:color w:val="auto"/>
                <w:sz w:val="24"/>
                <w:szCs w:val="24"/>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AE353">
            <w:pPr>
              <w:jc w:val="center"/>
              <w:rPr>
                <w:rFonts w:hint="default" w:ascii="Arial" w:hAnsi="Arial" w:eastAsia="宋体" w:cs="Arial"/>
                <w:i w:val="0"/>
                <w:iCs w:val="0"/>
                <w:color w:val="auto"/>
                <w:sz w:val="24"/>
                <w:szCs w:val="24"/>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B5F64">
            <w:pPr>
              <w:jc w:val="center"/>
              <w:rPr>
                <w:rFonts w:hint="default" w:ascii="Arial" w:hAnsi="Arial" w:eastAsia="宋体" w:cs="Arial"/>
                <w:i w:val="0"/>
                <w:iCs w:val="0"/>
                <w:color w:val="auto"/>
                <w:sz w:val="24"/>
                <w:szCs w:val="24"/>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9F756">
            <w:pPr>
              <w:jc w:val="center"/>
              <w:rPr>
                <w:rFonts w:hint="default" w:ascii="Arial" w:hAnsi="Arial" w:eastAsia="宋体" w:cs="Arial"/>
                <w:i w:val="0"/>
                <w:iCs w:val="0"/>
                <w:color w:val="auto"/>
                <w:sz w:val="24"/>
                <w:szCs w:val="24"/>
                <w:u w:val="none"/>
              </w:rPr>
            </w:pPr>
          </w:p>
        </w:tc>
      </w:tr>
      <w:tr w14:paraId="30C6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9F41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7963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长途专用塑料管道</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1.名称：9孔方栅格塑料管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2.孔数：9孔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754B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3DC7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792.25</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9AC4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273C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4C4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B8AC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7517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长途专用塑料管道</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1.名称：双壁碳素波纹管KPC110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2.孔数：1孔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F474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A0C4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206.83</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637B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84F3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7F5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27AE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36B35">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手孔检查井</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1.名称：手孔检查井</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2.规格：800*800*1000</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3.其它详见图纸设计</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EB00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座</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C6AC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26</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CD26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0C6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59A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A865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64F8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管道包封</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1.名称：管道包封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2.规格：混凝土C20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3.位置：排管敷设在穿越道路、路面下及消</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防车道时均采用混凝土包封。</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4.其它详见图纸设计</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B2EE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A88A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40.24</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10FA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64D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0B6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CE9C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w:t>
            </w:r>
          </w:p>
        </w:tc>
        <w:tc>
          <w:tcPr>
            <w:tcW w:w="20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9F11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挖填土</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1.种类 ：普通土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2.规格</w:t>
            </w:r>
          </w:p>
        </w:tc>
        <w:tc>
          <w:tcPr>
            <w:tcW w:w="6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48CA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FA75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449.59</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77DB8">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A391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bl>
    <w:p w14:paraId="6BEC81AE">
      <w:pPr>
        <w:rPr>
          <w:color w:val="auto"/>
        </w:rPr>
      </w:pPr>
    </w:p>
    <w:tbl>
      <w:tblPr>
        <w:tblStyle w:val="39"/>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4009"/>
        <w:gridCol w:w="1279"/>
        <w:gridCol w:w="1362"/>
        <w:gridCol w:w="1261"/>
        <w:gridCol w:w="1298"/>
      </w:tblGrid>
      <w:tr w14:paraId="7109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5ECF7C1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工程名称：围墙</w:t>
            </w:r>
          </w:p>
        </w:tc>
      </w:tr>
      <w:tr w14:paraId="782F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7369E">
            <w:pPr>
              <w:keepNext w:val="0"/>
              <w:keepLines w:val="0"/>
              <w:widowControl/>
              <w:suppressLineNumbers w:val="0"/>
              <w:jc w:val="center"/>
              <w:textAlignment w:val="center"/>
              <w:rPr>
                <w:rFonts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序号</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F672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项目名称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项目特征</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AFF9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计量单位</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37AC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工程量</w:t>
            </w:r>
          </w:p>
        </w:tc>
        <w:tc>
          <w:tcPr>
            <w:tcW w:w="1261" w:type="dxa"/>
            <w:tcBorders>
              <w:top w:val="single" w:color="000000" w:sz="4" w:space="0"/>
              <w:left w:val="single" w:color="000000" w:sz="4" w:space="0"/>
              <w:right w:val="single" w:color="000000" w:sz="4" w:space="0"/>
            </w:tcBorders>
            <w:shd w:val="clear" w:color="auto" w:fill="FFFFFF"/>
            <w:vAlign w:val="center"/>
          </w:tcPr>
          <w:p w14:paraId="3E841F4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r>
              <w:rPr>
                <w:rFonts w:hint="eastAsia" w:ascii="Arial" w:hAnsi="Arial" w:eastAsia="宋体" w:cs="Arial"/>
                <w:i w:val="0"/>
                <w:iCs w:val="0"/>
                <w:color w:val="auto"/>
                <w:kern w:val="0"/>
                <w:sz w:val="24"/>
                <w:szCs w:val="24"/>
                <w:u w:val="none"/>
                <w:lang w:val="en-US" w:eastAsia="zh-CN" w:bidi="ar"/>
              </w:rPr>
              <w:t>固定含税全费用综合单价（元）</w:t>
            </w:r>
          </w:p>
        </w:tc>
        <w:tc>
          <w:tcPr>
            <w:tcW w:w="12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7A5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r>
              <w:rPr>
                <w:rFonts w:hint="eastAsia" w:ascii="Arial" w:hAnsi="Arial" w:eastAsia="宋体" w:cs="Arial"/>
                <w:i w:val="0"/>
                <w:iCs w:val="0"/>
                <w:color w:val="auto"/>
                <w:kern w:val="0"/>
                <w:sz w:val="24"/>
                <w:szCs w:val="24"/>
                <w:u w:val="none"/>
                <w:lang w:val="en-US" w:eastAsia="zh-CN" w:bidi="ar"/>
              </w:rPr>
              <w:t>合价（元）</w:t>
            </w:r>
          </w:p>
        </w:tc>
      </w:tr>
      <w:tr w14:paraId="5C4D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99CF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9E4F2">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垫层</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1.10cmC20砼垫层</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10D6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389F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18.96</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42D70">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F596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B71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506A0">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2</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094E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砖基础</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1.砖品种、规格、强度等级：煤矸石烧结砖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2.基础类型：带型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3砂浆强度等级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4.防潮层材料种类</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B2C3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53C3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39.82</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709B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45D4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305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1A52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45F9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实心砖墙</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1.砖品种、规格、强度等级:煤矸石烧结砖</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240*115*53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2.墙体类型：挡土墙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3.砂浆强度等级、配合比</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B9C6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EA61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81.53</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7764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1A53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098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ACC4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0D4D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压顶</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1.3cm1:2水泥砂浆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2.五莲红100*400*150压顶石</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75BC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C00F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395</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6CE89">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1A79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1FA4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9586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2F1F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墙面一般抹灰</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1.墙体类型:挡土墙内外侧3cm1:2水泥砂浆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找平</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CD1B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AAD1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679.4</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306B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7A747">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F6D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8BCE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6</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DE44A">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石材墙面</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1.外墙面仿蘑菇石面砖（400*400）</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3880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EFCB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197.5</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BA5E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4563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7FA5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5D2BA">
            <w:pPr>
              <w:jc w:val="center"/>
              <w:rPr>
                <w:rFonts w:hint="default" w:ascii="Arial" w:hAnsi="Arial" w:eastAsia="宋体" w:cs="Arial"/>
                <w:i w:val="0"/>
                <w:iCs w:val="0"/>
                <w:color w:val="auto"/>
                <w:sz w:val="24"/>
                <w:szCs w:val="24"/>
                <w:u w:val="none"/>
              </w:rPr>
            </w:pP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5B661">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砼挡土墙</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0968D">
            <w:pPr>
              <w:jc w:val="center"/>
              <w:rPr>
                <w:rFonts w:hint="default" w:ascii="Arial" w:hAnsi="Arial" w:eastAsia="宋体" w:cs="Arial"/>
                <w:i w:val="0"/>
                <w:iCs w:val="0"/>
                <w:color w:val="auto"/>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11679">
            <w:pPr>
              <w:jc w:val="center"/>
              <w:rPr>
                <w:rFonts w:hint="default" w:ascii="Arial" w:hAnsi="Arial" w:eastAsia="宋体" w:cs="Arial"/>
                <w:i w:val="0"/>
                <w:iCs w:val="0"/>
                <w:color w:val="auto"/>
                <w:sz w:val="24"/>
                <w:szCs w:val="24"/>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5A5CE">
            <w:pPr>
              <w:jc w:val="center"/>
              <w:rPr>
                <w:rFonts w:hint="default" w:ascii="Arial" w:hAnsi="Arial" w:eastAsia="宋体" w:cs="Arial"/>
                <w:i w:val="0"/>
                <w:iCs w:val="0"/>
                <w:color w:val="auto"/>
                <w:sz w:val="24"/>
                <w:szCs w:val="24"/>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248FD">
            <w:pPr>
              <w:jc w:val="center"/>
              <w:rPr>
                <w:rFonts w:hint="default" w:ascii="Arial" w:hAnsi="Arial" w:eastAsia="宋体" w:cs="Arial"/>
                <w:i w:val="0"/>
                <w:iCs w:val="0"/>
                <w:color w:val="auto"/>
                <w:sz w:val="24"/>
                <w:szCs w:val="24"/>
                <w:u w:val="none"/>
              </w:rPr>
            </w:pPr>
          </w:p>
        </w:tc>
      </w:tr>
      <w:tr w14:paraId="1EBD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2F193">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FC7E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挖沟槽土方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1.土壤类别：普通土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2.挖土深度：1m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3.弃土运距</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8019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7AAB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1213.32</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1E3D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1E62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504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022F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8</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7143C">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回填方</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1.密实度要求:夯填密实</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574B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716B8">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714.2</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4E57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95CEF">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008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1F49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E325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余方弃置</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1.废弃料品种  ：余方外运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2.运距：3Km</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8E13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8115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499.48</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4342E">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DFD3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2A4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6984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10</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F70ED">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垫层</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1.混凝土种类：商砼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2.混凝土强度等级：C15</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721B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6AD1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93.36</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C931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C943C">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5C7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44E3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11</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414D7">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挡土墙</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1.混凝土种类：C25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2.混凝土强度等级：商砼</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6A3C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m3</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5F54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558.45</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A9FDB">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2AE1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7D8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D92F7">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4E22E">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现浇构件钢筋</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钢筋种类、规格：螺纹钢筋≤φ10</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6572C">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t</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0BCD5">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3.319</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FC5AA">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50FD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60A8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C8DD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13</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38F92">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现浇构件钢筋</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钢筋种类、规格：螺纹钢筋≤φ18</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2DB8F">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t</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D4C5B">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33.868</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8B1C7">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7D75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DA4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F1D7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14</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920B4">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铸铁栏杆</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1.铸铁栏杆高1.4m</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EBF7D">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73371">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392.2</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9A83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E104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03BD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D495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94383">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固定支柱</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1.固定支柱</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002B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个</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E1D19">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157</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0A4D3">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60684">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45E2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A448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16</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232F8">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泄水管</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1.Ф50PE泄水管,管长0.5m(内部设置过滤网)</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A43FA">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78E46">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12</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0BD15">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3BB3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r w14:paraId="2674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D06FE">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17</w:t>
            </w:r>
          </w:p>
        </w:tc>
        <w:tc>
          <w:tcPr>
            <w:tcW w:w="20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872D0">
            <w:pPr>
              <w:keepNext w:val="0"/>
              <w:keepLines w:val="0"/>
              <w:widowControl/>
              <w:suppressLineNumbers w:val="0"/>
              <w:jc w:val="left"/>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金属(塑钢)门</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 xml:space="preserve">1.材质：不锈钢门 </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2.部位：综合楼后右侧及商业1#2#之间围墙</w:t>
            </w:r>
            <w:r>
              <w:rPr>
                <w:rFonts w:hint="default" w:ascii="Arial" w:hAnsi="Arial" w:eastAsia="宋体" w:cs="Arial"/>
                <w:i w:val="0"/>
                <w:iCs w:val="0"/>
                <w:color w:val="auto"/>
                <w:kern w:val="0"/>
                <w:sz w:val="24"/>
                <w:szCs w:val="24"/>
                <w:u w:val="none"/>
                <w:lang w:val="en-US" w:eastAsia="zh-CN" w:bidi="ar"/>
              </w:rPr>
              <w:br w:type="textWrapping"/>
            </w:r>
            <w:r>
              <w:rPr>
                <w:rFonts w:hint="default" w:ascii="Arial" w:hAnsi="Arial" w:eastAsia="宋体" w:cs="Arial"/>
                <w:i w:val="0"/>
                <w:iCs w:val="0"/>
                <w:color w:val="auto"/>
                <w:kern w:val="0"/>
                <w:sz w:val="24"/>
                <w:szCs w:val="24"/>
                <w:u w:val="none"/>
                <w:lang w:val="en-US" w:eastAsia="zh-CN" w:bidi="ar"/>
              </w:rPr>
              <w:t>处</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77FD2">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m2</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3D3E4">
            <w:pPr>
              <w:keepNext w:val="0"/>
              <w:keepLines w:val="0"/>
              <w:widowControl/>
              <w:suppressLineNumbers w:val="0"/>
              <w:jc w:val="center"/>
              <w:textAlignment w:val="center"/>
              <w:rPr>
                <w:rFonts w:hint="default" w:ascii="Arial" w:hAnsi="Arial" w:eastAsia="宋体" w:cs="Arial"/>
                <w:i w:val="0"/>
                <w:iCs w:val="0"/>
                <w:color w:val="auto"/>
                <w:sz w:val="24"/>
                <w:szCs w:val="24"/>
                <w:u w:val="none"/>
              </w:rPr>
            </w:pPr>
            <w:r>
              <w:rPr>
                <w:rFonts w:hint="default" w:ascii="Arial" w:hAnsi="Arial" w:eastAsia="宋体" w:cs="Arial"/>
                <w:i w:val="0"/>
                <w:iCs w:val="0"/>
                <w:color w:val="auto"/>
                <w:kern w:val="0"/>
                <w:sz w:val="24"/>
                <w:szCs w:val="24"/>
                <w:u w:val="none"/>
                <w:lang w:val="en-US" w:eastAsia="zh-CN" w:bidi="ar"/>
              </w:rPr>
              <w:t>4.8</w:t>
            </w: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54942">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1BF4D">
            <w:pPr>
              <w:keepNext w:val="0"/>
              <w:keepLines w:val="0"/>
              <w:widowControl/>
              <w:suppressLineNumbers w:val="0"/>
              <w:jc w:val="center"/>
              <w:textAlignment w:val="center"/>
              <w:rPr>
                <w:rFonts w:hint="default" w:ascii="Arial" w:hAnsi="Arial" w:eastAsia="宋体" w:cs="Arial"/>
                <w:i w:val="0"/>
                <w:iCs w:val="0"/>
                <w:color w:val="auto"/>
                <w:kern w:val="0"/>
                <w:sz w:val="24"/>
                <w:szCs w:val="24"/>
                <w:u w:val="none"/>
                <w:lang w:val="en-US" w:eastAsia="zh-CN" w:bidi="ar"/>
              </w:rPr>
            </w:pPr>
          </w:p>
        </w:tc>
      </w:tr>
    </w:tbl>
    <w:p w14:paraId="48EBE918">
      <w:pPr>
        <w:rPr>
          <w:color w:val="auto"/>
        </w:rPr>
      </w:pPr>
    </w:p>
    <w:p w14:paraId="60D490BC">
      <w:pPr>
        <w:rPr>
          <w:rFonts w:ascii="宋体" w:hAnsi="宋体"/>
          <w:color w:val="auto"/>
          <w:sz w:val="24"/>
        </w:rPr>
      </w:pPr>
      <w:r>
        <w:rPr>
          <w:rFonts w:ascii="宋体" w:hAnsi="宋体"/>
          <w:color w:val="auto"/>
          <w:sz w:val="24"/>
        </w:rPr>
        <w:br w:type="page"/>
      </w:r>
    </w:p>
    <w:p w14:paraId="2BC7C386">
      <w:pPr>
        <w:spacing w:line="360" w:lineRule="auto"/>
        <w:jc w:val="center"/>
        <w:rPr>
          <w:rFonts w:hint="eastAsia" w:ascii="宋体" w:hAnsi="宋体" w:eastAsia="宋体"/>
          <w:b/>
          <w:color w:val="auto"/>
          <w:sz w:val="24"/>
          <w:szCs w:val="24"/>
          <w:lang w:eastAsia="zh-CN"/>
        </w:rPr>
      </w:pPr>
      <w:bookmarkStart w:id="161" w:name="_Toc300901200"/>
      <w:bookmarkStart w:id="162" w:name="_Toc323642005"/>
      <w:bookmarkStart w:id="163" w:name="_Toc374107074"/>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14:paraId="5B6171F0">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14:paraId="58B7570A">
        <w:tblPrEx>
          <w:tblCellMar>
            <w:top w:w="0" w:type="dxa"/>
            <w:left w:w="108" w:type="dxa"/>
            <w:bottom w:w="0" w:type="dxa"/>
            <w:right w:w="108" w:type="dxa"/>
          </w:tblCellMar>
        </w:tblPrEx>
        <w:trPr>
          <w:trHeight w:val="600" w:hRule="atLeast"/>
          <w:jc w:val="center"/>
        </w:trPr>
        <w:tc>
          <w:tcPr>
            <w:tcW w:w="9505" w:type="dxa"/>
          </w:tcPr>
          <w:p w14:paraId="434E1D5B">
            <w:pPr>
              <w:rPr>
                <w:rFonts w:ascii="宋体" w:hAnsi="宋体"/>
                <w:color w:val="auto"/>
                <w:sz w:val="24"/>
              </w:rPr>
            </w:pPr>
            <w:r>
              <w:rPr>
                <w:rFonts w:hint="eastAsia" w:ascii="宋体" w:hAnsi="宋体"/>
                <w:color w:val="auto"/>
                <w:sz w:val="24"/>
              </w:rPr>
              <w:t>1.针对项目特点内容规范完整性和整体编制水平</w:t>
            </w:r>
          </w:p>
        </w:tc>
      </w:tr>
      <w:tr w14:paraId="36DFA86C">
        <w:tblPrEx>
          <w:tblCellMar>
            <w:top w:w="0" w:type="dxa"/>
            <w:left w:w="108" w:type="dxa"/>
            <w:bottom w:w="0" w:type="dxa"/>
            <w:right w:w="108" w:type="dxa"/>
          </w:tblCellMar>
        </w:tblPrEx>
        <w:trPr>
          <w:trHeight w:val="600" w:hRule="atLeast"/>
          <w:jc w:val="center"/>
        </w:trPr>
        <w:tc>
          <w:tcPr>
            <w:tcW w:w="9505" w:type="dxa"/>
          </w:tcPr>
          <w:p w14:paraId="74A507BB">
            <w:pPr>
              <w:rPr>
                <w:rFonts w:ascii="宋体" w:hAnsi="宋体"/>
                <w:color w:val="auto"/>
                <w:sz w:val="24"/>
              </w:rPr>
            </w:pPr>
            <w:r>
              <w:rPr>
                <w:rFonts w:hint="eastAsia" w:ascii="宋体" w:hAnsi="宋体"/>
                <w:color w:val="auto"/>
                <w:sz w:val="24"/>
              </w:rPr>
              <w:t>2.施工方案与技术措施</w:t>
            </w:r>
          </w:p>
        </w:tc>
      </w:tr>
      <w:tr w14:paraId="01D107B6">
        <w:tblPrEx>
          <w:tblCellMar>
            <w:top w:w="0" w:type="dxa"/>
            <w:left w:w="108" w:type="dxa"/>
            <w:bottom w:w="0" w:type="dxa"/>
            <w:right w:w="108" w:type="dxa"/>
          </w:tblCellMar>
        </w:tblPrEx>
        <w:trPr>
          <w:trHeight w:val="600" w:hRule="atLeast"/>
          <w:jc w:val="center"/>
        </w:trPr>
        <w:tc>
          <w:tcPr>
            <w:tcW w:w="9505" w:type="dxa"/>
          </w:tcPr>
          <w:p w14:paraId="4578255C">
            <w:pPr>
              <w:rPr>
                <w:rFonts w:ascii="宋体" w:hAnsi="宋体"/>
                <w:color w:val="auto"/>
                <w:sz w:val="24"/>
              </w:rPr>
            </w:pPr>
            <w:r>
              <w:rPr>
                <w:rFonts w:hint="eastAsia" w:ascii="宋体" w:hAnsi="宋体"/>
                <w:color w:val="auto"/>
                <w:sz w:val="24"/>
              </w:rPr>
              <w:t>3.质量管理体系与措施</w:t>
            </w:r>
          </w:p>
        </w:tc>
      </w:tr>
      <w:tr w14:paraId="16476704">
        <w:tblPrEx>
          <w:tblCellMar>
            <w:top w:w="0" w:type="dxa"/>
            <w:left w:w="108" w:type="dxa"/>
            <w:bottom w:w="0" w:type="dxa"/>
            <w:right w:w="108" w:type="dxa"/>
          </w:tblCellMar>
        </w:tblPrEx>
        <w:trPr>
          <w:trHeight w:val="600" w:hRule="atLeast"/>
          <w:jc w:val="center"/>
        </w:trPr>
        <w:tc>
          <w:tcPr>
            <w:tcW w:w="9505" w:type="dxa"/>
          </w:tcPr>
          <w:p w14:paraId="58BFA8A9">
            <w:pPr>
              <w:rPr>
                <w:rFonts w:ascii="宋体" w:hAnsi="宋体"/>
                <w:color w:val="auto"/>
                <w:sz w:val="24"/>
              </w:rPr>
            </w:pPr>
            <w:r>
              <w:rPr>
                <w:rFonts w:hint="eastAsia" w:ascii="宋体" w:hAnsi="宋体"/>
                <w:color w:val="auto"/>
                <w:sz w:val="24"/>
              </w:rPr>
              <w:t>4.安全管理体系与措施</w:t>
            </w:r>
          </w:p>
        </w:tc>
      </w:tr>
      <w:tr w14:paraId="470005A9">
        <w:tblPrEx>
          <w:tblCellMar>
            <w:top w:w="0" w:type="dxa"/>
            <w:left w:w="108" w:type="dxa"/>
            <w:bottom w:w="0" w:type="dxa"/>
            <w:right w:w="108" w:type="dxa"/>
          </w:tblCellMar>
        </w:tblPrEx>
        <w:trPr>
          <w:trHeight w:val="600" w:hRule="atLeast"/>
          <w:jc w:val="center"/>
        </w:trPr>
        <w:tc>
          <w:tcPr>
            <w:tcW w:w="9505" w:type="dxa"/>
          </w:tcPr>
          <w:p w14:paraId="36E9E7B5">
            <w:pPr>
              <w:rPr>
                <w:rFonts w:ascii="宋体" w:hAnsi="宋体"/>
                <w:color w:val="auto"/>
                <w:sz w:val="24"/>
              </w:rPr>
            </w:pPr>
            <w:r>
              <w:rPr>
                <w:rFonts w:hint="eastAsia" w:ascii="宋体" w:hAnsi="宋体"/>
                <w:color w:val="auto"/>
                <w:sz w:val="24"/>
              </w:rPr>
              <w:t>5.工程进度计划与措施</w:t>
            </w:r>
          </w:p>
        </w:tc>
      </w:tr>
      <w:tr w14:paraId="35123409">
        <w:tblPrEx>
          <w:tblCellMar>
            <w:top w:w="0" w:type="dxa"/>
            <w:left w:w="108" w:type="dxa"/>
            <w:bottom w:w="0" w:type="dxa"/>
            <w:right w:w="108" w:type="dxa"/>
          </w:tblCellMar>
        </w:tblPrEx>
        <w:trPr>
          <w:trHeight w:val="600" w:hRule="atLeast"/>
          <w:jc w:val="center"/>
        </w:trPr>
        <w:tc>
          <w:tcPr>
            <w:tcW w:w="9505" w:type="dxa"/>
          </w:tcPr>
          <w:p w14:paraId="2EEBB12F">
            <w:pPr>
              <w:rPr>
                <w:rFonts w:ascii="宋体" w:hAnsi="宋体"/>
                <w:color w:val="auto"/>
                <w:sz w:val="24"/>
              </w:rPr>
            </w:pPr>
            <w:r>
              <w:rPr>
                <w:rFonts w:hint="eastAsia" w:ascii="宋体" w:hAnsi="宋体"/>
                <w:color w:val="auto"/>
                <w:sz w:val="24"/>
              </w:rPr>
              <w:t>6.环保管理体系与措施</w:t>
            </w:r>
          </w:p>
        </w:tc>
      </w:tr>
      <w:tr w14:paraId="51C37F9C">
        <w:tblPrEx>
          <w:tblCellMar>
            <w:top w:w="0" w:type="dxa"/>
            <w:left w:w="108" w:type="dxa"/>
            <w:bottom w:w="0" w:type="dxa"/>
            <w:right w:w="108" w:type="dxa"/>
          </w:tblCellMar>
        </w:tblPrEx>
        <w:trPr>
          <w:trHeight w:val="600" w:hRule="atLeast"/>
          <w:jc w:val="center"/>
        </w:trPr>
        <w:tc>
          <w:tcPr>
            <w:tcW w:w="9505" w:type="dxa"/>
          </w:tcPr>
          <w:p w14:paraId="598C0D5B">
            <w:pPr>
              <w:rPr>
                <w:rFonts w:ascii="宋体" w:hAnsi="宋体"/>
                <w:color w:val="auto"/>
                <w:sz w:val="24"/>
              </w:rPr>
            </w:pPr>
            <w:r>
              <w:rPr>
                <w:rFonts w:hint="eastAsia" w:ascii="宋体" w:hAnsi="宋体"/>
                <w:color w:val="auto"/>
                <w:sz w:val="24"/>
              </w:rPr>
              <w:t>7.文明管理体系与措施</w:t>
            </w:r>
          </w:p>
        </w:tc>
      </w:tr>
      <w:tr w14:paraId="4A682B82">
        <w:tblPrEx>
          <w:tblCellMar>
            <w:top w:w="0" w:type="dxa"/>
            <w:left w:w="108" w:type="dxa"/>
            <w:bottom w:w="0" w:type="dxa"/>
            <w:right w:w="108" w:type="dxa"/>
          </w:tblCellMar>
        </w:tblPrEx>
        <w:trPr>
          <w:trHeight w:val="600" w:hRule="atLeast"/>
          <w:jc w:val="center"/>
        </w:trPr>
        <w:tc>
          <w:tcPr>
            <w:tcW w:w="9505" w:type="dxa"/>
          </w:tcPr>
          <w:p w14:paraId="77254917">
            <w:pPr>
              <w:rPr>
                <w:rFonts w:ascii="宋体" w:hAnsi="宋体"/>
                <w:color w:val="auto"/>
                <w:sz w:val="24"/>
              </w:rPr>
            </w:pPr>
            <w:r>
              <w:rPr>
                <w:rFonts w:hint="eastAsia" w:ascii="宋体" w:hAnsi="宋体"/>
                <w:color w:val="auto"/>
                <w:sz w:val="24"/>
              </w:rPr>
              <w:t>8.施工管理及措施</w:t>
            </w:r>
          </w:p>
        </w:tc>
      </w:tr>
      <w:tr w14:paraId="05938FFF">
        <w:tblPrEx>
          <w:tblCellMar>
            <w:top w:w="0" w:type="dxa"/>
            <w:left w:w="108" w:type="dxa"/>
            <w:bottom w:w="0" w:type="dxa"/>
            <w:right w:w="108" w:type="dxa"/>
          </w:tblCellMar>
        </w:tblPrEx>
        <w:trPr>
          <w:trHeight w:val="600" w:hRule="atLeast"/>
          <w:jc w:val="center"/>
        </w:trPr>
        <w:tc>
          <w:tcPr>
            <w:tcW w:w="9505" w:type="dxa"/>
          </w:tcPr>
          <w:p w14:paraId="64875CDD">
            <w:pPr>
              <w:rPr>
                <w:rFonts w:ascii="宋体" w:hAnsi="宋体"/>
                <w:color w:val="auto"/>
                <w:sz w:val="24"/>
              </w:rPr>
            </w:pPr>
            <w:r>
              <w:rPr>
                <w:rFonts w:hint="eastAsia" w:ascii="宋体" w:hAnsi="宋体"/>
                <w:color w:val="auto"/>
                <w:sz w:val="24"/>
              </w:rPr>
              <w:t>9.资源配备计划及措施</w:t>
            </w:r>
          </w:p>
        </w:tc>
      </w:tr>
      <w:tr w14:paraId="1A49DAAA">
        <w:tblPrEx>
          <w:tblCellMar>
            <w:top w:w="0" w:type="dxa"/>
            <w:left w:w="108" w:type="dxa"/>
            <w:bottom w:w="0" w:type="dxa"/>
            <w:right w:w="108" w:type="dxa"/>
          </w:tblCellMar>
        </w:tblPrEx>
        <w:trPr>
          <w:trHeight w:val="600" w:hRule="atLeast"/>
          <w:jc w:val="center"/>
        </w:trPr>
        <w:tc>
          <w:tcPr>
            <w:tcW w:w="9505" w:type="dxa"/>
          </w:tcPr>
          <w:p w14:paraId="66934E34">
            <w:pPr>
              <w:rPr>
                <w:rFonts w:ascii="宋体" w:hAnsi="宋体"/>
                <w:color w:val="auto"/>
                <w:sz w:val="24"/>
              </w:rPr>
            </w:pPr>
            <w:r>
              <w:rPr>
                <w:rFonts w:hint="eastAsia" w:ascii="宋体" w:hAnsi="宋体"/>
                <w:color w:val="auto"/>
                <w:sz w:val="24"/>
              </w:rPr>
              <w:t>10.施工关键部位、材料采购要点的控制及措施</w:t>
            </w:r>
          </w:p>
        </w:tc>
      </w:tr>
    </w:tbl>
    <w:p w14:paraId="03479950">
      <w:pPr>
        <w:spacing w:line="360" w:lineRule="auto"/>
        <w:rPr>
          <w:rFonts w:ascii="宋体" w:hAnsi="宋体"/>
          <w:color w:val="auto"/>
          <w:sz w:val="24"/>
        </w:rPr>
      </w:pPr>
    </w:p>
    <w:p w14:paraId="4EC38D2A">
      <w:pPr>
        <w:pStyle w:val="86"/>
        <w:tabs>
          <w:tab w:val="left" w:pos="9638"/>
        </w:tabs>
        <w:spacing w:line="360" w:lineRule="auto"/>
        <w:ind w:right="-82" w:firstLine="470" w:firstLineChars="196"/>
        <w:jc w:val="center"/>
        <w:rPr>
          <w:rFonts w:ascii="宋体" w:hAnsi="宋体"/>
          <w:b/>
          <w:color w:val="auto"/>
          <w:sz w:val="24"/>
          <w:szCs w:val="24"/>
        </w:rPr>
      </w:pPr>
      <w:r>
        <w:rPr>
          <w:rFonts w:hint="eastAsia" w:ascii="宋体" w:hAnsi="宋体"/>
          <w:color w:val="auto"/>
          <w:sz w:val="24"/>
        </w:rPr>
        <w:br w:type="page"/>
      </w:r>
      <w:r>
        <w:rPr>
          <w:rFonts w:hint="eastAsia" w:ascii="宋体" w:hAnsi="宋体"/>
          <w:b/>
          <w:color w:val="auto"/>
          <w:sz w:val="24"/>
          <w:szCs w:val="24"/>
        </w:rPr>
        <w:t>六、项目管理机构</w:t>
      </w:r>
    </w:p>
    <w:p w14:paraId="227E9096">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821"/>
        <w:gridCol w:w="2151"/>
      </w:tblGrid>
      <w:tr w14:paraId="4A35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Merge w:val="restart"/>
            <w:vAlign w:val="center"/>
          </w:tcPr>
          <w:p w14:paraId="3A2C2ABB">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序号</w:t>
            </w:r>
          </w:p>
        </w:tc>
        <w:tc>
          <w:tcPr>
            <w:tcW w:w="1251" w:type="pct"/>
            <w:vMerge w:val="restart"/>
            <w:vAlign w:val="center"/>
          </w:tcPr>
          <w:p w14:paraId="35EB4285">
            <w:pPr>
              <w:spacing w:line="360" w:lineRule="auto"/>
              <w:jc w:val="center"/>
              <w:rPr>
                <w:rFonts w:ascii="宋体" w:hAnsi="宋体"/>
                <w:color w:val="auto"/>
                <w:sz w:val="24"/>
              </w:rPr>
            </w:pPr>
            <w:r>
              <w:rPr>
                <w:rFonts w:hint="eastAsia" w:ascii="宋体" w:hAnsi="宋体"/>
                <w:color w:val="auto"/>
                <w:sz w:val="24"/>
              </w:rPr>
              <w:t>姓名</w:t>
            </w:r>
          </w:p>
        </w:tc>
        <w:tc>
          <w:tcPr>
            <w:tcW w:w="1416" w:type="pct"/>
            <w:vMerge w:val="restart"/>
            <w:vAlign w:val="center"/>
          </w:tcPr>
          <w:p w14:paraId="5BE7299C">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拟在本项目担任的职务</w:t>
            </w:r>
          </w:p>
        </w:tc>
        <w:tc>
          <w:tcPr>
            <w:tcW w:w="1080" w:type="pct"/>
            <w:vMerge w:val="restart"/>
            <w:vAlign w:val="center"/>
          </w:tcPr>
          <w:p w14:paraId="44DB4425">
            <w:pPr>
              <w:spacing w:line="360" w:lineRule="auto"/>
              <w:jc w:val="center"/>
              <w:rPr>
                <w:rFonts w:ascii="宋体" w:hAnsi="宋体"/>
                <w:color w:val="auto"/>
                <w:sz w:val="24"/>
              </w:rPr>
            </w:pPr>
            <w:r>
              <w:rPr>
                <w:rFonts w:hint="eastAsia" w:ascii="宋体" w:hAnsi="宋体"/>
                <w:color w:val="auto"/>
                <w:sz w:val="24"/>
              </w:rPr>
              <w:t>备注</w:t>
            </w:r>
          </w:p>
        </w:tc>
      </w:tr>
      <w:tr w14:paraId="1C0C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Merge w:val="continue"/>
            <w:vAlign w:val="center"/>
          </w:tcPr>
          <w:p w14:paraId="7198DCE6">
            <w:pPr>
              <w:spacing w:line="360" w:lineRule="auto"/>
              <w:jc w:val="center"/>
              <w:rPr>
                <w:rFonts w:ascii="宋体" w:hAnsi="宋体"/>
                <w:color w:val="auto"/>
                <w:sz w:val="24"/>
              </w:rPr>
            </w:pPr>
          </w:p>
        </w:tc>
        <w:tc>
          <w:tcPr>
            <w:tcW w:w="1251" w:type="pct"/>
            <w:vMerge w:val="continue"/>
            <w:vAlign w:val="center"/>
          </w:tcPr>
          <w:p w14:paraId="417FE132">
            <w:pPr>
              <w:spacing w:line="360" w:lineRule="auto"/>
              <w:jc w:val="center"/>
              <w:rPr>
                <w:rFonts w:ascii="宋体" w:hAnsi="宋体"/>
                <w:color w:val="auto"/>
                <w:sz w:val="24"/>
              </w:rPr>
            </w:pPr>
          </w:p>
        </w:tc>
        <w:tc>
          <w:tcPr>
            <w:tcW w:w="1416" w:type="pct"/>
            <w:vMerge w:val="continue"/>
            <w:vAlign w:val="center"/>
          </w:tcPr>
          <w:p w14:paraId="6BA38AD2">
            <w:pPr>
              <w:spacing w:line="360" w:lineRule="auto"/>
              <w:jc w:val="center"/>
              <w:rPr>
                <w:rFonts w:ascii="宋体" w:hAnsi="宋体"/>
                <w:color w:val="auto"/>
                <w:sz w:val="24"/>
              </w:rPr>
            </w:pPr>
          </w:p>
        </w:tc>
        <w:tc>
          <w:tcPr>
            <w:tcW w:w="1080" w:type="pct"/>
            <w:vMerge w:val="continue"/>
            <w:vAlign w:val="center"/>
          </w:tcPr>
          <w:p w14:paraId="3D550076">
            <w:pPr>
              <w:spacing w:line="360" w:lineRule="auto"/>
              <w:jc w:val="center"/>
              <w:rPr>
                <w:rFonts w:ascii="宋体" w:hAnsi="宋体"/>
                <w:color w:val="auto"/>
                <w:sz w:val="24"/>
              </w:rPr>
            </w:pPr>
          </w:p>
        </w:tc>
      </w:tr>
      <w:tr w14:paraId="2CE6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2AF5650E">
            <w:pPr>
              <w:spacing w:line="360" w:lineRule="auto"/>
              <w:jc w:val="center"/>
              <w:rPr>
                <w:rFonts w:ascii="宋体" w:hAnsi="宋体"/>
                <w:color w:val="auto"/>
                <w:sz w:val="24"/>
              </w:rPr>
            </w:pPr>
          </w:p>
        </w:tc>
        <w:tc>
          <w:tcPr>
            <w:tcW w:w="1251" w:type="pct"/>
            <w:vAlign w:val="center"/>
          </w:tcPr>
          <w:p w14:paraId="62D92C89">
            <w:pPr>
              <w:spacing w:line="360" w:lineRule="auto"/>
              <w:jc w:val="center"/>
              <w:rPr>
                <w:rFonts w:ascii="宋体" w:hAnsi="宋体"/>
                <w:color w:val="auto"/>
                <w:sz w:val="24"/>
              </w:rPr>
            </w:pPr>
          </w:p>
        </w:tc>
        <w:tc>
          <w:tcPr>
            <w:tcW w:w="1416" w:type="pct"/>
            <w:vAlign w:val="center"/>
          </w:tcPr>
          <w:p w14:paraId="435B2AC5">
            <w:pPr>
              <w:spacing w:line="360" w:lineRule="auto"/>
              <w:jc w:val="center"/>
              <w:rPr>
                <w:rFonts w:ascii="宋体" w:hAnsi="宋体"/>
                <w:color w:val="auto"/>
                <w:sz w:val="24"/>
              </w:rPr>
            </w:pPr>
          </w:p>
        </w:tc>
        <w:tc>
          <w:tcPr>
            <w:tcW w:w="1080" w:type="pct"/>
            <w:vAlign w:val="center"/>
          </w:tcPr>
          <w:p w14:paraId="6EA392CD">
            <w:pPr>
              <w:spacing w:line="360" w:lineRule="auto"/>
              <w:jc w:val="center"/>
              <w:rPr>
                <w:rFonts w:ascii="宋体" w:hAnsi="宋体"/>
                <w:color w:val="auto"/>
                <w:sz w:val="24"/>
              </w:rPr>
            </w:pPr>
          </w:p>
        </w:tc>
      </w:tr>
      <w:tr w14:paraId="72FB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5BF6E992">
            <w:pPr>
              <w:spacing w:line="360" w:lineRule="auto"/>
              <w:jc w:val="center"/>
              <w:rPr>
                <w:rFonts w:ascii="宋体" w:hAnsi="宋体"/>
                <w:color w:val="auto"/>
                <w:sz w:val="24"/>
              </w:rPr>
            </w:pPr>
          </w:p>
        </w:tc>
        <w:tc>
          <w:tcPr>
            <w:tcW w:w="1251" w:type="pct"/>
            <w:vAlign w:val="center"/>
          </w:tcPr>
          <w:p w14:paraId="7D1F70BC">
            <w:pPr>
              <w:spacing w:line="360" w:lineRule="auto"/>
              <w:jc w:val="center"/>
              <w:rPr>
                <w:rFonts w:ascii="宋体" w:hAnsi="宋体"/>
                <w:color w:val="auto"/>
                <w:sz w:val="24"/>
              </w:rPr>
            </w:pPr>
          </w:p>
        </w:tc>
        <w:tc>
          <w:tcPr>
            <w:tcW w:w="1416" w:type="pct"/>
            <w:vAlign w:val="center"/>
          </w:tcPr>
          <w:p w14:paraId="116E6535">
            <w:pPr>
              <w:spacing w:line="360" w:lineRule="auto"/>
              <w:jc w:val="center"/>
              <w:rPr>
                <w:rFonts w:ascii="宋体" w:hAnsi="宋体"/>
                <w:color w:val="auto"/>
                <w:sz w:val="24"/>
              </w:rPr>
            </w:pPr>
          </w:p>
        </w:tc>
        <w:tc>
          <w:tcPr>
            <w:tcW w:w="1080" w:type="pct"/>
            <w:vAlign w:val="center"/>
          </w:tcPr>
          <w:p w14:paraId="13890000">
            <w:pPr>
              <w:spacing w:line="360" w:lineRule="auto"/>
              <w:jc w:val="center"/>
              <w:rPr>
                <w:rFonts w:ascii="宋体" w:hAnsi="宋体"/>
                <w:color w:val="auto"/>
                <w:sz w:val="24"/>
              </w:rPr>
            </w:pPr>
          </w:p>
        </w:tc>
      </w:tr>
      <w:tr w14:paraId="7383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33D30EB">
            <w:pPr>
              <w:spacing w:line="360" w:lineRule="auto"/>
              <w:jc w:val="center"/>
              <w:rPr>
                <w:rFonts w:ascii="宋体" w:hAnsi="宋体"/>
                <w:color w:val="auto"/>
                <w:sz w:val="24"/>
              </w:rPr>
            </w:pPr>
          </w:p>
        </w:tc>
        <w:tc>
          <w:tcPr>
            <w:tcW w:w="1251" w:type="pct"/>
            <w:vAlign w:val="center"/>
          </w:tcPr>
          <w:p w14:paraId="65EF1A2F">
            <w:pPr>
              <w:spacing w:line="360" w:lineRule="auto"/>
              <w:jc w:val="center"/>
              <w:rPr>
                <w:rFonts w:ascii="宋体" w:hAnsi="宋体"/>
                <w:color w:val="auto"/>
                <w:sz w:val="24"/>
              </w:rPr>
            </w:pPr>
          </w:p>
        </w:tc>
        <w:tc>
          <w:tcPr>
            <w:tcW w:w="1416" w:type="pct"/>
            <w:vAlign w:val="center"/>
          </w:tcPr>
          <w:p w14:paraId="2B2C6A7F">
            <w:pPr>
              <w:spacing w:line="360" w:lineRule="auto"/>
              <w:jc w:val="center"/>
              <w:rPr>
                <w:rFonts w:ascii="宋体" w:hAnsi="宋体"/>
                <w:color w:val="auto"/>
                <w:sz w:val="24"/>
              </w:rPr>
            </w:pPr>
          </w:p>
        </w:tc>
        <w:tc>
          <w:tcPr>
            <w:tcW w:w="1080" w:type="pct"/>
            <w:vAlign w:val="center"/>
          </w:tcPr>
          <w:p w14:paraId="227A9061">
            <w:pPr>
              <w:spacing w:line="360" w:lineRule="auto"/>
              <w:jc w:val="center"/>
              <w:rPr>
                <w:rFonts w:ascii="宋体" w:hAnsi="宋体"/>
                <w:color w:val="auto"/>
                <w:sz w:val="24"/>
              </w:rPr>
            </w:pPr>
          </w:p>
        </w:tc>
      </w:tr>
      <w:tr w14:paraId="537D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6B57B7E">
            <w:pPr>
              <w:spacing w:line="360" w:lineRule="auto"/>
              <w:jc w:val="center"/>
              <w:rPr>
                <w:rFonts w:ascii="宋体" w:hAnsi="宋体"/>
                <w:color w:val="auto"/>
                <w:sz w:val="24"/>
              </w:rPr>
            </w:pPr>
          </w:p>
        </w:tc>
        <w:tc>
          <w:tcPr>
            <w:tcW w:w="1251" w:type="pct"/>
            <w:vAlign w:val="center"/>
          </w:tcPr>
          <w:p w14:paraId="5BD3A779">
            <w:pPr>
              <w:spacing w:line="360" w:lineRule="auto"/>
              <w:jc w:val="center"/>
              <w:rPr>
                <w:rFonts w:ascii="宋体" w:hAnsi="宋体"/>
                <w:color w:val="auto"/>
                <w:sz w:val="24"/>
              </w:rPr>
            </w:pPr>
          </w:p>
        </w:tc>
        <w:tc>
          <w:tcPr>
            <w:tcW w:w="1416" w:type="pct"/>
            <w:vAlign w:val="center"/>
          </w:tcPr>
          <w:p w14:paraId="6FA9AF72">
            <w:pPr>
              <w:spacing w:line="360" w:lineRule="auto"/>
              <w:jc w:val="center"/>
              <w:rPr>
                <w:rFonts w:ascii="宋体" w:hAnsi="宋体"/>
                <w:color w:val="auto"/>
                <w:sz w:val="24"/>
              </w:rPr>
            </w:pPr>
          </w:p>
        </w:tc>
        <w:tc>
          <w:tcPr>
            <w:tcW w:w="1080" w:type="pct"/>
            <w:vAlign w:val="center"/>
          </w:tcPr>
          <w:p w14:paraId="65D14B31">
            <w:pPr>
              <w:spacing w:line="360" w:lineRule="auto"/>
              <w:jc w:val="center"/>
              <w:rPr>
                <w:rFonts w:ascii="宋体" w:hAnsi="宋体"/>
                <w:color w:val="auto"/>
                <w:sz w:val="24"/>
              </w:rPr>
            </w:pPr>
          </w:p>
        </w:tc>
      </w:tr>
      <w:tr w14:paraId="564D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0809040D">
            <w:pPr>
              <w:spacing w:line="360" w:lineRule="auto"/>
              <w:jc w:val="center"/>
              <w:rPr>
                <w:rFonts w:ascii="宋体" w:hAnsi="宋体"/>
                <w:color w:val="auto"/>
                <w:sz w:val="24"/>
              </w:rPr>
            </w:pPr>
          </w:p>
        </w:tc>
        <w:tc>
          <w:tcPr>
            <w:tcW w:w="1251" w:type="pct"/>
            <w:vAlign w:val="center"/>
          </w:tcPr>
          <w:p w14:paraId="59792653">
            <w:pPr>
              <w:spacing w:line="360" w:lineRule="auto"/>
              <w:jc w:val="center"/>
              <w:rPr>
                <w:rFonts w:ascii="宋体" w:hAnsi="宋体"/>
                <w:color w:val="auto"/>
                <w:sz w:val="24"/>
              </w:rPr>
            </w:pPr>
          </w:p>
        </w:tc>
        <w:tc>
          <w:tcPr>
            <w:tcW w:w="1416" w:type="pct"/>
            <w:vAlign w:val="center"/>
          </w:tcPr>
          <w:p w14:paraId="1C5E4E2A">
            <w:pPr>
              <w:spacing w:line="360" w:lineRule="auto"/>
              <w:jc w:val="center"/>
              <w:rPr>
                <w:rFonts w:ascii="宋体" w:hAnsi="宋体"/>
                <w:color w:val="auto"/>
                <w:sz w:val="24"/>
              </w:rPr>
            </w:pPr>
          </w:p>
        </w:tc>
        <w:tc>
          <w:tcPr>
            <w:tcW w:w="1080" w:type="pct"/>
            <w:vAlign w:val="center"/>
          </w:tcPr>
          <w:p w14:paraId="1CD9EF84">
            <w:pPr>
              <w:spacing w:line="360" w:lineRule="auto"/>
              <w:jc w:val="center"/>
              <w:rPr>
                <w:rFonts w:ascii="宋体" w:hAnsi="宋体"/>
                <w:color w:val="auto"/>
                <w:sz w:val="24"/>
              </w:rPr>
            </w:pPr>
          </w:p>
        </w:tc>
      </w:tr>
      <w:tr w14:paraId="6FF5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4AB2CC20">
            <w:pPr>
              <w:spacing w:line="360" w:lineRule="auto"/>
              <w:jc w:val="center"/>
              <w:rPr>
                <w:rFonts w:ascii="宋体" w:hAnsi="宋体"/>
                <w:color w:val="auto"/>
                <w:sz w:val="24"/>
              </w:rPr>
            </w:pPr>
          </w:p>
        </w:tc>
        <w:tc>
          <w:tcPr>
            <w:tcW w:w="1251" w:type="pct"/>
            <w:vAlign w:val="center"/>
          </w:tcPr>
          <w:p w14:paraId="05A44039">
            <w:pPr>
              <w:spacing w:line="360" w:lineRule="auto"/>
              <w:jc w:val="center"/>
              <w:rPr>
                <w:rFonts w:ascii="宋体" w:hAnsi="宋体"/>
                <w:color w:val="auto"/>
                <w:sz w:val="24"/>
              </w:rPr>
            </w:pPr>
          </w:p>
        </w:tc>
        <w:tc>
          <w:tcPr>
            <w:tcW w:w="1416" w:type="pct"/>
            <w:vAlign w:val="center"/>
          </w:tcPr>
          <w:p w14:paraId="2A78F551">
            <w:pPr>
              <w:spacing w:line="360" w:lineRule="auto"/>
              <w:jc w:val="center"/>
              <w:rPr>
                <w:rFonts w:ascii="宋体" w:hAnsi="宋体"/>
                <w:color w:val="auto"/>
                <w:sz w:val="24"/>
              </w:rPr>
            </w:pPr>
          </w:p>
        </w:tc>
        <w:tc>
          <w:tcPr>
            <w:tcW w:w="1080" w:type="pct"/>
            <w:vAlign w:val="center"/>
          </w:tcPr>
          <w:p w14:paraId="69011840">
            <w:pPr>
              <w:spacing w:line="360" w:lineRule="auto"/>
              <w:jc w:val="center"/>
              <w:rPr>
                <w:rFonts w:ascii="宋体" w:hAnsi="宋体"/>
                <w:color w:val="auto"/>
                <w:sz w:val="24"/>
              </w:rPr>
            </w:pPr>
          </w:p>
        </w:tc>
      </w:tr>
      <w:tr w14:paraId="4DAF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2CB2BB17">
            <w:pPr>
              <w:spacing w:line="360" w:lineRule="auto"/>
              <w:jc w:val="center"/>
              <w:rPr>
                <w:rFonts w:ascii="宋体" w:hAnsi="宋体"/>
                <w:color w:val="auto"/>
                <w:sz w:val="24"/>
              </w:rPr>
            </w:pPr>
          </w:p>
        </w:tc>
        <w:tc>
          <w:tcPr>
            <w:tcW w:w="1251" w:type="pct"/>
            <w:vAlign w:val="center"/>
          </w:tcPr>
          <w:p w14:paraId="2F9BE8C5">
            <w:pPr>
              <w:spacing w:line="360" w:lineRule="auto"/>
              <w:jc w:val="center"/>
              <w:rPr>
                <w:rFonts w:ascii="宋体" w:hAnsi="宋体"/>
                <w:color w:val="auto"/>
                <w:sz w:val="24"/>
              </w:rPr>
            </w:pPr>
          </w:p>
        </w:tc>
        <w:tc>
          <w:tcPr>
            <w:tcW w:w="1416" w:type="pct"/>
            <w:vAlign w:val="center"/>
          </w:tcPr>
          <w:p w14:paraId="5C7843E5">
            <w:pPr>
              <w:spacing w:line="360" w:lineRule="auto"/>
              <w:jc w:val="center"/>
              <w:rPr>
                <w:rFonts w:ascii="宋体" w:hAnsi="宋体"/>
                <w:color w:val="auto"/>
                <w:sz w:val="24"/>
              </w:rPr>
            </w:pPr>
          </w:p>
        </w:tc>
        <w:tc>
          <w:tcPr>
            <w:tcW w:w="1080" w:type="pct"/>
            <w:vAlign w:val="center"/>
          </w:tcPr>
          <w:p w14:paraId="265D253D">
            <w:pPr>
              <w:spacing w:line="360" w:lineRule="auto"/>
              <w:jc w:val="center"/>
              <w:rPr>
                <w:rFonts w:ascii="宋体" w:hAnsi="宋体"/>
                <w:color w:val="auto"/>
                <w:sz w:val="24"/>
              </w:rPr>
            </w:pPr>
          </w:p>
        </w:tc>
      </w:tr>
      <w:tr w14:paraId="318F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5E9408AE">
            <w:pPr>
              <w:spacing w:line="360" w:lineRule="auto"/>
              <w:jc w:val="center"/>
              <w:rPr>
                <w:rFonts w:ascii="宋体" w:hAnsi="宋体"/>
                <w:color w:val="auto"/>
                <w:sz w:val="24"/>
              </w:rPr>
            </w:pPr>
          </w:p>
        </w:tc>
        <w:tc>
          <w:tcPr>
            <w:tcW w:w="1251" w:type="pct"/>
            <w:vAlign w:val="center"/>
          </w:tcPr>
          <w:p w14:paraId="097E565D">
            <w:pPr>
              <w:spacing w:line="360" w:lineRule="auto"/>
              <w:jc w:val="center"/>
              <w:rPr>
                <w:rFonts w:ascii="宋体" w:hAnsi="宋体"/>
                <w:color w:val="auto"/>
                <w:sz w:val="24"/>
              </w:rPr>
            </w:pPr>
          </w:p>
        </w:tc>
        <w:tc>
          <w:tcPr>
            <w:tcW w:w="1416" w:type="pct"/>
            <w:vAlign w:val="center"/>
          </w:tcPr>
          <w:p w14:paraId="38F9EE50">
            <w:pPr>
              <w:spacing w:line="360" w:lineRule="auto"/>
              <w:jc w:val="center"/>
              <w:rPr>
                <w:rFonts w:ascii="宋体" w:hAnsi="宋体"/>
                <w:color w:val="auto"/>
                <w:sz w:val="24"/>
              </w:rPr>
            </w:pPr>
          </w:p>
        </w:tc>
        <w:tc>
          <w:tcPr>
            <w:tcW w:w="1080" w:type="pct"/>
            <w:vAlign w:val="center"/>
          </w:tcPr>
          <w:p w14:paraId="1AF76954">
            <w:pPr>
              <w:spacing w:line="360" w:lineRule="auto"/>
              <w:jc w:val="center"/>
              <w:rPr>
                <w:rFonts w:ascii="宋体" w:hAnsi="宋体"/>
                <w:color w:val="auto"/>
                <w:sz w:val="24"/>
              </w:rPr>
            </w:pPr>
          </w:p>
        </w:tc>
      </w:tr>
      <w:tr w14:paraId="45F7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46F7FEFD">
            <w:pPr>
              <w:spacing w:line="360" w:lineRule="auto"/>
              <w:jc w:val="center"/>
              <w:rPr>
                <w:rFonts w:ascii="宋体" w:hAnsi="宋体"/>
                <w:color w:val="auto"/>
                <w:sz w:val="24"/>
              </w:rPr>
            </w:pPr>
          </w:p>
        </w:tc>
        <w:tc>
          <w:tcPr>
            <w:tcW w:w="1251" w:type="pct"/>
            <w:vAlign w:val="center"/>
          </w:tcPr>
          <w:p w14:paraId="44DF88C0">
            <w:pPr>
              <w:spacing w:line="360" w:lineRule="auto"/>
              <w:jc w:val="center"/>
              <w:rPr>
                <w:rFonts w:ascii="宋体" w:hAnsi="宋体"/>
                <w:color w:val="auto"/>
                <w:sz w:val="24"/>
              </w:rPr>
            </w:pPr>
          </w:p>
        </w:tc>
        <w:tc>
          <w:tcPr>
            <w:tcW w:w="1416" w:type="pct"/>
            <w:vAlign w:val="center"/>
          </w:tcPr>
          <w:p w14:paraId="16543D80">
            <w:pPr>
              <w:spacing w:line="360" w:lineRule="auto"/>
              <w:jc w:val="center"/>
              <w:rPr>
                <w:rFonts w:ascii="宋体" w:hAnsi="宋体"/>
                <w:color w:val="auto"/>
                <w:sz w:val="24"/>
              </w:rPr>
            </w:pPr>
          </w:p>
        </w:tc>
        <w:tc>
          <w:tcPr>
            <w:tcW w:w="1080" w:type="pct"/>
            <w:vAlign w:val="center"/>
          </w:tcPr>
          <w:p w14:paraId="629E3874">
            <w:pPr>
              <w:spacing w:line="360" w:lineRule="auto"/>
              <w:jc w:val="center"/>
              <w:rPr>
                <w:rFonts w:ascii="宋体" w:hAnsi="宋体"/>
                <w:color w:val="auto"/>
                <w:sz w:val="24"/>
              </w:rPr>
            </w:pPr>
          </w:p>
        </w:tc>
      </w:tr>
      <w:tr w14:paraId="2F6B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50C2D436">
            <w:pPr>
              <w:spacing w:line="360" w:lineRule="auto"/>
              <w:jc w:val="center"/>
              <w:rPr>
                <w:rFonts w:ascii="宋体" w:hAnsi="宋体"/>
                <w:color w:val="auto"/>
                <w:sz w:val="24"/>
              </w:rPr>
            </w:pPr>
          </w:p>
        </w:tc>
        <w:tc>
          <w:tcPr>
            <w:tcW w:w="1251" w:type="pct"/>
            <w:vAlign w:val="center"/>
          </w:tcPr>
          <w:p w14:paraId="4BBE7EE5">
            <w:pPr>
              <w:spacing w:line="360" w:lineRule="auto"/>
              <w:jc w:val="center"/>
              <w:rPr>
                <w:rFonts w:ascii="宋体" w:hAnsi="宋体"/>
                <w:color w:val="auto"/>
                <w:sz w:val="24"/>
              </w:rPr>
            </w:pPr>
          </w:p>
        </w:tc>
        <w:tc>
          <w:tcPr>
            <w:tcW w:w="1416" w:type="pct"/>
            <w:vAlign w:val="center"/>
          </w:tcPr>
          <w:p w14:paraId="083E238E">
            <w:pPr>
              <w:spacing w:line="360" w:lineRule="auto"/>
              <w:jc w:val="center"/>
              <w:rPr>
                <w:rFonts w:ascii="宋体" w:hAnsi="宋体"/>
                <w:color w:val="auto"/>
                <w:sz w:val="24"/>
              </w:rPr>
            </w:pPr>
          </w:p>
        </w:tc>
        <w:tc>
          <w:tcPr>
            <w:tcW w:w="1080" w:type="pct"/>
            <w:vAlign w:val="center"/>
          </w:tcPr>
          <w:p w14:paraId="4EF76ED9">
            <w:pPr>
              <w:spacing w:line="360" w:lineRule="auto"/>
              <w:jc w:val="center"/>
              <w:rPr>
                <w:rFonts w:ascii="宋体" w:hAnsi="宋体"/>
                <w:color w:val="auto"/>
                <w:sz w:val="24"/>
              </w:rPr>
            </w:pPr>
          </w:p>
        </w:tc>
      </w:tr>
      <w:tr w14:paraId="40B6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376D7E5B">
            <w:pPr>
              <w:spacing w:line="360" w:lineRule="auto"/>
              <w:jc w:val="center"/>
              <w:rPr>
                <w:rFonts w:ascii="宋体" w:hAnsi="宋体"/>
                <w:color w:val="auto"/>
                <w:sz w:val="24"/>
              </w:rPr>
            </w:pPr>
          </w:p>
        </w:tc>
        <w:tc>
          <w:tcPr>
            <w:tcW w:w="1251" w:type="pct"/>
            <w:vAlign w:val="center"/>
          </w:tcPr>
          <w:p w14:paraId="25B3BA5D">
            <w:pPr>
              <w:spacing w:line="360" w:lineRule="auto"/>
              <w:jc w:val="center"/>
              <w:rPr>
                <w:rFonts w:ascii="宋体" w:hAnsi="宋体"/>
                <w:color w:val="auto"/>
                <w:sz w:val="24"/>
              </w:rPr>
            </w:pPr>
          </w:p>
        </w:tc>
        <w:tc>
          <w:tcPr>
            <w:tcW w:w="1416" w:type="pct"/>
            <w:vAlign w:val="center"/>
          </w:tcPr>
          <w:p w14:paraId="5DF70354">
            <w:pPr>
              <w:spacing w:line="360" w:lineRule="auto"/>
              <w:jc w:val="center"/>
              <w:rPr>
                <w:rFonts w:ascii="宋体" w:hAnsi="宋体"/>
                <w:color w:val="auto"/>
                <w:sz w:val="24"/>
              </w:rPr>
            </w:pPr>
          </w:p>
        </w:tc>
        <w:tc>
          <w:tcPr>
            <w:tcW w:w="1080" w:type="pct"/>
            <w:vAlign w:val="center"/>
          </w:tcPr>
          <w:p w14:paraId="4BFB2433">
            <w:pPr>
              <w:spacing w:line="360" w:lineRule="auto"/>
              <w:jc w:val="center"/>
              <w:rPr>
                <w:rFonts w:ascii="宋体" w:hAnsi="宋体"/>
                <w:color w:val="auto"/>
                <w:sz w:val="24"/>
              </w:rPr>
            </w:pPr>
          </w:p>
        </w:tc>
      </w:tr>
      <w:tr w14:paraId="1A4E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61A5FF51">
            <w:pPr>
              <w:spacing w:line="360" w:lineRule="auto"/>
              <w:jc w:val="center"/>
              <w:rPr>
                <w:rFonts w:ascii="宋体" w:hAnsi="宋体"/>
                <w:color w:val="auto"/>
                <w:sz w:val="24"/>
              </w:rPr>
            </w:pPr>
          </w:p>
        </w:tc>
        <w:tc>
          <w:tcPr>
            <w:tcW w:w="1251" w:type="pct"/>
            <w:vAlign w:val="center"/>
          </w:tcPr>
          <w:p w14:paraId="14BF34A9">
            <w:pPr>
              <w:spacing w:line="360" w:lineRule="auto"/>
              <w:jc w:val="center"/>
              <w:rPr>
                <w:rFonts w:ascii="宋体" w:hAnsi="宋体"/>
                <w:color w:val="auto"/>
                <w:sz w:val="24"/>
              </w:rPr>
            </w:pPr>
          </w:p>
        </w:tc>
        <w:tc>
          <w:tcPr>
            <w:tcW w:w="1416" w:type="pct"/>
            <w:vAlign w:val="center"/>
          </w:tcPr>
          <w:p w14:paraId="364DA1EC">
            <w:pPr>
              <w:spacing w:line="360" w:lineRule="auto"/>
              <w:jc w:val="center"/>
              <w:rPr>
                <w:rFonts w:ascii="宋体" w:hAnsi="宋体"/>
                <w:color w:val="auto"/>
                <w:sz w:val="24"/>
              </w:rPr>
            </w:pPr>
          </w:p>
        </w:tc>
        <w:tc>
          <w:tcPr>
            <w:tcW w:w="1080" w:type="pct"/>
            <w:vAlign w:val="center"/>
          </w:tcPr>
          <w:p w14:paraId="0F88212D">
            <w:pPr>
              <w:spacing w:line="360" w:lineRule="auto"/>
              <w:jc w:val="center"/>
              <w:rPr>
                <w:rFonts w:ascii="宋体" w:hAnsi="宋体"/>
                <w:color w:val="auto"/>
                <w:sz w:val="24"/>
              </w:rPr>
            </w:pPr>
          </w:p>
        </w:tc>
      </w:tr>
      <w:tr w14:paraId="049E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34DE233">
            <w:pPr>
              <w:spacing w:line="360" w:lineRule="auto"/>
              <w:jc w:val="center"/>
              <w:rPr>
                <w:rFonts w:ascii="宋体" w:hAnsi="宋体"/>
                <w:color w:val="auto"/>
                <w:sz w:val="24"/>
              </w:rPr>
            </w:pPr>
          </w:p>
        </w:tc>
        <w:tc>
          <w:tcPr>
            <w:tcW w:w="1251" w:type="pct"/>
            <w:vAlign w:val="center"/>
          </w:tcPr>
          <w:p w14:paraId="0EDBE750">
            <w:pPr>
              <w:spacing w:line="360" w:lineRule="auto"/>
              <w:jc w:val="center"/>
              <w:rPr>
                <w:rFonts w:ascii="宋体" w:hAnsi="宋体"/>
                <w:color w:val="auto"/>
                <w:sz w:val="24"/>
              </w:rPr>
            </w:pPr>
          </w:p>
        </w:tc>
        <w:tc>
          <w:tcPr>
            <w:tcW w:w="1416" w:type="pct"/>
            <w:vAlign w:val="center"/>
          </w:tcPr>
          <w:p w14:paraId="7CD8517E">
            <w:pPr>
              <w:spacing w:line="360" w:lineRule="auto"/>
              <w:jc w:val="center"/>
              <w:rPr>
                <w:rFonts w:ascii="宋体" w:hAnsi="宋体"/>
                <w:color w:val="auto"/>
                <w:sz w:val="24"/>
              </w:rPr>
            </w:pPr>
          </w:p>
        </w:tc>
        <w:tc>
          <w:tcPr>
            <w:tcW w:w="1080" w:type="pct"/>
            <w:vAlign w:val="center"/>
          </w:tcPr>
          <w:p w14:paraId="0131F746">
            <w:pPr>
              <w:spacing w:line="360" w:lineRule="auto"/>
              <w:jc w:val="center"/>
              <w:rPr>
                <w:rFonts w:ascii="宋体" w:hAnsi="宋体"/>
                <w:color w:val="auto"/>
                <w:sz w:val="24"/>
              </w:rPr>
            </w:pPr>
          </w:p>
        </w:tc>
      </w:tr>
    </w:tbl>
    <w:p w14:paraId="1E2DB7E6">
      <w:pPr>
        <w:spacing w:line="360" w:lineRule="auto"/>
        <w:rPr>
          <w:rFonts w:hint="eastAsia" w:ascii="宋体" w:hAnsi="宋体" w:eastAsia="宋体"/>
          <w:color w:val="auto"/>
          <w:sz w:val="24"/>
          <w:lang w:val="en-US" w:eastAsia="zh-CN"/>
        </w:rPr>
      </w:pPr>
      <w:r>
        <w:rPr>
          <w:rFonts w:hint="eastAsia" w:ascii="宋体" w:hAnsi="宋体"/>
          <w:color w:val="auto"/>
          <w:sz w:val="24"/>
          <w:lang w:eastAsia="zh-CN"/>
        </w:rPr>
        <w:t>注：本表格后附（</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项目经理建造师注册证书、安全生产考核合格证书（B证）</w:t>
      </w: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项目管理班子</w:t>
      </w:r>
      <w:r>
        <w:rPr>
          <w:rFonts w:hint="eastAsia" w:ascii="宋体" w:hAnsi="宋体"/>
          <w:color w:val="auto"/>
          <w:sz w:val="24"/>
          <w:lang w:eastAsia="zh-CN"/>
        </w:rPr>
        <w:t>成员岗位证书（如有）</w:t>
      </w:r>
      <w:r>
        <w:rPr>
          <w:rFonts w:hint="eastAsia" w:ascii="宋体" w:hAnsi="宋体"/>
          <w:color w:val="auto"/>
          <w:sz w:val="24"/>
          <w:lang w:val="en-US" w:eastAsia="zh-CN"/>
        </w:rPr>
        <w:t>。</w:t>
      </w:r>
    </w:p>
    <w:p w14:paraId="2E6807D3">
      <w:pPr>
        <w:spacing w:before="286" w:beforeLines="100" w:after="286" w:afterLines="100" w:line="360" w:lineRule="auto"/>
        <w:jc w:val="left"/>
        <w:rPr>
          <w:rFonts w:hint="eastAsia" w:ascii="宋体" w:hAnsi="宋体"/>
          <w:color w:val="auto"/>
          <w:sz w:val="24"/>
          <w:lang w:eastAsia="zh-CN"/>
        </w:rPr>
      </w:pPr>
    </w:p>
    <w:p w14:paraId="1CA9F213">
      <w:pPr>
        <w:spacing w:before="286" w:beforeLines="100" w:after="286" w:afterLines="100" w:line="360" w:lineRule="auto"/>
        <w:jc w:val="left"/>
        <w:rPr>
          <w:rFonts w:hint="eastAsia" w:ascii="宋体" w:hAnsi="宋体"/>
          <w:color w:val="auto"/>
          <w:sz w:val="24"/>
          <w:lang w:eastAsia="zh-CN"/>
        </w:rPr>
      </w:pPr>
    </w:p>
    <w:p w14:paraId="42E06589">
      <w:pPr>
        <w:spacing w:before="286" w:beforeLines="100" w:after="286" w:afterLines="100" w:line="360" w:lineRule="auto"/>
        <w:jc w:val="left"/>
        <w:rPr>
          <w:rFonts w:hint="eastAsia" w:ascii="宋体" w:hAnsi="宋体"/>
          <w:color w:val="auto"/>
          <w:sz w:val="24"/>
          <w:lang w:eastAsia="zh-CN"/>
        </w:rPr>
      </w:pPr>
    </w:p>
    <w:p w14:paraId="055FE3D8">
      <w:pPr>
        <w:spacing w:before="286" w:beforeLines="100" w:after="286" w:afterLines="100" w:line="360" w:lineRule="auto"/>
        <w:jc w:val="left"/>
        <w:rPr>
          <w:rFonts w:ascii="宋体" w:hAnsi="宋体"/>
          <w:color w:val="auto"/>
          <w:sz w:val="24"/>
        </w:rPr>
      </w:pPr>
      <w:r>
        <w:rPr>
          <w:rFonts w:hint="eastAsia" w:ascii="宋体" w:hAnsi="宋体"/>
          <w:color w:val="auto"/>
          <w:sz w:val="24"/>
          <w:lang w:eastAsia="zh-CN"/>
        </w:rPr>
        <w:t>（二）</w:t>
      </w:r>
      <w:r>
        <w:rPr>
          <w:rFonts w:hint="eastAsia" w:ascii="宋体" w:hAnsi="宋体"/>
          <w:color w:val="auto"/>
          <w:sz w:val="24"/>
        </w:rPr>
        <w:t>：承诺书</w:t>
      </w:r>
    </w:p>
    <w:p w14:paraId="3B2BD9D9">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09D78279">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43726F32">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5F9D4D69">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356ECB3F">
      <w:pPr>
        <w:spacing w:line="360" w:lineRule="auto"/>
        <w:ind w:firstLine="480" w:firstLineChars="200"/>
        <w:rPr>
          <w:rFonts w:ascii="宋体" w:hAnsi="宋体"/>
          <w:color w:val="auto"/>
          <w:sz w:val="24"/>
        </w:rPr>
      </w:pPr>
    </w:p>
    <w:p w14:paraId="4DB441AA">
      <w:pPr>
        <w:spacing w:line="360" w:lineRule="auto"/>
        <w:ind w:firstLine="480" w:firstLineChars="200"/>
        <w:rPr>
          <w:rFonts w:ascii="宋体" w:hAnsi="宋体"/>
          <w:color w:val="auto"/>
          <w:sz w:val="24"/>
        </w:rPr>
      </w:pPr>
    </w:p>
    <w:p w14:paraId="175B6607">
      <w:pPr>
        <w:spacing w:line="360" w:lineRule="auto"/>
        <w:ind w:firstLine="480" w:firstLineChars="200"/>
        <w:rPr>
          <w:rFonts w:ascii="宋体" w:hAnsi="宋体"/>
          <w:color w:val="auto"/>
          <w:sz w:val="24"/>
        </w:rPr>
      </w:pPr>
      <w:r>
        <w:rPr>
          <w:rFonts w:hint="eastAsia" w:ascii="宋体" w:hAnsi="宋体"/>
          <w:color w:val="auto"/>
          <w:sz w:val="24"/>
        </w:rPr>
        <w:t>特此承诺。</w:t>
      </w:r>
    </w:p>
    <w:p w14:paraId="11C97508">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1D6B8FDB">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0A978955">
      <w:pPr>
        <w:pStyle w:val="3"/>
        <w:numPr>
          <w:ilvl w:val="0"/>
          <w:numId w:val="0"/>
        </w:numPr>
        <w:spacing w:line="360" w:lineRule="auto"/>
        <w:jc w:val="both"/>
        <w:outlineLvl w:val="9"/>
        <w:rPr>
          <w:rFonts w:hint="eastAsia" w:ascii="宋体" w:hAnsi="宋体"/>
          <w:b/>
          <w:color w:val="auto"/>
          <w:sz w:val="24"/>
          <w:szCs w:val="24"/>
          <w:lang w:eastAsia="zh-CN"/>
        </w:rPr>
      </w:pPr>
    </w:p>
    <w:p w14:paraId="698E7446">
      <w:pPr>
        <w:rPr>
          <w:rFonts w:hint="eastAsia" w:ascii="宋体" w:hAnsi="宋体"/>
          <w:b/>
          <w:color w:val="auto"/>
          <w:sz w:val="24"/>
          <w:szCs w:val="24"/>
          <w:lang w:eastAsia="zh-CN"/>
        </w:rPr>
      </w:pPr>
    </w:p>
    <w:p w14:paraId="16A71FA9">
      <w:pPr>
        <w:pStyle w:val="10"/>
        <w:rPr>
          <w:rFonts w:hint="eastAsia" w:ascii="宋体" w:hAnsi="宋体"/>
          <w:b/>
          <w:color w:val="auto"/>
          <w:sz w:val="24"/>
          <w:szCs w:val="24"/>
          <w:lang w:eastAsia="zh-CN"/>
        </w:rPr>
      </w:pPr>
    </w:p>
    <w:p w14:paraId="73F39AF8">
      <w:pPr>
        <w:rPr>
          <w:rFonts w:hint="eastAsia" w:ascii="宋体" w:hAnsi="宋体"/>
          <w:b/>
          <w:color w:val="auto"/>
          <w:sz w:val="24"/>
          <w:szCs w:val="24"/>
          <w:lang w:eastAsia="zh-CN"/>
        </w:rPr>
      </w:pPr>
    </w:p>
    <w:p w14:paraId="681D3220">
      <w:pPr>
        <w:pStyle w:val="10"/>
        <w:rPr>
          <w:rFonts w:hint="eastAsia" w:ascii="宋体" w:hAnsi="宋体"/>
          <w:b/>
          <w:color w:val="auto"/>
          <w:sz w:val="24"/>
          <w:szCs w:val="24"/>
          <w:lang w:eastAsia="zh-CN"/>
        </w:rPr>
      </w:pPr>
    </w:p>
    <w:p w14:paraId="0232BC2A">
      <w:pPr>
        <w:rPr>
          <w:rFonts w:hint="eastAsia" w:ascii="宋体" w:hAnsi="宋体"/>
          <w:b/>
          <w:color w:val="auto"/>
          <w:sz w:val="24"/>
          <w:szCs w:val="24"/>
          <w:lang w:eastAsia="zh-CN"/>
        </w:rPr>
      </w:pPr>
    </w:p>
    <w:p w14:paraId="2EB5D37E">
      <w:pPr>
        <w:pStyle w:val="10"/>
        <w:rPr>
          <w:rFonts w:hint="eastAsia" w:ascii="宋体" w:hAnsi="宋体"/>
          <w:b/>
          <w:color w:val="auto"/>
          <w:sz w:val="24"/>
          <w:szCs w:val="24"/>
          <w:lang w:eastAsia="zh-CN"/>
        </w:rPr>
      </w:pPr>
    </w:p>
    <w:p w14:paraId="19F88C97">
      <w:pPr>
        <w:rPr>
          <w:rFonts w:hint="eastAsia" w:ascii="宋体" w:hAnsi="宋体"/>
          <w:b/>
          <w:color w:val="auto"/>
          <w:sz w:val="24"/>
          <w:szCs w:val="24"/>
          <w:lang w:eastAsia="zh-CN"/>
        </w:rPr>
      </w:pPr>
    </w:p>
    <w:p w14:paraId="417F77ED">
      <w:pPr>
        <w:pStyle w:val="10"/>
        <w:rPr>
          <w:rFonts w:hint="eastAsia"/>
          <w:color w:val="auto"/>
          <w:lang w:eastAsia="zh-CN"/>
        </w:rPr>
      </w:pPr>
    </w:p>
    <w:p w14:paraId="50BBB360">
      <w:pPr>
        <w:numPr>
          <w:ilvl w:val="0"/>
          <w:numId w:val="0"/>
        </w:numPr>
        <w:rPr>
          <w:rFonts w:hint="eastAsia"/>
          <w:color w:val="auto"/>
          <w:lang w:eastAsia="zh-CN"/>
        </w:rPr>
      </w:pPr>
    </w:p>
    <w:p w14:paraId="7FA55327">
      <w:pPr>
        <w:pStyle w:val="3"/>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161"/>
      <w:bookmarkEnd w:id="162"/>
      <w:bookmarkEnd w:id="163"/>
    </w:p>
    <w:p w14:paraId="6FA863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（一）营业执照</w:t>
      </w:r>
    </w:p>
    <w:p w14:paraId="36A68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r>
        <w:rPr>
          <w:rFonts w:hint="eastAsia"/>
          <w:color w:val="auto"/>
          <w:sz w:val="24"/>
          <w:szCs w:val="24"/>
          <w:lang w:eastAsia="zh-CN"/>
        </w:rPr>
        <w:t>附加盖公章的营业执照复印件或扫描件</w:t>
      </w:r>
    </w:p>
    <w:p w14:paraId="7A6C9D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（二）资质证书</w:t>
      </w:r>
    </w:p>
    <w:p w14:paraId="607D6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r>
        <w:rPr>
          <w:rFonts w:hint="eastAsia"/>
          <w:color w:val="auto"/>
          <w:sz w:val="24"/>
          <w:szCs w:val="24"/>
          <w:lang w:eastAsia="zh-CN"/>
        </w:rPr>
        <w:t>附加盖公章的营业执照复印件或扫描件</w:t>
      </w:r>
    </w:p>
    <w:p w14:paraId="3F2465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p>
    <w:p w14:paraId="23B00B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4"/>
          <w:szCs w:val="24"/>
          <w:lang w:eastAsia="zh-CN"/>
        </w:rPr>
      </w:pPr>
      <w:r>
        <w:rPr>
          <w:rFonts w:hint="eastAsia"/>
          <w:color w:val="auto"/>
          <w:sz w:val="24"/>
          <w:szCs w:val="24"/>
          <w:lang w:eastAsia="zh-CN"/>
        </w:rPr>
        <w:t>（三）安全生产许可证</w:t>
      </w:r>
    </w:p>
    <w:p w14:paraId="3C8C24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lang w:eastAsia="zh-CN"/>
        </w:rPr>
      </w:pPr>
      <w:r>
        <w:rPr>
          <w:rFonts w:hint="eastAsia"/>
          <w:color w:val="auto"/>
          <w:sz w:val="24"/>
          <w:szCs w:val="24"/>
          <w:lang w:eastAsia="zh-CN"/>
        </w:rPr>
        <w:t>附加盖公章的营业执照复印件或扫描件</w:t>
      </w:r>
    </w:p>
    <w:p w14:paraId="53430014">
      <w:pPr>
        <w:rPr>
          <w:rFonts w:hint="eastAsia"/>
          <w:color w:val="auto"/>
          <w:lang w:eastAsia="zh-CN"/>
        </w:rPr>
      </w:pPr>
      <w:r>
        <w:rPr>
          <w:rFonts w:hint="eastAsia"/>
          <w:color w:val="auto"/>
          <w:lang w:eastAsia="zh-CN"/>
        </w:rPr>
        <w:br w:type="page"/>
      </w:r>
    </w:p>
    <w:p w14:paraId="348A2C93">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14:paraId="5896EFA5">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6E70B84E">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23ACB19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41501357">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11E7FBE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432E8762">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16EBACA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81A138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5B55113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3FA4BE9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11B0271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3BC555D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68B1182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313B2C2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0D7E5343">
      <w:pPr>
        <w:widowControl/>
        <w:jc w:val="right"/>
        <w:rPr>
          <w:rFonts w:ascii="宋体" w:hAnsi="宋体" w:cs="宋体"/>
          <w:color w:val="auto"/>
          <w:sz w:val="24"/>
          <w:lang w:bidi="ar"/>
        </w:rPr>
      </w:pPr>
    </w:p>
    <w:p w14:paraId="063E2FF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426D476A">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07C089B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70691178">
      <w:pPr>
        <w:widowControl/>
        <w:jc w:val="right"/>
        <w:rPr>
          <w:rFonts w:ascii="宋体" w:hAnsi="宋体" w:cs="宋体"/>
          <w:color w:val="auto"/>
          <w:sz w:val="24"/>
          <w:lang w:bidi="ar"/>
        </w:rPr>
      </w:pPr>
    </w:p>
    <w:p w14:paraId="17322DEC">
      <w:pPr>
        <w:widowControl/>
        <w:jc w:val="left"/>
        <w:rPr>
          <w:rFonts w:ascii="宋体" w:hAnsi="宋体" w:cs="黑体"/>
          <w:b/>
          <w:color w:val="auto"/>
          <w:kern w:val="0"/>
          <w:sz w:val="24"/>
        </w:rPr>
      </w:pPr>
      <w:r>
        <w:rPr>
          <w:rFonts w:ascii="宋体" w:hAnsi="宋体" w:cs="黑体"/>
          <w:b/>
          <w:color w:val="auto"/>
          <w:kern w:val="0"/>
          <w:sz w:val="24"/>
        </w:rPr>
        <w:br w:type="page"/>
      </w:r>
    </w:p>
    <w:p w14:paraId="0911B650">
      <w:pPr>
        <w:pStyle w:val="3"/>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29C6A4A2">
      <w:pPr>
        <w:pStyle w:val="86"/>
        <w:tabs>
          <w:tab w:val="left" w:pos="9638"/>
        </w:tabs>
        <w:spacing w:line="360" w:lineRule="auto"/>
        <w:ind w:right="-82" w:firstLine="472" w:firstLineChars="196"/>
        <w:outlineLvl w:val="0"/>
        <w:rPr>
          <w:rFonts w:ascii="宋体" w:hAnsi="宋体"/>
          <w:b/>
          <w:color w:val="auto"/>
          <w:sz w:val="24"/>
          <w:szCs w:val="24"/>
        </w:rPr>
      </w:pPr>
      <w:bookmarkStart w:id="164" w:name="_Toc11382"/>
      <w:r>
        <w:rPr>
          <w:rFonts w:hint="eastAsia" w:ascii="宋体" w:hAnsi="宋体"/>
          <w:b/>
          <w:color w:val="auto"/>
          <w:sz w:val="24"/>
          <w:szCs w:val="24"/>
        </w:rPr>
        <w:t>供应商认为需要加以说明的其他内容和需要提供的证明文件</w:t>
      </w:r>
      <w:bookmarkEnd w:id="164"/>
    </w:p>
    <w:p w14:paraId="4AF1E466">
      <w:pPr>
        <w:pStyle w:val="86"/>
        <w:tabs>
          <w:tab w:val="left" w:pos="9638"/>
        </w:tabs>
        <w:spacing w:line="360" w:lineRule="auto"/>
        <w:ind w:right="-82" w:firstLine="472" w:firstLineChars="196"/>
        <w:outlineLvl w:val="0"/>
        <w:rPr>
          <w:rFonts w:ascii="宋体" w:hAnsi="宋体"/>
          <w:b/>
          <w:color w:val="auto"/>
          <w:sz w:val="24"/>
          <w:szCs w:val="24"/>
        </w:rPr>
      </w:pPr>
      <w:bookmarkStart w:id="165" w:name="_Toc26771"/>
      <w:r>
        <w:rPr>
          <w:rFonts w:hint="eastAsia" w:ascii="宋体" w:hAnsi="宋体"/>
          <w:b/>
          <w:color w:val="auto"/>
          <w:sz w:val="24"/>
          <w:szCs w:val="24"/>
        </w:rPr>
        <w:t>1、……</w:t>
      </w:r>
      <w:bookmarkEnd w:id="165"/>
    </w:p>
    <w:p w14:paraId="5D0AB8A0">
      <w:pPr>
        <w:pStyle w:val="86"/>
        <w:tabs>
          <w:tab w:val="left" w:pos="9638"/>
        </w:tabs>
        <w:spacing w:line="360" w:lineRule="auto"/>
        <w:ind w:right="-82" w:firstLine="472" w:firstLineChars="196"/>
        <w:outlineLvl w:val="0"/>
        <w:rPr>
          <w:rFonts w:ascii="宋体" w:hAnsi="宋体"/>
          <w:b/>
          <w:color w:val="auto"/>
          <w:sz w:val="24"/>
          <w:szCs w:val="24"/>
        </w:rPr>
      </w:pPr>
      <w:bookmarkStart w:id="166" w:name="_Toc14706"/>
      <w:r>
        <w:rPr>
          <w:rFonts w:hint="eastAsia" w:ascii="宋体" w:hAnsi="宋体"/>
          <w:b/>
          <w:color w:val="auto"/>
          <w:sz w:val="24"/>
          <w:szCs w:val="24"/>
        </w:rPr>
        <w:t>2、……</w:t>
      </w:r>
      <w:bookmarkEnd w:id="166"/>
    </w:p>
    <w:p w14:paraId="7FFF4476">
      <w:pPr>
        <w:pStyle w:val="86"/>
        <w:tabs>
          <w:tab w:val="left" w:pos="9638"/>
        </w:tabs>
        <w:spacing w:line="360" w:lineRule="auto"/>
        <w:ind w:right="-82" w:firstLine="472" w:firstLineChars="196"/>
        <w:outlineLvl w:val="0"/>
        <w:rPr>
          <w:rFonts w:ascii="宋体" w:hAnsi="宋体"/>
          <w:color w:val="auto"/>
          <w:sz w:val="24"/>
          <w:szCs w:val="24"/>
        </w:rPr>
      </w:pPr>
      <w:bookmarkStart w:id="167" w:name="_Toc10594"/>
      <w:r>
        <w:rPr>
          <w:rFonts w:hint="eastAsia" w:ascii="宋体" w:hAnsi="宋体"/>
          <w:b/>
          <w:color w:val="auto"/>
          <w:sz w:val="24"/>
          <w:szCs w:val="24"/>
        </w:rPr>
        <w:t>3、……</w:t>
      </w:r>
      <w:bookmarkEnd w:id="167"/>
    </w:p>
    <w:p w14:paraId="287C1A8F">
      <w:pPr>
        <w:spacing w:line="360" w:lineRule="auto"/>
        <w:rPr>
          <w:rFonts w:ascii="宋体" w:hAnsi="宋体"/>
          <w:color w:val="auto"/>
          <w:sz w:val="24"/>
        </w:rPr>
      </w:pPr>
    </w:p>
    <w:p w14:paraId="4C044488">
      <w:pPr>
        <w:pStyle w:val="10"/>
        <w:spacing w:before="0" w:line="360" w:lineRule="auto"/>
        <w:rPr>
          <w:rFonts w:ascii="宋体" w:hAnsi="宋体"/>
          <w:color w:val="auto"/>
          <w:szCs w:val="24"/>
        </w:rPr>
        <w:sectPr>
          <w:headerReference r:id="rId17" w:type="first"/>
          <w:pgSz w:w="11906" w:h="16838"/>
          <w:pgMar w:top="1440" w:right="1080" w:bottom="1440" w:left="1080" w:header="851" w:footer="992" w:gutter="0"/>
          <w:pgNumType w:fmt="decimal"/>
          <w:cols w:space="720" w:num="1"/>
          <w:titlePg/>
          <w:docGrid w:type="lines" w:linePitch="286" w:charSpace="0"/>
        </w:sectPr>
      </w:pPr>
    </w:p>
    <w:p w14:paraId="1FE15C64">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6FF764F7">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5EE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18B8143E">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0208208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57534DB1">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1FF846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14:paraId="55A3F3D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646E26E8">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57A54D16">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78059EB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14:paraId="7E73CB87">
      <w:pPr>
        <w:spacing w:line="360" w:lineRule="auto"/>
        <w:rPr>
          <w:rFonts w:hint="eastAsia" w:ascii="宋体" w:hAnsi="宋体"/>
          <w:color w:val="auto"/>
          <w:sz w:val="24"/>
          <w:szCs w:val="24"/>
        </w:rPr>
      </w:pPr>
    </w:p>
    <w:p w14:paraId="45A89365">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1EF9525B">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47AA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22EFDB2D">
            <w:pPr>
              <w:spacing w:line="360" w:lineRule="auto"/>
              <w:rPr>
                <w:rFonts w:hint="eastAsia" w:ascii="宋体" w:hAnsi="宋体"/>
                <w:bCs/>
                <w:color w:val="auto"/>
                <w:sz w:val="24"/>
                <w:szCs w:val="24"/>
              </w:rPr>
            </w:pPr>
          </w:p>
          <w:p w14:paraId="544D361A">
            <w:pPr>
              <w:spacing w:line="360" w:lineRule="auto"/>
              <w:rPr>
                <w:rFonts w:hint="eastAsia" w:ascii="宋体" w:hAnsi="宋体"/>
                <w:bCs/>
                <w:color w:val="auto"/>
                <w:sz w:val="24"/>
                <w:szCs w:val="24"/>
              </w:rPr>
            </w:pPr>
          </w:p>
          <w:p w14:paraId="30BBBBB2">
            <w:pPr>
              <w:spacing w:line="360" w:lineRule="auto"/>
              <w:rPr>
                <w:rFonts w:hint="eastAsia" w:ascii="宋体" w:hAnsi="宋体"/>
                <w:bCs/>
                <w:color w:val="auto"/>
                <w:sz w:val="24"/>
                <w:szCs w:val="24"/>
              </w:rPr>
            </w:pPr>
          </w:p>
          <w:p w14:paraId="6D926AC5">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4170D68E">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5D210044">
            <w:pPr>
              <w:spacing w:line="360" w:lineRule="auto"/>
              <w:rPr>
                <w:rFonts w:hint="eastAsia" w:ascii="宋体" w:hAnsi="宋体"/>
                <w:bCs/>
                <w:color w:val="auto"/>
                <w:sz w:val="24"/>
                <w:szCs w:val="24"/>
              </w:rPr>
            </w:pPr>
          </w:p>
          <w:p w14:paraId="7CD11077">
            <w:pPr>
              <w:spacing w:line="360" w:lineRule="auto"/>
              <w:ind w:firstLine="3600" w:firstLineChars="1500"/>
              <w:rPr>
                <w:rFonts w:hint="eastAsia" w:ascii="宋体" w:hAnsi="宋体"/>
                <w:bCs/>
                <w:color w:val="auto"/>
                <w:sz w:val="24"/>
                <w:szCs w:val="24"/>
              </w:rPr>
            </w:pPr>
          </w:p>
          <w:p w14:paraId="47345CBC">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1076AEBB">
            <w:pPr>
              <w:spacing w:line="360" w:lineRule="auto"/>
              <w:rPr>
                <w:rFonts w:hint="eastAsia" w:ascii="宋体" w:hAnsi="宋体"/>
                <w:bCs/>
                <w:color w:val="auto"/>
                <w:sz w:val="24"/>
                <w:szCs w:val="24"/>
              </w:rPr>
            </w:pPr>
          </w:p>
        </w:tc>
      </w:tr>
    </w:tbl>
    <w:p w14:paraId="450799B0">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ED56">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69D0">
    <w:pPr>
      <w:pStyle w:val="2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E94B">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7FEE">
    <w:pPr>
      <w:pStyle w:val="2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3D83B">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53D83B">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BFD1">
    <w:pPr>
      <w:pStyle w:val="25"/>
      <w:framePr w:wrap="around" w:vAnchor="text" w:hAnchor="margin" w:xAlign="center" w:y="1"/>
      <w:rPr>
        <w:rStyle w:val="43"/>
      </w:rPr>
    </w:pPr>
    <w:r>
      <w:fldChar w:fldCharType="begin"/>
    </w:r>
    <w:r>
      <w:rPr>
        <w:rStyle w:val="43"/>
      </w:rPr>
      <w:instrText xml:space="preserve">PAGE  </w:instrText>
    </w:r>
    <w:r>
      <w:fldChar w:fldCharType="end"/>
    </w:r>
  </w:p>
  <w:p w14:paraId="1B26ED8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80D5">
    <w:pPr>
      <w:pStyle w:val="25"/>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F2BDA">
                          <w:pPr>
                            <w:pStyle w:val="2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D1F2BDA">
                    <w:pPr>
                      <w:pStyle w:val="25"/>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2B7E">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83D23B">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C83D23B">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778E">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v:textbox>
            </v:shape>
          </w:pict>
        </mc:Fallback>
      </mc:AlternateContent>
    </w:r>
  </w:p>
  <w:p w14:paraId="522281CE">
    <w:pPr>
      <w:pStyle w:val="2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EFF3">
    <w:pPr>
      <w:pStyle w:val="25"/>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E591">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BC24">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8A93">
    <w:pPr>
      <w:pStyle w:val="26"/>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邹城市钢山街道办事处钢山花园小区李官村三期室外雨污水及弱电管网工程</w:t>
    </w:r>
    <w:r>
      <w:rPr>
        <w:rFonts w:hint="eastAsia" w:ascii="宋体" w:hAnsi="宋体" w:cs="宋体"/>
        <w:b/>
        <w:bCs/>
        <w:kern w:val="0"/>
        <w:sz w:val="18"/>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77E0">
    <w:pPr>
      <w:pStyle w:val="26"/>
      <w:pBdr>
        <w:bottom w:val="none" w:color="auto" w:sz="0" w:space="0"/>
      </w:pBdr>
      <w:wordWrap w:val="0"/>
      <w:rPr>
        <w:b/>
        <w:bCs/>
        <w:i/>
        <w:w w:val="90"/>
        <w:sz w:val="21"/>
        <w:szCs w:val="21"/>
      </w:rPr>
    </w:pPr>
    <w:r>
      <w:rPr>
        <w:rFonts w:hint="eastAsia"/>
        <w:bCs/>
        <w:w w:val="90"/>
        <w:sz w:val="21"/>
        <w:szCs w:val="21"/>
      </w:rPr>
      <w:t xml:space="preserve">             </w:t>
    </w:r>
    <w:r>
      <w:rPr>
        <w:rFonts w:hint="eastAsia"/>
        <w:bCs/>
        <w:i/>
        <w:w w:val="9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4C26">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邹城市钢山街道办事处钢山花园小区李官村三期室外雨污水及弱电管网工程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14:paraId="3B4F36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CF88">
    <w:pPr>
      <w:pStyle w:val="26"/>
      <w:jc w:val="both"/>
      <w:rPr>
        <w:sz w:val="15"/>
        <w:szCs w:val="15"/>
      </w:rPr>
    </w:pPr>
    <w:r>
      <w:rPr>
        <w:rFonts w:hint="eastAsia" w:ascii="宋体" w:hAnsi="宋体" w:cs="宋体"/>
        <w:kern w:val="0"/>
        <w:sz w:val="18"/>
        <w:szCs w:val="18"/>
        <w:lang w:eastAsia="zh-CN"/>
      </w:rPr>
      <w:t>邹城市钢山街道办事处钢山花园小区李官村三期室外雨污水及弱电管网工程</w:t>
    </w:r>
    <w:r>
      <w:rPr>
        <w:rFonts w:hint="eastAsia" w:ascii="宋体" w:hAnsi="宋体" w:cs="宋体"/>
        <w:kern w:val="0"/>
        <w:sz w:val="18"/>
        <w:szCs w:val="18"/>
      </w:rPr>
      <w:t>竞争性磋商文件</w:t>
    </w:r>
  </w:p>
  <w:p w14:paraId="6DC6E8D0">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CA18"/>
    <w:multiLevelType w:val="singleLevel"/>
    <w:tmpl w:val="E259CA18"/>
    <w:lvl w:ilvl="0" w:tentative="0">
      <w:start w:val="22"/>
      <w:numFmt w:val="decimal"/>
      <w:lvlText w:val="%1."/>
      <w:lvlJc w:val="left"/>
      <w:pPr>
        <w:tabs>
          <w:tab w:val="left" w:pos="312"/>
        </w:tabs>
      </w:pPr>
    </w:lvl>
  </w:abstractNum>
  <w:abstractNum w:abstractNumId="1">
    <w:nsid w:val="FF4FD782"/>
    <w:multiLevelType w:val="singleLevel"/>
    <w:tmpl w:val="FF4FD782"/>
    <w:lvl w:ilvl="0" w:tentative="0">
      <w:start w:val="1"/>
      <w:numFmt w:val="bullet"/>
      <w:lvlText w:val=""/>
      <w:lvlJc w:val="left"/>
      <w:pPr>
        <w:ind w:left="420" w:hanging="420"/>
      </w:pPr>
      <w:rPr>
        <w:rFonts w:hint="default" w:ascii="Wingdings" w:hAnsi="Wingdings"/>
      </w:rPr>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001496"/>
    <w:rsid w:val="00002202"/>
    <w:rsid w:val="000115A0"/>
    <w:rsid w:val="000318E3"/>
    <w:rsid w:val="00037EFF"/>
    <w:rsid w:val="00046BAA"/>
    <w:rsid w:val="0005083D"/>
    <w:rsid w:val="00056405"/>
    <w:rsid w:val="000765FC"/>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0F7337"/>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5FE23E4"/>
    <w:rsid w:val="061061E5"/>
    <w:rsid w:val="064847BE"/>
    <w:rsid w:val="065937C6"/>
    <w:rsid w:val="068F04F2"/>
    <w:rsid w:val="07024983"/>
    <w:rsid w:val="076D1F31"/>
    <w:rsid w:val="079F3753"/>
    <w:rsid w:val="082A74C0"/>
    <w:rsid w:val="083C60EB"/>
    <w:rsid w:val="085602B5"/>
    <w:rsid w:val="08707E74"/>
    <w:rsid w:val="09276FF5"/>
    <w:rsid w:val="099E1F14"/>
    <w:rsid w:val="0A7E23AD"/>
    <w:rsid w:val="0AAE262A"/>
    <w:rsid w:val="0B612FC8"/>
    <w:rsid w:val="0BA0659B"/>
    <w:rsid w:val="0BE935F9"/>
    <w:rsid w:val="0C24351A"/>
    <w:rsid w:val="0C2A3A44"/>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CB7366"/>
    <w:rsid w:val="10E802AE"/>
    <w:rsid w:val="11204641"/>
    <w:rsid w:val="112A6783"/>
    <w:rsid w:val="11A357F2"/>
    <w:rsid w:val="11AC7198"/>
    <w:rsid w:val="124F64A1"/>
    <w:rsid w:val="12580C2B"/>
    <w:rsid w:val="126D6927"/>
    <w:rsid w:val="127961AB"/>
    <w:rsid w:val="12A367ED"/>
    <w:rsid w:val="12D22707"/>
    <w:rsid w:val="12F40DC0"/>
    <w:rsid w:val="1301085A"/>
    <w:rsid w:val="13036299"/>
    <w:rsid w:val="134F18E7"/>
    <w:rsid w:val="136046DE"/>
    <w:rsid w:val="136D7BB8"/>
    <w:rsid w:val="13767D8B"/>
    <w:rsid w:val="13A84EB1"/>
    <w:rsid w:val="13B04414"/>
    <w:rsid w:val="13BA0A3C"/>
    <w:rsid w:val="14060496"/>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0937DE"/>
    <w:rsid w:val="1666200B"/>
    <w:rsid w:val="16D25540"/>
    <w:rsid w:val="16F2389F"/>
    <w:rsid w:val="17525EE6"/>
    <w:rsid w:val="17A50911"/>
    <w:rsid w:val="17A728DB"/>
    <w:rsid w:val="17AC1CA0"/>
    <w:rsid w:val="17AF79E2"/>
    <w:rsid w:val="17BF5E77"/>
    <w:rsid w:val="180050FE"/>
    <w:rsid w:val="189919B7"/>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5B380D"/>
    <w:rsid w:val="1C750501"/>
    <w:rsid w:val="1C924681"/>
    <w:rsid w:val="1CB84297"/>
    <w:rsid w:val="1CCE593E"/>
    <w:rsid w:val="1D183933"/>
    <w:rsid w:val="1D271DC8"/>
    <w:rsid w:val="1DE2466D"/>
    <w:rsid w:val="1E040786"/>
    <w:rsid w:val="1E430E84"/>
    <w:rsid w:val="1E737A66"/>
    <w:rsid w:val="1EEC5078"/>
    <w:rsid w:val="1F1076B4"/>
    <w:rsid w:val="1F3D35AB"/>
    <w:rsid w:val="1F3E3BDF"/>
    <w:rsid w:val="1F48203A"/>
    <w:rsid w:val="1F883474"/>
    <w:rsid w:val="1FA21CAE"/>
    <w:rsid w:val="1FAD782F"/>
    <w:rsid w:val="1FE62B6D"/>
    <w:rsid w:val="202109D2"/>
    <w:rsid w:val="20247B33"/>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5227E4"/>
    <w:rsid w:val="256C2A6E"/>
    <w:rsid w:val="25A22934"/>
    <w:rsid w:val="25D15E45"/>
    <w:rsid w:val="25D9247A"/>
    <w:rsid w:val="26451DBB"/>
    <w:rsid w:val="26C568DA"/>
    <w:rsid w:val="26D24163"/>
    <w:rsid w:val="26D5059B"/>
    <w:rsid w:val="26D818A9"/>
    <w:rsid w:val="27103633"/>
    <w:rsid w:val="273D0B66"/>
    <w:rsid w:val="27461ED6"/>
    <w:rsid w:val="27791B20"/>
    <w:rsid w:val="27916521"/>
    <w:rsid w:val="279B2A28"/>
    <w:rsid w:val="27C6027A"/>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72039"/>
    <w:rsid w:val="2C3B686F"/>
    <w:rsid w:val="2C4A6A18"/>
    <w:rsid w:val="2C673F8F"/>
    <w:rsid w:val="2C6B7F24"/>
    <w:rsid w:val="2C8B1087"/>
    <w:rsid w:val="2CD47877"/>
    <w:rsid w:val="2CDE24A4"/>
    <w:rsid w:val="2CF73565"/>
    <w:rsid w:val="2D26209C"/>
    <w:rsid w:val="2DCA5DCE"/>
    <w:rsid w:val="2DE7182C"/>
    <w:rsid w:val="2E032D5E"/>
    <w:rsid w:val="2E104B78"/>
    <w:rsid w:val="2E177139"/>
    <w:rsid w:val="2E461810"/>
    <w:rsid w:val="2E4F2F2D"/>
    <w:rsid w:val="2EA56E79"/>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5E093C"/>
    <w:rsid w:val="38650971"/>
    <w:rsid w:val="39310544"/>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72B9F"/>
    <w:rsid w:val="3F9C49E9"/>
    <w:rsid w:val="3FB94B3D"/>
    <w:rsid w:val="3FD54206"/>
    <w:rsid w:val="3FD72405"/>
    <w:rsid w:val="403A31F7"/>
    <w:rsid w:val="40B70141"/>
    <w:rsid w:val="41656898"/>
    <w:rsid w:val="41AF5482"/>
    <w:rsid w:val="41FB6721"/>
    <w:rsid w:val="42DE4A51"/>
    <w:rsid w:val="4332119D"/>
    <w:rsid w:val="434864E2"/>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BC6EF2"/>
    <w:rsid w:val="45DF7DD0"/>
    <w:rsid w:val="4626062E"/>
    <w:rsid w:val="46CA5828"/>
    <w:rsid w:val="472509C6"/>
    <w:rsid w:val="474A4216"/>
    <w:rsid w:val="478B1E23"/>
    <w:rsid w:val="47B53958"/>
    <w:rsid w:val="480F1C53"/>
    <w:rsid w:val="481855B1"/>
    <w:rsid w:val="481A3696"/>
    <w:rsid w:val="4922622C"/>
    <w:rsid w:val="496C529A"/>
    <w:rsid w:val="497003A2"/>
    <w:rsid w:val="49BC6688"/>
    <w:rsid w:val="4A2D5CBA"/>
    <w:rsid w:val="4A727F0E"/>
    <w:rsid w:val="4A851654"/>
    <w:rsid w:val="4AAB79E7"/>
    <w:rsid w:val="4AD20BCB"/>
    <w:rsid w:val="4AF51685"/>
    <w:rsid w:val="4AF616DD"/>
    <w:rsid w:val="4B470965"/>
    <w:rsid w:val="4B550211"/>
    <w:rsid w:val="4B637C0F"/>
    <w:rsid w:val="4B70165E"/>
    <w:rsid w:val="4B75001F"/>
    <w:rsid w:val="4B860BDD"/>
    <w:rsid w:val="4C34144D"/>
    <w:rsid w:val="4C676045"/>
    <w:rsid w:val="4CD2389B"/>
    <w:rsid w:val="4CD52B3A"/>
    <w:rsid w:val="4CEE3060"/>
    <w:rsid w:val="4CFE492A"/>
    <w:rsid w:val="4D425ABB"/>
    <w:rsid w:val="4D7A191D"/>
    <w:rsid w:val="4D926C66"/>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9E1C09"/>
    <w:rsid w:val="52DE64AA"/>
    <w:rsid w:val="52EC3766"/>
    <w:rsid w:val="53171F82"/>
    <w:rsid w:val="533D17B3"/>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15473E"/>
    <w:rsid w:val="572528F9"/>
    <w:rsid w:val="57914155"/>
    <w:rsid w:val="57C65BAE"/>
    <w:rsid w:val="57DA6114"/>
    <w:rsid w:val="58070251"/>
    <w:rsid w:val="583A0626"/>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314A1B"/>
    <w:rsid w:val="638A36D6"/>
    <w:rsid w:val="63A67F77"/>
    <w:rsid w:val="63C60C97"/>
    <w:rsid w:val="64663B6A"/>
    <w:rsid w:val="64666967"/>
    <w:rsid w:val="64925346"/>
    <w:rsid w:val="655B1BDC"/>
    <w:rsid w:val="65685219"/>
    <w:rsid w:val="65951AAE"/>
    <w:rsid w:val="65982E30"/>
    <w:rsid w:val="65C0487F"/>
    <w:rsid w:val="66120B98"/>
    <w:rsid w:val="667F1AEE"/>
    <w:rsid w:val="66A55805"/>
    <w:rsid w:val="66DB3793"/>
    <w:rsid w:val="66E07D38"/>
    <w:rsid w:val="66ED36D5"/>
    <w:rsid w:val="670723FC"/>
    <w:rsid w:val="672227C4"/>
    <w:rsid w:val="676254A4"/>
    <w:rsid w:val="67954F6E"/>
    <w:rsid w:val="67A93283"/>
    <w:rsid w:val="67F307F2"/>
    <w:rsid w:val="67F330AB"/>
    <w:rsid w:val="682F0B41"/>
    <w:rsid w:val="683055A2"/>
    <w:rsid w:val="68847F10"/>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EB968C8"/>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697554"/>
    <w:rsid w:val="759172D9"/>
    <w:rsid w:val="75F97E8B"/>
    <w:rsid w:val="76016CFA"/>
    <w:rsid w:val="765A667E"/>
    <w:rsid w:val="765B2D19"/>
    <w:rsid w:val="76F45FBE"/>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287FEE"/>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line="360" w:lineRule="auto"/>
      <w:outlineLvl w:val="2"/>
    </w:pPr>
    <w:rPr>
      <w:b/>
      <w:bCs/>
      <w:sz w:val="24"/>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87"/>
    <w:qFormat/>
    <w:uiPriority w:val="0"/>
    <w:pPr>
      <w:shd w:val="clear" w:color="auto" w:fill="0000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65"/>
    <w:qFormat/>
    <w:uiPriority w:val="0"/>
    <w:pPr>
      <w:jc w:val="left"/>
    </w:pPr>
    <w:rPr>
      <w:rFonts w:asciiTheme="minorHAnsi" w:hAnsiTheme="minorHAnsi" w:cstheme="minorBidi"/>
    </w:rPr>
  </w:style>
  <w:style w:type="paragraph" w:styleId="12">
    <w:name w:val="Body Text 3"/>
    <w:basedOn w:val="1"/>
    <w:link w:val="67"/>
    <w:qFormat/>
    <w:uiPriority w:val="0"/>
    <w:pPr>
      <w:spacing w:after="120"/>
    </w:pPr>
    <w:rPr>
      <w:rFonts w:asciiTheme="minorHAnsi" w:hAnsiTheme="minorHAnsi" w:cstheme="minorBidi"/>
      <w:sz w:val="16"/>
      <w:szCs w:val="22"/>
    </w:rPr>
  </w:style>
  <w:style w:type="paragraph" w:styleId="13">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
    <w:link w:val="61"/>
    <w:qFormat/>
    <w:uiPriority w:val="0"/>
    <w:rPr>
      <w:rFonts w:ascii="宋体" w:hAnsiTheme="minorHAnsi" w:cstheme="minorBidi"/>
      <w:sz w:val="32"/>
      <w:szCs w:val="22"/>
    </w:rPr>
  </w:style>
  <w:style w:type="paragraph" w:styleId="15">
    <w:name w:val="Body Text Indent"/>
    <w:basedOn w:val="1"/>
    <w:link w:val="68"/>
    <w:qFormat/>
    <w:uiPriority w:val="0"/>
    <w:pPr>
      <w:spacing w:after="120"/>
      <w:ind w:left="420" w:leftChars="200"/>
    </w:pPr>
    <w:rPr>
      <w:rFonts w:asciiTheme="minorHAnsi" w:hAnsiTheme="minorHAnsi" w:cstheme="minorBidi"/>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0"/>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1"/>
    <w:next w:val="11"/>
    <w:link w:val="69"/>
    <w:qFormat/>
    <w:uiPriority w:val="0"/>
    <w:rPr>
      <w:rFonts w:ascii="Times New Roman" w:hAnsi="Times New Roman" w:cs="Times New Roman"/>
      <w:b/>
      <w:bCs/>
    </w:rPr>
  </w:style>
  <w:style w:type="paragraph" w:styleId="38">
    <w:name w:val="Body Text First Indent"/>
    <w:basedOn w:val="14"/>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3"/>
    <w:qFormat/>
    <w:uiPriority w:val="0"/>
    <w:rPr>
      <w:rFonts w:ascii="Arial" w:hAnsi="Arial" w:eastAsia="黑体" w:cs="Times New Roman"/>
      <w:b/>
      <w:bCs/>
      <w:sz w:val="32"/>
      <w:szCs w:val="32"/>
    </w:rPr>
  </w:style>
  <w:style w:type="character" w:customStyle="1" w:styleId="56">
    <w:name w:val="标题 3 字符"/>
    <w:basedOn w:val="41"/>
    <w:link w:val="4"/>
    <w:qFormat/>
    <w:uiPriority w:val="0"/>
    <w:rPr>
      <w:rFonts w:ascii="Times New Roman" w:hAnsi="Times New Roman" w:eastAsia="宋体" w:cs="Times New Roman"/>
      <w:b/>
      <w:bCs/>
      <w:sz w:val="24"/>
      <w:szCs w:val="32"/>
    </w:rPr>
  </w:style>
  <w:style w:type="character" w:customStyle="1" w:styleId="57">
    <w:name w:val="标题 1 字符"/>
    <w:basedOn w:val="41"/>
    <w:link w:val="2"/>
    <w:qFormat/>
    <w:uiPriority w:val="0"/>
    <w:rPr>
      <w:rFonts w:ascii="Times New Roman" w:hAnsi="Times New Roman" w:eastAsia="宋体" w:cs="Times New Roman"/>
      <w:b/>
      <w:bCs/>
      <w:kern w:val="44"/>
      <w:sz w:val="44"/>
      <w:szCs w:val="44"/>
    </w:rPr>
  </w:style>
  <w:style w:type="character" w:customStyle="1" w:styleId="58">
    <w:name w:val="标题 4 字符"/>
    <w:basedOn w:val="41"/>
    <w:link w:val="5"/>
    <w:qFormat/>
    <w:uiPriority w:val="0"/>
    <w:rPr>
      <w:rFonts w:ascii="Arial" w:hAnsi="Arial" w:eastAsia="黑体" w:cs="Times New Roman"/>
      <w:b/>
      <w:bCs/>
      <w:sz w:val="28"/>
      <w:szCs w:val="28"/>
    </w:rPr>
  </w:style>
  <w:style w:type="character" w:customStyle="1" w:styleId="59">
    <w:name w:val="标题 5 字符"/>
    <w:basedOn w:val="41"/>
    <w:link w:val="6"/>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4"/>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3"/>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1"/>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2"/>
    <w:qFormat/>
    <w:uiPriority w:val="0"/>
    <w:rPr>
      <w:rFonts w:eastAsia="宋体"/>
      <w:sz w:val="16"/>
    </w:rPr>
  </w:style>
  <w:style w:type="character" w:customStyle="1" w:styleId="68">
    <w:name w:val="正文文本缩进 字符"/>
    <w:link w:val="15"/>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9"/>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 w:type="paragraph" w:customStyle="1" w:styleId="192">
    <w:name w:val=" Char Char Char Char"/>
    <w:basedOn w:val="9"/>
    <w:qFormat/>
    <w:uiPriority w:val="0"/>
    <w:pPr>
      <w:shd w:val="clear" w:color="auto" w:fill="00008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136</Pages>
  <Words>72036</Words>
  <Characters>76183</Characters>
  <Lines>235</Lines>
  <Paragraphs>66</Paragraphs>
  <TotalTime>0</TotalTime>
  <ScaleCrop>false</ScaleCrop>
  <LinksUpToDate>false</LinksUpToDate>
  <CharactersWithSpaces>82071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AAAA</cp:lastModifiedBy>
  <cp:lastPrinted>2021-08-06T03:21:00Z</cp:lastPrinted>
  <dcterms:modified xsi:type="dcterms:W3CDTF">2024-08-31T05:28:39Z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AD1648F0CBD24630BBD3D76023BAECC2_13</vt:lpwstr>
  </property>
</Properties>
</file>