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88" w:hanging="1767" w:hangingChars="400"/>
        <w:jc w:val="both"/>
        <w:rPr>
          <w:rFonts w:hint="eastAsia" w:asciiTheme="minorEastAsia" w:hAnsiTheme="minorEastAsia" w:eastAsiaTheme="minorEastAsia" w:cstheme="minorEastAsia"/>
          <w:b/>
          <w:bCs/>
          <w:color w:val="auto"/>
          <w:kern w:val="16"/>
          <w:sz w:val="44"/>
          <w:szCs w:val="44"/>
          <w:highlight w:val="none"/>
          <w:lang w:eastAsia="zh-CN"/>
        </w:rPr>
      </w:pPr>
    </w:p>
    <w:p>
      <w:pPr>
        <w:ind w:left="5621" w:leftChars="191" w:hanging="5220" w:hangingChars="1000"/>
        <w:jc w:val="center"/>
        <w:rPr>
          <w:rFonts w:hint="default" w:asciiTheme="minorEastAsia" w:hAnsiTheme="minorEastAsia" w:eastAsiaTheme="minorEastAsia" w:cstheme="minorEastAsia"/>
          <w:color w:val="auto"/>
          <w:sz w:val="18"/>
          <w:szCs w:val="22"/>
          <w:highlight w:val="none"/>
          <w:lang w:val="en-US"/>
        </w:rPr>
      </w:pPr>
      <w:r>
        <w:rPr>
          <w:rFonts w:hint="eastAsia" w:asciiTheme="minorEastAsia" w:hAnsiTheme="minorEastAsia" w:eastAsiaTheme="minorEastAsia" w:cstheme="minorEastAsia"/>
          <w:b/>
          <w:bCs/>
          <w:color w:val="auto"/>
          <w:kern w:val="16"/>
          <w:sz w:val="52"/>
          <w:szCs w:val="52"/>
          <w:highlight w:val="none"/>
          <w:lang w:val="en-US" w:eastAsia="zh-CN"/>
        </w:rPr>
        <w:t>邹城市唐村镇党建综合阵地建设项目</w:t>
      </w:r>
    </w:p>
    <w:p>
      <w:pPr>
        <w:pStyle w:val="7"/>
        <w:jc w:val="center"/>
        <w:rPr>
          <w:rFonts w:hint="eastAsia" w:asciiTheme="minorEastAsia" w:hAnsiTheme="minorEastAsia" w:eastAsiaTheme="minorEastAsia" w:cstheme="minorEastAsia"/>
          <w:b/>
          <w:color w:val="auto"/>
          <w:sz w:val="56"/>
          <w:szCs w:val="56"/>
          <w:highlight w:val="none"/>
        </w:rPr>
      </w:pPr>
      <w:bookmarkStart w:id="0" w:name="_Toc381880843"/>
    </w:p>
    <w:p>
      <w:pPr>
        <w:pStyle w:val="7"/>
        <w:jc w:val="center"/>
        <w:rPr>
          <w:rFonts w:hint="eastAsia" w:asciiTheme="minorEastAsia" w:hAnsiTheme="minorEastAsia" w:eastAsiaTheme="minorEastAsia" w:cstheme="minorEastAsia"/>
          <w:b/>
          <w:color w:val="auto"/>
          <w:sz w:val="56"/>
          <w:szCs w:val="56"/>
          <w:highlight w:val="none"/>
        </w:rPr>
      </w:pPr>
    </w:p>
    <w:p>
      <w:pPr>
        <w:pStyle w:val="7"/>
        <w:jc w:val="center"/>
        <w:rPr>
          <w:rFonts w:hint="eastAsia" w:asciiTheme="minorEastAsia" w:hAnsiTheme="minorEastAsia" w:eastAsiaTheme="minorEastAsia" w:cstheme="minorEastAsia"/>
          <w:b/>
          <w:color w:val="auto"/>
          <w:sz w:val="56"/>
          <w:szCs w:val="56"/>
          <w:highlight w:val="none"/>
        </w:rPr>
      </w:pPr>
    </w:p>
    <w:p>
      <w:pPr>
        <w:pStyle w:val="7"/>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竞争性磋商文件</w:t>
      </w:r>
      <w:bookmarkEnd w:id="0"/>
    </w:p>
    <w:p>
      <w:pPr>
        <w:jc w:val="both"/>
        <w:rPr>
          <w:rFonts w:hint="eastAsia" w:asciiTheme="minorEastAsia" w:hAnsiTheme="minorEastAsia" w:eastAsiaTheme="minorEastAsia" w:cstheme="minorEastAsia"/>
          <w:b/>
          <w:color w:val="auto"/>
          <w:sz w:val="24"/>
          <w:szCs w:val="24"/>
          <w:highlight w:val="none"/>
        </w:rPr>
      </w:pPr>
    </w:p>
    <w:p>
      <w:pPr>
        <w:jc w:val="center"/>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28"/>
          <w:szCs w:val="28"/>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SDMC-TC2024-005</w:t>
      </w:r>
    </w:p>
    <w:p>
      <w:pPr>
        <w:pStyle w:val="11"/>
        <w:rPr>
          <w:rFonts w:hint="eastAsia" w:asciiTheme="minorEastAsia" w:hAnsiTheme="minorEastAsia" w:eastAsiaTheme="minorEastAsia" w:cstheme="minorEastAsia"/>
          <w:b w:val="0"/>
          <w:bCs w:val="0"/>
          <w:color w:val="auto"/>
          <w:kern w:val="16"/>
          <w:sz w:val="36"/>
          <w:szCs w:val="36"/>
          <w:highlight w:val="none"/>
        </w:rPr>
      </w:pPr>
    </w:p>
    <w:p>
      <w:pPr>
        <w:ind w:leftChars="100"/>
        <w:rPr>
          <w:rFonts w:hint="eastAsia" w:asciiTheme="minorEastAsia" w:hAnsiTheme="minorEastAsia" w:eastAsiaTheme="minorEastAsia" w:cstheme="minorEastAsia"/>
          <w:b w:val="0"/>
          <w:bCs w:val="0"/>
          <w:color w:val="auto"/>
          <w:kern w:val="16"/>
          <w:sz w:val="36"/>
          <w:szCs w:val="36"/>
          <w:highlight w:val="none"/>
        </w:rPr>
      </w:pPr>
    </w:p>
    <w:p>
      <w:pPr>
        <w:pStyle w:val="4"/>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val="0"/>
          <w:bCs w:val="0"/>
          <w:color w:val="auto"/>
          <w:kern w:val="16"/>
          <w:sz w:val="36"/>
          <w:szCs w:val="36"/>
          <w:highlight w:val="none"/>
        </w:rPr>
      </w:pPr>
    </w:p>
    <w:p>
      <w:pPr>
        <w:pStyle w:val="4"/>
        <w:rPr>
          <w:rFonts w:hint="eastAsia"/>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highlight w:val="none"/>
          <w:lang w:val="en-US" w:eastAsia="zh-CN"/>
        </w:rPr>
        <w:t xml:space="preserve">                              </w:t>
      </w:r>
    </w:p>
    <w:p>
      <w:pPr>
        <w:pStyle w:val="11"/>
        <w:rPr>
          <w:rFonts w:hint="eastAsia" w:asciiTheme="minorEastAsia" w:hAnsiTheme="minorEastAsia" w:eastAsiaTheme="minorEastAsia" w:cstheme="minorEastAsia"/>
          <w:b w:val="0"/>
          <w:bCs w:val="0"/>
          <w:color w:val="auto"/>
          <w:kern w:val="16"/>
          <w:sz w:val="36"/>
          <w:szCs w:val="36"/>
          <w:highlight w:val="none"/>
        </w:rPr>
      </w:pPr>
    </w:p>
    <w:p>
      <w:pPr>
        <w:pStyle w:val="17"/>
        <w:jc w:val="both"/>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widowControl w:val="0"/>
        <w:kinsoku/>
        <w:wordWrap/>
        <w:overflowPunct/>
        <w:topLinePunct w:val="0"/>
        <w:autoSpaceDE/>
        <w:autoSpaceDN/>
        <w:bidi w:val="0"/>
        <w:adjustRightInd/>
        <w:spacing w:line="640" w:lineRule="exact"/>
        <w:ind w:firstLine="1285" w:firstLineChars="400"/>
        <w:jc w:val="both"/>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采 购 人：</w:t>
      </w:r>
      <w:r>
        <w:rPr>
          <w:rFonts w:hint="eastAsia" w:asciiTheme="minorEastAsia" w:hAnsiTheme="minorEastAsia" w:eastAsiaTheme="minorEastAsia" w:cstheme="minorEastAsia"/>
          <w:b/>
          <w:color w:val="auto"/>
          <w:sz w:val="32"/>
          <w:szCs w:val="32"/>
          <w:highlight w:val="none"/>
          <w:lang w:eastAsia="zh-CN"/>
        </w:rPr>
        <w:t>邹城市唐村镇人民政府</w:t>
      </w:r>
    </w:p>
    <w:p>
      <w:pPr>
        <w:pStyle w:val="17"/>
        <w:keepNext w:val="0"/>
        <w:keepLines w:val="0"/>
        <w:pageBreakBefore w:val="0"/>
        <w:widowControl w:val="0"/>
        <w:kinsoku/>
        <w:wordWrap/>
        <w:overflowPunct/>
        <w:topLinePunct w:val="0"/>
        <w:autoSpaceDE/>
        <w:autoSpaceDN/>
        <w:bidi w:val="0"/>
        <w:adjustRightInd/>
        <w:spacing w:line="640" w:lineRule="exact"/>
        <w:ind w:firstLine="1285" w:firstLineChars="400"/>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山东铭宸工程项目管理咨询有限公司</w:t>
      </w:r>
    </w:p>
    <w:p>
      <w:pPr>
        <w:keepNext w:val="0"/>
        <w:keepLines w:val="0"/>
        <w:pageBreakBefore w:val="0"/>
        <w:widowControl w:val="0"/>
        <w:tabs>
          <w:tab w:val="left" w:pos="1080"/>
        </w:tabs>
        <w:kinsoku/>
        <w:wordWrap/>
        <w:overflowPunct/>
        <w:topLinePunct w:val="0"/>
        <w:autoSpaceDE/>
        <w:autoSpaceDN/>
        <w:bidi w:val="0"/>
        <w:adjustRightInd/>
        <w:snapToGrid w:val="0"/>
        <w:spacing w:line="640" w:lineRule="exact"/>
        <w:ind w:firstLine="1285" w:firstLineChars="400"/>
        <w:textAlignment w:val="auto"/>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b/>
          <w:color w:val="auto"/>
          <w:sz w:val="32"/>
          <w:szCs w:val="32"/>
          <w:highlight w:val="none"/>
        </w:rPr>
        <w:t>日    期：二○二</w:t>
      </w:r>
      <w:r>
        <w:rPr>
          <w:rFonts w:hint="eastAsia" w:asciiTheme="minorEastAsia" w:hAnsiTheme="minorEastAsia" w:eastAsiaTheme="minorEastAsia" w:cstheme="minorEastAsia"/>
          <w:b/>
          <w:color w:val="auto"/>
          <w:sz w:val="32"/>
          <w:szCs w:val="32"/>
          <w:highlight w:val="none"/>
          <w:lang w:val="en-US" w:eastAsia="zh-CN"/>
        </w:rPr>
        <w:t>四</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月</w:t>
      </w:r>
    </w:p>
    <w:p>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auto"/>
          <w:sz w:val="24"/>
          <w:szCs w:val="24"/>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4"/>
        <w:rPr>
          <w:rFonts w:hint="eastAsia" w:asciiTheme="minorEastAsia" w:hAnsiTheme="minorEastAsia" w:eastAsiaTheme="minorEastAsia" w:cstheme="minorEastAsia"/>
          <w:color w:val="auto"/>
          <w:highlight w:val="none"/>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0</w:t>
      </w:r>
    </w:p>
    <w:p>
      <w:pPr>
        <w:pStyle w:val="18"/>
        <w:tabs>
          <w:tab w:val="right" w:leader="dot" w:pos="9184"/>
        </w:tabs>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6</w:t>
      </w:r>
    </w:p>
    <w:p>
      <w:pPr>
        <w:pStyle w:val="18"/>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numPr>
          <w:ilvl w:val="0"/>
          <w:numId w:val="1"/>
        </w:numPr>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color w:val="auto"/>
          <w:sz w:val="32"/>
          <w:szCs w:val="32"/>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 xml:space="preserve"> 竞争性磋商公告</w:t>
      </w:r>
      <w:bookmarkEnd w:id="3"/>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kern w:val="16"/>
          <w:sz w:val="24"/>
          <w:szCs w:val="24"/>
          <w:highlight w:val="none"/>
        </w:rPr>
      </w:pPr>
      <w:r>
        <w:rPr>
          <w:rFonts w:hint="eastAsia" w:asciiTheme="minorEastAsia" w:hAnsiTheme="minorEastAsia" w:eastAsiaTheme="minorEastAsia" w:cstheme="minorEastAsia"/>
          <w:b/>
          <w:bCs/>
          <w:color w:val="auto"/>
          <w:kern w:val="16"/>
          <w:sz w:val="24"/>
          <w:szCs w:val="24"/>
          <w:highlight w:val="none"/>
          <w:lang w:val="en-US" w:eastAsia="zh-CN"/>
        </w:rPr>
        <w:t>邹城市唐村镇党建综合阵地建设项目</w:t>
      </w:r>
      <w:r>
        <w:rPr>
          <w:rFonts w:hint="eastAsia" w:asciiTheme="minorEastAsia" w:hAnsiTheme="minorEastAsia" w:eastAsiaTheme="minorEastAsia" w:cstheme="minorEastAsia"/>
          <w:b/>
          <w:bCs/>
          <w:color w:val="auto"/>
          <w:kern w:val="16"/>
          <w:sz w:val="24"/>
          <w:szCs w:val="24"/>
          <w:highlight w:val="none"/>
        </w:rPr>
        <w:t>竞争性磋商公告</w:t>
      </w:r>
    </w:p>
    <w:bookmarkEnd w:id="4"/>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一、采购项目名称：</w:t>
      </w:r>
      <w:r>
        <w:rPr>
          <w:rFonts w:hint="eastAsia" w:asciiTheme="minorEastAsia" w:hAnsiTheme="minorEastAsia" w:eastAsiaTheme="minorEastAsia" w:cstheme="minorEastAsia"/>
          <w:b/>
          <w:color w:val="auto"/>
          <w:kern w:val="0"/>
          <w:sz w:val="24"/>
          <w:szCs w:val="24"/>
          <w:highlight w:val="none"/>
          <w:lang w:val="en-US" w:eastAsia="zh-CN"/>
        </w:rPr>
        <w:t>邹城市唐村镇党建综合阵地建设项目</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rPr>
        <w:t>二、采购项目编号：</w:t>
      </w:r>
      <w:r>
        <w:rPr>
          <w:rFonts w:hint="eastAsia" w:asciiTheme="minorEastAsia" w:hAnsiTheme="minorEastAsia" w:eastAsiaTheme="minorEastAsia" w:cstheme="minorEastAsia"/>
          <w:b/>
          <w:color w:val="auto"/>
          <w:kern w:val="0"/>
          <w:sz w:val="24"/>
          <w:szCs w:val="24"/>
          <w:highlight w:val="none"/>
          <w:lang w:eastAsia="zh-CN"/>
        </w:rPr>
        <w:t>SDMC-TC2024-005</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三、采购项目分包情况：</w:t>
      </w:r>
    </w:p>
    <w:p>
      <w:pPr>
        <w:pStyle w:val="4"/>
        <w:keepNext w:val="0"/>
        <w:keepLines w:val="0"/>
        <w:pageBreakBefore w:val="0"/>
        <w:kinsoku/>
        <w:wordWrap/>
        <w:overflowPunct/>
        <w:topLinePunct w:val="0"/>
        <w:autoSpaceDE/>
        <w:autoSpaceDN/>
        <w:bidi w:val="0"/>
        <w:adjustRightInd/>
        <w:snapToGrid/>
        <w:spacing w:before="0" w:beforeLines="0" w:line="360" w:lineRule="auto"/>
        <w:ind w:firstLine="482"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采购内容：</w:t>
      </w:r>
      <w:r>
        <w:rPr>
          <w:rFonts w:hint="eastAsia" w:asciiTheme="minorEastAsia" w:hAnsiTheme="minorEastAsia" w:eastAsiaTheme="minorEastAsia" w:cstheme="minorEastAsia"/>
          <w:b w:val="0"/>
          <w:bCs/>
          <w:color w:val="auto"/>
          <w:sz w:val="24"/>
          <w:szCs w:val="24"/>
          <w:highlight w:val="none"/>
          <w:lang w:val="en-US" w:eastAsia="zh-CN"/>
        </w:rPr>
        <w:t>邹城市唐村镇党建综合阵地建设项目</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工程</w:t>
      </w:r>
      <w:r>
        <w:rPr>
          <w:rFonts w:hint="eastAsia" w:asciiTheme="minorEastAsia" w:hAnsiTheme="minorEastAsia" w:eastAsiaTheme="minorEastAsia" w:cstheme="minorEastAsia"/>
          <w:bCs/>
          <w:color w:val="auto"/>
          <w:sz w:val="24"/>
          <w:szCs w:val="24"/>
          <w:highlight w:val="none"/>
          <w:lang w:eastAsia="zh-CN"/>
        </w:rPr>
        <w:t>内容包括：</w:t>
      </w:r>
      <w:r>
        <w:rPr>
          <w:rFonts w:hint="eastAsia" w:asciiTheme="minorEastAsia" w:hAnsiTheme="minorEastAsia" w:eastAsiaTheme="minorEastAsia" w:cstheme="minorEastAsia"/>
          <w:bCs/>
          <w:color w:val="auto"/>
          <w:sz w:val="24"/>
          <w:szCs w:val="24"/>
          <w:highlight w:val="none"/>
          <w:lang w:val="en-US" w:eastAsia="zh-CN"/>
        </w:rPr>
        <w:t>唐村镇党建综合阵地装修工程及文化建设广告牌制作</w:t>
      </w:r>
      <w:r>
        <w:rPr>
          <w:rFonts w:hint="eastAsia" w:asciiTheme="minorEastAsia" w:hAnsiTheme="minorEastAsia" w:eastAsiaTheme="minorEastAsia" w:cstheme="minorEastAsia"/>
          <w:bCs/>
          <w:color w:val="auto"/>
          <w:sz w:val="24"/>
          <w:szCs w:val="24"/>
          <w:highlight w:val="none"/>
          <w:lang w:eastAsia="zh-CN"/>
        </w:rPr>
        <w:t>等工程</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采购预算：</w:t>
      </w:r>
      <w:r>
        <w:rPr>
          <w:rFonts w:hint="eastAsia" w:asciiTheme="minorEastAsia" w:hAnsiTheme="minorEastAsia" w:eastAsiaTheme="minorEastAsia" w:cstheme="minorEastAsia"/>
          <w:b/>
          <w:bCs/>
          <w:color w:val="auto"/>
          <w:sz w:val="24"/>
          <w:szCs w:val="24"/>
          <w:highlight w:val="none"/>
          <w:lang w:eastAsia="zh-CN"/>
        </w:rPr>
        <w:t>383128.54</w:t>
      </w:r>
      <w:r>
        <w:rPr>
          <w:rFonts w:hint="eastAsia" w:asciiTheme="minorEastAsia" w:hAnsiTheme="minorEastAsia" w:eastAsiaTheme="minorEastAsia" w:cstheme="minorEastAsia"/>
          <w:b/>
          <w:bCs/>
          <w:color w:val="auto"/>
          <w:sz w:val="24"/>
          <w:szCs w:val="24"/>
          <w:highlight w:val="none"/>
        </w:rPr>
        <w:t>元。</w:t>
      </w:r>
      <w:r>
        <w:rPr>
          <w:rFonts w:hint="eastAsia" w:asciiTheme="minorEastAsia" w:hAnsiTheme="minorEastAsia" w:eastAsiaTheme="minorEastAsia" w:cstheme="minorEastAsia"/>
          <w:bCs/>
          <w:color w:val="auto"/>
          <w:sz w:val="24"/>
          <w:szCs w:val="24"/>
          <w:highlight w:val="none"/>
        </w:rPr>
        <w:t>（具体内容详见第四部分采购内容及要求）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五、</w:t>
      </w:r>
      <w:r>
        <w:rPr>
          <w:rFonts w:hint="eastAsia" w:asciiTheme="minorEastAsia" w:hAnsiTheme="minorEastAsia" w:eastAsiaTheme="minorEastAsia" w:cstheme="minorEastAsia"/>
          <w:b/>
          <w:color w:val="auto"/>
          <w:kern w:val="0"/>
          <w:sz w:val="24"/>
          <w:szCs w:val="24"/>
          <w:highlight w:val="none"/>
        </w:rPr>
        <w:t>供应商资格要求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1、</w:t>
      </w:r>
      <w:r>
        <w:rPr>
          <w:rFonts w:hint="eastAsia" w:asciiTheme="minorEastAsia" w:hAnsiTheme="minorEastAsia" w:eastAsiaTheme="minorEastAsia" w:cstheme="minorEastAsia"/>
          <w:bCs/>
          <w:color w:val="000000"/>
          <w:sz w:val="24"/>
          <w:szCs w:val="24"/>
          <w:highlight w:val="none"/>
        </w:rPr>
        <w:t>具备《政府采购法》第二十二条规定的条件。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（一）具有独立承担民事责任的能力；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（二）具有良好的商业信誉和健全的财务会计制度；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（三）具有履行合同所必需的货物和专业技术能力；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（四）有依法缴纳税收和社会保障资金的良好记录；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rPr>
      </w:pPr>
      <w:r>
        <w:rPr>
          <w:rFonts w:hint="eastAsia" w:asciiTheme="minorEastAsia" w:hAnsiTheme="minorEastAsia" w:eastAsiaTheme="minorEastAsia" w:cstheme="minorEastAsia"/>
          <w:bCs/>
          <w:color w:val="000000"/>
          <w:sz w:val="24"/>
          <w:szCs w:val="24"/>
          <w:highlight w:val="none"/>
        </w:rPr>
        <w:t>2、本次采购要求：</w:t>
      </w:r>
      <w:r>
        <w:rPr>
          <w:rFonts w:hint="eastAsia" w:ascii="宋体" w:hAnsi="宋体" w:cs="宋体"/>
          <w:color w:val="auto"/>
          <w:kern w:val="0"/>
          <w:sz w:val="24"/>
          <w:szCs w:val="24"/>
          <w:highlight w:val="none"/>
        </w:rPr>
        <w:t>供应商须具备</w:t>
      </w:r>
      <w:r>
        <w:rPr>
          <w:rFonts w:hint="eastAsia" w:ascii="宋体" w:hAnsi="宋体" w:cs="宋体"/>
          <w:b/>
          <w:color w:val="auto"/>
          <w:kern w:val="0"/>
          <w:sz w:val="24"/>
          <w:szCs w:val="24"/>
          <w:highlight w:val="none"/>
          <w:u w:val="single"/>
          <w:lang w:val="zh-CN"/>
        </w:rPr>
        <w:t>建筑装修装饰工程专业承包二级及以上资质</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业绩，并在人员、设备、资金等方面具有相应的施工能力,无拖欠农民工工资的不良行为。其中，拟派项目经理须具备</w:t>
      </w:r>
      <w:r>
        <w:rPr>
          <w:rFonts w:hint="eastAsia" w:ascii="宋体" w:hAnsi="宋体" w:cs="宋体"/>
          <w:b/>
          <w:bCs/>
          <w:color w:val="auto"/>
          <w:kern w:val="0"/>
          <w:sz w:val="24"/>
          <w:szCs w:val="24"/>
          <w:highlight w:val="none"/>
          <w:u w:val="single"/>
        </w:rPr>
        <w:t>在</w:t>
      </w:r>
      <w:r>
        <w:rPr>
          <w:rFonts w:hint="eastAsia"/>
          <w:b/>
          <w:color w:val="auto"/>
          <w:sz w:val="24"/>
          <w:szCs w:val="32"/>
          <w:highlight w:val="none"/>
          <w:u w:val="single"/>
        </w:rPr>
        <w:t>本单位注册的建筑工程专业贰级及以上注册建造师执业资格</w:t>
      </w:r>
      <w:r>
        <w:rPr>
          <w:rFonts w:hint="eastAsia" w:ascii="宋体" w:hAnsi="宋体" w:cs="宋体"/>
          <w:color w:val="auto"/>
          <w:kern w:val="0"/>
          <w:sz w:val="24"/>
          <w:szCs w:val="24"/>
          <w:highlight w:val="none"/>
        </w:rPr>
        <w:t>，具</w:t>
      </w:r>
      <w:r>
        <w:rPr>
          <w:rFonts w:hint="eastAsia" w:ascii="宋体" w:hAnsi="宋体" w:cs="宋体"/>
          <w:color w:val="auto"/>
          <w:kern w:val="0"/>
          <w:sz w:val="24"/>
          <w:szCs w:val="24"/>
          <w:highlight w:val="none"/>
          <w:lang w:val="en-US" w:eastAsia="zh-CN"/>
        </w:rPr>
        <w:t>备</w:t>
      </w:r>
      <w:r>
        <w:rPr>
          <w:rFonts w:hint="eastAsia" w:ascii="宋体" w:hAnsi="宋体" w:cs="宋体"/>
          <w:b/>
          <w:bCs/>
          <w:color w:val="auto"/>
          <w:kern w:val="0"/>
          <w:sz w:val="24"/>
          <w:szCs w:val="24"/>
          <w:highlight w:val="none"/>
          <w:u w:val="single"/>
        </w:rPr>
        <w:t>有效的安全生产考核合格证书</w:t>
      </w:r>
      <w:r>
        <w:rPr>
          <w:rFonts w:hint="eastAsia" w:ascii="宋体" w:hAnsi="宋体" w:cs="宋体"/>
          <w:color w:val="auto"/>
          <w:kern w:val="0"/>
          <w:sz w:val="24"/>
          <w:szCs w:val="24"/>
          <w:highlight w:val="none"/>
        </w:rPr>
        <w:t>，且未担任其他在施建设工程项目的项目经理。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3、因建设工地扬尘污染暂扣安全生产许可证的施工单位，不得参与本招标项目的投标;因拖欠农民工工资，计入济宁市诚信黑榜，被限制济宁市内建设工程投标资格的施工单位，不得参与本项目的磋商。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4、本次竞争性磋商不接受联合体。</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六</w:t>
      </w:r>
      <w:r>
        <w:rPr>
          <w:rFonts w:hint="eastAsia" w:asciiTheme="minorEastAsia" w:hAnsiTheme="minorEastAsia" w:eastAsiaTheme="minorEastAsia" w:cstheme="minorEastAsia"/>
          <w:b/>
          <w:color w:val="auto"/>
          <w:kern w:val="0"/>
          <w:sz w:val="24"/>
          <w:szCs w:val="24"/>
          <w:highlight w:val="none"/>
        </w:rPr>
        <w:t>、磋商文件的获取：</w:t>
      </w:r>
    </w:p>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1.磋商文件获取时间：</w:t>
      </w:r>
      <w:r>
        <w:rPr>
          <w:rFonts w:hint="eastAsia" w:asciiTheme="minorEastAsia" w:hAnsiTheme="minorEastAsia" w:eastAsiaTheme="minorEastAsia" w:cstheme="minorEastAsia"/>
          <w:bCs/>
          <w:color w:val="auto"/>
          <w:kern w:val="0"/>
          <w:sz w:val="24"/>
          <w:szCs w:val="24"/>
          <w:highlight w:val="none"/>
          <w:lang w:eastAsia="zh-CN"/>
        </w:rPr>
        <w:t>202</w:t>
      </w:r>
      <w:r>
        <w:rPr>
          <w:rFonts w:hint="eastAsia" w:asciiTheme="minorEastAsia" w:hAnsiTheme="minorEastAsia" w:eastAsiaTheme="minorEastAsia" w:cstheme="minorEastAsia"/>
          <w:bCs/>
          <w:color w:val="auto"/>
          <w:kern w:val="0"/>
          <w:sz w:val="24"/>
          <w:szCs w:val="24"/>
          <w:highlight w:val="none"/>
          <w:lang w:val="en-US" w:eastAsia="zh-CN"/>
        </w:rPr>
        <w:t>4</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7</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18</w:t>
      </w:r>
      <w:r>
        <w:rPr>
          <w:rFonts w:hint="eastAsia" w:asciiTheme="minorEastAsia" w:hAnsiTheme="minorEastAsia" w:eastAsiaTheme="minorEastAsia" w:cstheme="minorEastAsia"/>
          <w:bCs/>
          <w:color w:val="auto"/>
          <w:kern w:val="0"/>
          <w:sz w:val="24"/>
          <w:szCs w:val="24"/>
          <w:highlight w:val="none"/>
        </w:rPr>
        <w:t>日至</w:t>
      </w:r>
      <w:r>
        <w:rPr>
          <w:rFonts w:hint="eastAsia" w:asciiTheme="minorEastAsia" w:hAnsiTheme="minorEastAsia" w:eastAsiaTheme="minorEastAsia" w:cstheme="minorEastAsia"/>
          <w:bCs/>
          <w:color w:val="auto"/>
          <w:kern w:val="0"/>
          <w:sz w:val="24"/>
          <w:szCs w:val="24"/>
          <w:highlight w:val="none"/>
          <w:lang w:eastAsia="zh-CN"/>
        </w:rPr>
        <w:t>202</w:t>
      </w:r>
      <w:r>
        <w:rPr>
          <w:rFonts w:hint="eastAsia" w:asciiTheme="minorEastAsia" w:hAnsiTheme="minorEastAsia" w:eastAsiaTheme="minorEastAsia" w:cstheme="minorEastAsia"/>
          <w:bCs/>
          <w:color w:val="auto"/>
          <w:kern w:val="0"/>
          <w:sz w:val="24"/>
          <w:szCs w:val="24"/>
          <w:highlight w:val="none"/>
          <w:lang w:val="en-US" w:eastAsia="zh-CN"/>
        </w:rPr>
        <w:t>4</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07</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29</w:t>
      </w:r>
      <w:r>
        <w:rPr>
          <w:rFonts w:hint="eastAsia" w:asciiTheme="minorEastAsia" w:hAnsiTheme="minorEastAsia" w:eastAsiaTheme="minorEastAsia" w:cstheme="minorEastAsia"/>
          <w:bCs/>
          <w:color w:val="auto"/>
          <w:kern w:val="0"/>
          <w:sz w:val="24"/>
          <w:szCs w:val="24"/>
          <w:highlight w:val="none"/>
        </w:rPr>
        <w:t>日（北京时间）</w:t>
      </w:r>
    </w:p>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4"/>
          <w:szCs w:val="24"/>
          <w:highlight w:val="none"/>
          <w:lang w:val="en-US" w:eastAsia="zh-CN"/>
        </w:rPr>
        <w:t>乡镇采购</w:t>
      </w:r>
      <w:r>
        <w:rPr>
          <w:rFonts w:hint="eastAsia" w:asciiTheme="minorEastAsia" w:hAnsiTheme="minorEastAsia" w:eastAsiaTheme="minorEastAsia" w:cstheme="minorEastAsia"/>
          <w:bCs/>
          <w:color w:val="auto"/>
          <w:kern w:val="0"/>
          <w:sz w:val="24"/>
          <w:szCs w:val="24"/>
          <w:highlight w:val="none"/>
        </w:rPr>
        <w:t>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七</w:t>
      </w:r>
      <w:r>
        <w:rPr>
          <w:rFonts w:hint="eastAsia" w:asciiTheme="minorEastAsia" w:hAnsiTheme="minorEastAsia" w:eastAsiaTheme="minorEastAsia" w:cstheme="minorEastAsia"/>
          <w:b/>
          <w:color w:val="auto"/>
          <w:kern w:val="0"/>
          <w:sz w:val="24"/>
          <w:szCs w:val="24"/>
          <w:highlight w:val="none"/>
        </w:rPr>
        <w:t>、磋商响应文件的递交时间及地点：</w:t>
      </w:r>
    </w:p>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邹城市唐村镇人民政府</w:t>
      </w:r>
      <w:r>
        <w:rPr>
          <w:rFonts w:hint="eastAsia" w:asciiTheme="minorEastAsia" w:hAnsiTheme="minorEastAsia" w:eastAsiaTheme="minorEastAsia" w:cstheme="minorEastAsia"/>
          <w:bCs/>
          <w:color w:val="auto"/>
          <w:kern w:val="0"/>
          <w:sz w:val="24"/>
          <w:szCs w:val="24"/>
          <w:highlight w:val="none"/>
        </w:rPr>
        <w:t>于</w:t>
      </w:r>
      <w:r>
        <w:rPr>
          <w:rFonts w:hint="eastAsia" w:asciiTheme="minorEastAsia" w:hAnsiTheme="minorEastAsia" w:eastAsiaTheme="minorEastAsia" w:cstheme="minorEastAsia"/>
          <w:bCs/>
          <w:color w:val="auto"/>
          <w:kern w:val="0"/>
          <w:sz w:val="24"/>
          <w:szCs w:val="24"/>
          <w:highlight w:val="none"/>
          <w:lang w:eastAsia="zh-CN"/>
        </w:rPr>
        <w:t>202</w:t>
      </w:r>
      <w:r>
        <w:rPr>
          <w:rFonts w:hint="eastAsia" w:asciiTheme="minorEastAsia" w:hAnsiTheme="minorEastAsia" w:eastAsiaTheme="minorEastAsia" w:cstheme="minorEastAsia"/>
          <w:bCs/>
          <w:color w:val="auto"/>
          <w:kern w:val="0"/>
          <w:sz w:val="24"/>
          <w:szCs w:val="24"/>
          <w:highlight w:val="none"/>
          <w:lang w:val="en-US" w:eastAsia="zh-CN"/>
        </w:rPr>
        <w:t>4</w:t>
      </w:r>
      <w:r>
        <w:rPr>
          <w:rFonts w:hint="eastAsia" w:asciiTheme="minorEastAsia" w:hAnsiTheme="minorEastAsia" w:eastAsiaTheme="minorEastAsia" w:cstheme="minorEastAsia"/>
          <w:bCs/>
          <w:color w:val="auto"/>
          <w:kern w:val="0"/>
          <w:sz w:val="24"/>
          <w:szCs w:val="24"/>
          <w:highlight w:val="none"/>
          <w:lang w:eastAsia="zh-CN"/>
        </w:rPr>
        <w:t>年</w:t>
      </w:r>
      <w:r>
        <w:rPr>
          <w:rFonts w:hint="eastAsia" w:asciiTheme="minorEastAsia" w:hAnsiTheme="minorEastAsia" w:eastAsiaTheme="minorEastAsia" w:cstheme="minorEastAsia"/>
          <w:bCs/>
          <w:color w:val="auto"/>
          <w:kern w:val="0"/>
          <w:sz w:val="24"/>
          <w:szCs w:val="24"/>
          <w:highlight w:val="none"/>
          <w:lang w:val="en-US" w:eastAsia="zh-CN"/>
        </w:rPr>
        <w:t>07</w:t>
      </w:r>
      <w:r>
        <w:rPr>
          <w:rFonts w:hint="eastAsia" w:asciiTheme="minorEastAsia" w:hAnsiTheme="minorEastAsia" w:eastAsiaTheme="minorEastAsia" w:cstheme="minorEastAsia"/>
          <w:bCs/>
          <w:color w:val="auto"/>
          <w:kern w:val="0"/>
          <w:sz w:val="24"/>
          <w:szCs w:val="24"/>
          <w:highlight w:val="none"/>
          <w:lang w:eastAsia="zh-CN"/>
        </w:rPr>
        <w:t>月</w:t>
      </w:r>
      <w:r>
        <w:rPr>
          <w:rFonts w:hint="eastAsia" w:asciiTheme="minorEastAsia" w:hAnsiTheme="minorEastAsia" w:eastAsiaTheme="minorEastAsia" w:cstheme="minorEastAsia"/>
          <w:bCs/>
          <w:color w:val="auto"/>
          <w:kern w:val="0"/>
          <w:sz w:val="24"/>
          <w:szCs w:val="24"/>
          <w:highlight w:val="none"/>
          <w:lang w:val="en-US" w:eastAsia="zh-CN"/>
        </w:rPr>
        <w:t>29</w:t>
      </w:r>
      <w:r>
        <w:rPr>
          <w:rFonts w:hint="eastAsia" w:asciiTheme="minorEastAsia" w:hAnsiTheme="minorEastAsia" w:eastAsiaTheme="minorEastAsia" w:cstheme="minorEastAsia"/>
          <w:bCs/>
          <w:color w:val="auto"/>
          <w:kern w:val="0"/>
          <w:sz w:val="24"/>
          <w:szCs w:val="24"/>
          <w:highlight w:val="none"/>
          <w:lang w:eastAsia="zh-CN"/>
        </w:rPr>
        <w:t>日</w:t>
      </w:r>
      <w:r>
        <w:rPr>
          <w:rFonts w:hint="eastAsia" w:asciiTheme="minorEastAsia" w:hAnsiTheme="minorEastAsia" w:eastAsiaTheme="minorEastAsia" w:cstheme="minorEastAsia"/>
          <w:bCs/>
          <w:color w:val="auto"/>
          <w:kern w:val="0"/>
          <w:sz w:val="24"/>
          <w:szCs w:val="24"/>
          <w:highlight w:val="none"/>
          <w:lang w:val="en-US" w:eastAsia="zh-CN"/>
        </w:rPr>
        <w:t>9</w:t>
      </w:r>
      <w:r>
        <w:rPr>
          <w:rFonts w:hint="eastAsia" w:asciiTheme="minorEastAsia" w:hAnsiTheme="minorEastAsia" w:eastAsiaTheme="minorEastAsia" w:cstheme="minorEastAsia"/>
          <w:bCs/>
          <w:color w:val="auto"/>
          <w:kern w:val="0"/>
          <w:sz w:val="24"/>
          <w:szCs w:val="24"/>
          <w:highlight w:val="none"/>
          <w:lang w:eastAsia="zh-CN"/>
        </w:rPr>
        <w:t>时</w:t>
      </w:r>
      <w:r>
        <w:rPr>
          <w:rFonts w:hint="eastAsia" w:asciiTheme="minorEastAsia" w:hAnsiTheme="minorEastAsia" w:eastAsiaTheme="minorEastAsia" w:cstheme="minorEastAsia"/>
          <w:bCs/>
          <w:color w:val="auto"/>
          <w:kern w:val="0"/>
          <w:sz w:val="24"/>
          <w:szCs w:val="24"/>
          <w:highlight w:val="none"/>
          <w:lang w:val="en-US" w:eastAsia="zh-CN"/>
        </w:rPr>
        <w:t>30</w:t>
      </w:r>
      <w:r>
        <w:rPr>
          <w:rFonts w:hint="eastAsia" w:asciiTheme="minorEastAsia" w:hAnsiTheme="minorEastAsia" w:eastAsiaTheme="minorEastAsia" w:cstheme="minorEastAsia"/>
          <w:bCs/>
          <w:color w:val="auto"/>
          <w:kern w:val="0"/>
          <w:sz w:val="24"/>
          <w:szCs w:val="24"/>
          <w:highlight w:val="none"/>
          <w:lang w:eastAsia="zh-CN"/>
        </w:rPr>
        <w:t>分</w:t>
      </w:r>
      <w:r>
        <w:rPr>
          <w:rFonts w:hint="eastAsia" w:asciiTheme="minorEastAsia" w:hAnsiTheme="minorEastAsia" w:eastAsiaTheme="minorEastAsia" w:cstheme="minorEastAsia"/>
          <w:bCs/>
          <w:color w:val="auto"/>
          <w:kern w:val="0"/>
          <w:sz w:val="24"/>
          <w:szCs w:val="24"/>
          <w:highlight w:val="none"/>
        </w:rPr>
        <w:t>（北京时间）磋商开始前在</w:t>
      </w:r>
      <w:r>
        <w:rPr>
          <w:rFonts w:hint="eastAsia" w:asciiTheme="minorEastAsia" w:hAnsiTheme="minorEastAsia" w:eastAsiaTheme="minorEastAsia" w:cstheme="minorEastAsia"/>
          <w:bCs/>
          <w:color w:val="auto"/>
          <w:kern w:val="0"/>
          <w:sz w:val="24"/>
          <w:szCs w:val="24"/>
          <w:highlight w:val="none"/>
          <w:lang w:eastAsia="zh-CN"/>
        </w:rPr>
        <w:t>邹城市唐村镇公共资源交易中心开标室</w:t>
      </w:r>
      <w:r>
        <w:rPr>
          <w:rFonts w:hint="eastAsia" w:asciiTheme="minorEastAsia" w:hAnsiTheme="minorEastAsia" w:eastAsiaTheme="minorEastAsia" w:cstheme="minorEastAsia"/>
          <w:bCs/>
          <w:color w:val="auto"/>
          <w:kern w:val="0"/>
          <w:sz w:val="24"/>
          <w:szCs w:val="24"/>
          <w:highlight w:val="none"/>
        </w:rPr>
        <w:t>受理供应商磋商响应文件的递交；</w:t>
      </w:r>
    </w:p>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2、逾期送达或未送达指定地点的磋商响应文件，采购人不予受理。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、磋商（开启）时间及地点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1.时间：</w:t>
      </w:r>
      <w:r>
        <w:rPr>
          <w:rFonts w:hint="eastAsia" w:asciiTheme="minorEastAsia" w:hAnsiTheme="minorEastAsia" w:eastAsiaTheme="minorEastAsia" w:cstheme="minorEastAsia"/>
          <w:bCs/>
          <w:color w:val="auto"/>
          <w:kern w:val="0"/>
          <w:sz w:val="24"/>
          <w:szCs w:val="24"/>
          <w:highlight w:val="none"/>
          <w:lang w:eastAsia="zh-CN"/>
        </w:rPr>
        <w:t>202</w:t>
      </w:r>
      <w:r>
        <w:rPr>
          <w:rFonts w:hint="eastAsia" w:asciiTheme="minorEastAsia" w:hAnsiTheme="minorEastAsia" w:eastAsiaTheme="minorEastAsia" w:cstheme="minorEastAsia"/>
          <w:bCs/>
          <w:color w:val="auto"/>
          <w:kern w:val="0"/>
          <w:sz w:val="24"/>
          <w:szCs w:val="24"/>
          <w:highlight w:val="none"/>
          <w:lang w:val="en-US" w:eastAsia="zh-CN"/>
        </w:rPr>
        <w:t>4</w:t>
      </w:r>
      <w:r>
        <w:rPr>
          <w:rFonts w:hint="eastAsia" w:asciiTheme="minorEastAsia" w:hAnsiTheme="minorEastAsia" w:eastAsiaTheme="minorEastAsia" w:cstheme="minorEastAsia"/>
          <w:bCs/>
          <w:color w:val="auto"/>
          <w:kern w:val="0"/>
          <w:sz w:val="24"/>
          <w:szCs w:val="24"/>
          <w:highlight w:val="none"/>
          <w:lang w:eastAsia="zh-CN"/>
        </w:rPr>
        <w:t>年</w:t>
      </w:r>
      <w:r>
        <w:rPr>
          <w:rFonts w:hint="eastAsia" w:asciiTheme="minorEastAsia" w:hAnsiTheme="minorEastAsia" w:eastAsiaTheme="minorEastAsia" w:cstheme="minorEastAsia"/>
          <w:bCs/>
          <w:color w:val="auto"/>
          <w:kern w:val="0"/>
          <w:sz w:val="24"/>
          <w:szCs w:val="24"/>
          <w:highlight w:val="none"/>
          <w:lang w:val="en-US" w:eastAsia="zh-CN"/>
        </w:rPr>
        <w:t>07</w:t>
      </w:r>
      <w:r>
        <w:rPr>
          <w:rFonts w:hint="eastAsia" w:asciiTheme="minorEastAsia" w:hAnsiTheme="minorEastAsia" w:eastAsiaTheme="minorEastAsia" w:cstheme="minorEastAsia"/>
          <w:bCs/>
          <w:color w:val="auto"/>
          <w:kern w:val="0"/>
          <w:sz w:val="24"/>
          <w:szCs w:val="24"/>
          <w:highlight w:val="none"/>
          <w:lang w:eastAsia="zh-CN"/>
        </w:rPr>
        <w:t>月</w:t>
      </w:r>
      <w:r>
        <w:rPr>
          <w:rFonts w:hint="eastAsia" w:asciiTheme="minorEastAsia" w:hAnsiTheme="minorEastAsia" w:eastAsiaTheme="minorEastAsia" w:cstheme="minorEastAsia"/>
          <w:bCs/>
          <w:color w:val="auto"/>
          <w:kern w:val="0"/>
          <w:sz w:val="24"/>
          <w:szCs w:val="24"/>
          <w:highlight w:val="none"/>
          <w:lang w:val="en-US" w:eastAsia="zh-CN"/>
        </w:rPr>
        <w:t>29</w:t>
      </w:r>
      <w:r>
        <w:rPr>
          <w:rFonts w:hint="eastAsia" w:asciiTheme="minorEastAsia" w:hAnsiTheme="minorEastAsia" w:eastAsiaTheme="minorEastAsia" w:cstheme="minorEastAsia"/>
          <w:bCs/>
          <w:color w:val="auto"/>
          <w:kern w:val="0"/>
          <w:sz w:val="24"/>
          <w:szCs w:val="24"/>
          <w:highlight w:val="none"/>
          <w:lang w:eastAsia="zh-CN"/>
        </w:rPr>
        <w:t>日</w:t>
      </w:r>
      <w:r>
        <w:rPr>
          <w:rFonts w:hint="eastAsia" w:asciiTheme="minorEastAsia" w:hAnsiTheme="minorEastAsia" w:eastAsiaTheme="minorEastAsia" w:cstheme="minorEastAsia"/>
          <w:bCs/>
          <w:color w:val="auto"/>
          <w:kern w:val="0"/>
          <w:sz w:val="24"/>
          <w:szCs w:val="24"/>
          <w:highlight w:val="none"/>
          <w:lang w:val="en-US" w:eastAsia="zh-CN"/>
        </w:rPr>
        <w:t>9</w:t>
      </w:r>
      <w:r>
        <w:rPr>
          <w:rFonts w:hint="eastAsia" w:asciiTheme="minorEastAsia" w:hAnsiTheme="minorEastAsia" w:eastAsiaTheme="minorEastAsia" w:cstheme="minorEastAsia"/>
          <w:bCs/>
          <w:color w:val="auto"/>
          <w:kern w:val="0"/>
          <w:sz w:val="24"/>
          <w:szCs w:val="24"/>
          <w:highlight w:val="none"/>
          <w:lang w:eastAsia="zh-CN"/>
        </w:rPr>
        <w:t>时</w:t>
      </w:r>
      <w:r>
        <w:rPr>
          <w:rFonts w:hint="eastAsia" w:asciiTheme="minorEastAsia" w:hAnsiTheme="minorEastAsia" w:eastAsiaTheme="minorEastAsia" w:cstheme="minorEastAsia"/>
          <w:bCs/>
          <w:color w:val="auto"/>
          <w:kern w:val="0"/>
          <w:sz w:val="24"/>
          <w:szCs w:val="24"/>
          <w:highlight w:val="none"/>
          <w:lang w:val="en-US" w:eastAsia="zh-CN"/>
        </w:rPr>
        <w:t>30</w:t>
      </w:r>
      <w:r>
        <w:rPr>
          <w:rFonts w:hint="eastAsia" w:asciiTheme="minorEastAsia" w:hAnsiTheme="minorEastAsia" w:eastAsiaTheme="minorEastAsia" w:cstheme="minorEastAsia"/>
          <w:bCs/>
          <w:color w:val="auto"/>
          <w:kern w:val="0"/>
          <w:sz w:val="24"/>
          <w:szCs w:val="24"/>
          <w:highlight w:val="none"/>
          <w:lang w:eastAsia="zh-CN"/>
        </w:rPr>
        <w:t>分</w:t>
      </w:r>
      <w:r>
        <w:rPr>
          <w:rFonts w:hint="eastAsia" w:asciiTheme="minorEastAsia" w:hAnsiTheme="minorEastAsia" w:eastAsiaTheme="minorEastAsia" w:cstheme="minorEastAsia"/>
          <w:bCs/>
          <w:color w:val="auto"/>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2.地点：</w:t>
      </w:r>
      <w:r>
        <w:rPr>
          <w:rFonts w:hint="eastAsia" w:asciiTheme="minorEastAsia" w:hAnsiTheme="minorEastAsia" w:eastAsiaTheme="minorEastAsia" w:cstheme="minorEastAsia"/>
          <w:bCs/>
          <w:color w:val="auto"/>
          <w:kern w:val="0"/>
          <w:sz w:val="24"/>
          <w:szCs w:val="24"/>
          <w:highlight w:val="none"/>
          <w:lang w:eastAsia="zh-CN"/>
        </w:rPr>
        <w:t>邹城市唐村镇公共资源交易中心开标室</w:t>
      </w:r>
      <w:r>
        <w:rPr>
          <w:rFonts w:hint="eastAsia" w:asciiTheme="minorEastAsia" w:hAnsiTheme="minorEastAsia" w:eastAsiaTheme="minorEastAsia" w:cstheme="minorEastAsia"/>
          <w:bCs/>
          <w:color w:val="auto"/>
          <w:sz w:val="24"/>
          <w:szCs w:val="24"/>
          <w:highlight w:val="none"/>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、联系方式</w:t>
      </w:r>
      <w:r>
        <w:rPr>
          <w:rFonts w:hint="eastAsia" w:asciiTheme="minorEastAsia" w:hAnsiTheme="minorEastAsia" w:eastAsiaTheme="minorEastAsia" w:cstheme="minorEastAsia"/>
          <w:b/>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采 购 人：</w:t>
      </w:r>
      <w:r>
        <w:rPr>
          <w:rFonts w:hint="eastAsia" w:asciiTheme="minorEastAsia" w:hAnsiTheme="minorEastAsia" w:eastAsiaTheme="minorEastAsia" w:cstheme="minorEastAsia"/>
          <w:bCs/>
          <w:color w:val="auto"/>
          <w:sz w:val="24"/>
          <w:szCs w:val="24"/>
          <w:highlight w:val="none"/>
          <w:lang w:eastAsia="zh-CN"/>
        </w:rPr>
        <w:t>邹城市唐村镇人民政府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址：邹城市</w:t>
      </w:r>
      <w:r>
        <w:rPr>
          <w:rFonts w:hint="eastAsia" w:asciiTheme="minorEastAsia" w:hAnsiTheme="minorEastAsia" w:eastAsiaTheme="minorEastAsia" w:cstheme="minorEastAsia"/>
          <w:bCs/>
          <w:color w:val="auto"/>
          <w:sz w:val="24"/>
          <w:szCs w:val="24"/>
          <w:highlight w:val="none"/>
          <w:lang w:eastAsia="zh-CN"/>
        </w:rPr>
        <w:t>唐村镇</w:t>
      </w:r>
      <w:r>
        <w:rPr>
          <w:rFonts w:hint="eastAsia" w:asciiTheme="minorEastAsia" w:hAnsiTheme="minorEastAsia" w:eastAsiaTheme="minorEastAsia" w:cstheme="minorEastAsia"/>
          <w:bCs/>
          <w:color w:val="auto"/>
          <w:sz w:val="24"/>
          <w:szCs w:val="24"/>
          <w:highlight w:val="none"/>
          <w:lang w:val="en-US" w:eastAsia="zh-CN"/>
        </w:rPr>
        <w:t>驻地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val="en-US" w:eastAsia="zh-CN"/>
        </w:rPr>
        <w:t>唐主任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0537-5470050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代理机构：</w:t>
      </w:r>
      <w:r>
        <w:rPr>
          <w:rFonts w:hint="eastAsia" w:asciiTheme="minorEastAsia" w:hAnsiTheme="minorEastAsia" w:eastAsiaTheme="minorEastAsia" w:cstheme="minorEastAsia"/>
          <w:bCs/>
          <w:color w:val="auto"/>
          <w:sz w:val="24"/>
          <w:szCs w:val="24"/>
          <w:highlight w:val="none"/>
          <w:lang w:eastAsia="zh-CN"/>
        </w:rPr>
        <w:t>山东铭宸工程项目管理咨询有限公司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w:t>
      </w:r>
      <w:r>
        <w:rPr>
          <w:rStyle w:val="21"/>
          <w:rFonts w:hint="eastAsia" w:ascii="宋体" w:hAnsi="宋体" w:eastAsia="宋体" w:cs="宋体"/>
          <w:kern w:val="0"/>
          <w:sz w:val="24"/>
          <w:highlight w:val="none"/>
        </w:rPr>
        <w:t>邹城市西外环世纪花苑门头房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陈经理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18369775526</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电子邮箱：</w:t>
      </w:r>
      <w:r>
        <w:rPr>
          <w:rFonts w:hint="eastAsia" w:asciiTheme="minorEastAsia" w:hAnsiTheme="minorEastAsia" w:eastAsiaTheme="minorEastAsia" w:cstheme="minorEastAsia"/>
          <w:bCs/>
          <w:color w:val="auto"/>
          <w:sz w:val="24"/>
          <w:szCs w:val="24"/>
          <w:highlight w:val="none"/>
          <w:lang w:val="en-US" w:eastAsia="zh-CN"/>
        </w:rPr>
        <w:t>sdmczxgs@163.com</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、重要说明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施工期间的地方关系协调由成交单位自行处理。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发布人：</w:t>
      </w:r>
      <w:r>
        <w:rPr>
          <w:rFonts w:hint="eastAsia" w:asciiTheme="minorEastAsia" w:hAnsiTheme="minorEastAsia" w:eastAsiaTheme="minorEastAsia" w:cstheme="minorEastAsia"/>
          <w:bCs/>
          <w:color w:val="auto"/>
          <w:sz w:val="24"/>
          <w:szCs w:val="24"/>
          <w:highlight w:val="none"/>
          <w:lang w:eastAsia="zh-CN"/>
        </w:rPr>
        <w:t>邹城市唐村镇人民政府</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山东铭宸工程项目管理咨询有限公司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rPr>
        <w:sectPr>
          <w:footerReference r:id="rId8" w:type="default"/>
          <w:pgSz w:w="11906" w:h="16838"/>
          <w:pgMar w:top="1417" w:right="1417" w:bottom="1417" w:left="1417"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4"/>
          <w:szCs w:val="24"/>
          <w:highlight w:val="none"/>
          <w:lang w:eastAsia="zh-CN"/>
        </w:rPr>
        <w:t>202</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07</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18</w:t>
      </w:r>
      <w:r>
        <w:rPr>
          <w:rFonts w:hint="eastAsia" w:asciiTheme="minorEastAsia" w:hAnsiTheme="minorEastAsia" w:eastAsiaTheme="minorEastAsia" w:cstheme="minorEastAsia"/>
          <w:bCs/>
          <w:color w:val="auto"/>
          <w:sz w:val="24"/>
          <w:szCs w:val="24"/>
          <w:highlight w:val="none"/>
        </w:rPr>
        <w:t>日</w:t>
      </w:r>
    </w:p>
    <w:bookmarkEnd w:id="2"/>
    <w:p>
      <w:pPr>
        <w:widowControl/>
        <w:numPr>
          <w:ilvl w:val="0"/>
          <w:numId w:val="2"/>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邹城市唐村镇党建综合阵地建设项目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SDMC-TC2024-005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唐村镇</w:t>
            </w:r>
            <w:r>
              <w:rPr>
                <w:rFonts w:hint="eastAsia" w:asciiTheme="minorEastAsia" w:hAnsiTheme="minorEastAsia" w:eastAsiaTheme="minorEastAsia" w:cstheme="minorEastAsia"/>
                <w:color w:val="auto"/>
                <w:szCs w:val="21"/>
                <w:highlight w:val="none"/>
                <w:lang w:val="en-US" w:eastAsia="zh-CN"/>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4"/>
              <w:spacing w:line="4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本项目无预付款，工程竣工并验收合格后付至审计价款的80%，经审计完成后付至审定价的97%，剩余部分缺陷责任期满无质量问题一次性无息付清。工程最终结算造价以结算审核后造价为准。</w:t>
            </w:r>
          </w:p>
          <w:p>
            <w:pPr>
              <w:tabs>
                <w:tab w:val="left" w:pos="315"/>
              </w:tabs>
              <w:spacing w:line="360" w:lineRule="auto"/>
              <w:ind w:firstLine="420" w:firstLineChars="20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2"/>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邹城市唐村镇公共资源交易中心开标室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29</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29</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邹城市唐村镇公共资源交易中心开标室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7660.00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val="en-US" w:eastAsia="zh-CN"/>
              </w:rPr>
              <w:t>.委托成交供应商支付，</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、本次采购</w:t>
            </w:r>
            <w:r>
              <w:rPr>
                <w:rFonts w:hint="eastAsia" w:asciiTheme="minorEastAsia" w:hAnsiTheme="minorEastAsia" w:eastAsiaTheme="minorEastAsia" w:cstheme="minorEastAsia"/>
                <w:color w:val="auto"/>
                <w:szCs w:val="21"/>
                <w:highlight w:val="none"/>
                <w:lang w:val="en-US" w:eastAsia="zh-CN"/>
              </w:rPr>
              <w:t>评审费（代收）</w:t>
            </w:r>
            <w:r>
              <w:rPr>
                <w:rFonts w:hint="eastAsia" w:asciiTheme="minorEastAsia" w:hAnsiTheme="minorEastAsia" w:eastAsiaTheme="minorEastAsia" w:cstheme="minorEastAsia"/>
                <w:color w:val="auto"/>
                <w:szCs w:val="21"/>
                <w:highlight w:val="none"/>
                <w:lang w:eastAsia="zh-CN"/>
              </w:rPr>
              <w:t>委托</w:t>
            </w:r>
            <w:r>
              <w:rPr>
                <w:rFonts w:hint="eastAsia" w:asciiTheme="minorEastAsia" w:hAnsiTheme="minorEastAsia" w:eastAsiaTheme="minorEastAsia" w:cstheme="minorEastAsia"/>
                <w:color w:val="auto"/>
                <w:szCs w:val="21"/>
                <w:highlight w:val="none"/>
              </w:rPr>
              <w:t>成交供应商支付， 共计人民币</w:t>
            </w:r>
            <w:r>
              <w:rPr>
                <w:rFonts w:hint="eastAsia" w:asciiTheme="minorEastAsia" w:hAnsiTheme="minorEastAsia" w:eastAsiaTheme="minorEastAsia" w:cstheme="minorEastAsia"/>
                <w:color w:val="auto"/>
                <w:szCs w:val="21"/>
                <w:highlight w:val="none"/>
                <w:lang w:val="en-US" w:eastAsia="zh-CN"/>
              </w:rPr>
              <w:t>1240</w:t>
            </w:r>
            <w:r>
              <w:rPr>
                <w:rFonts w:hint="eastAsia" w:asciiTheme="minorEastAsia" w:hAnsiTheme="minorEastAsia" w:eastAsiaTheme="minorEastAsia" w:cstheme="minorEastAsia"/>
                <w:color w:val="auto"/>
                <w:szCs w:val="21"/>
                <w:highlight w:val="none"/>
              </w:rPr>
              <w:t>.00元，由</w:t>
            </w:r>
            <w:r>
              <w:rPr>
                <w:rFonts w:hint="eastAsia" w:asciiTheme="minorEastAsia" w:hAnsiTheme="minorEastAsia" w:eastAsiaTheme="minorEastAsia" w:cstheme="minorEastAsia"/>
                <w:color w:val="auto"/>
                <w:szCs w:val="21"/>
                <w:highlight w:val="none"/>
                <w:lang w:eastAsia="zh-CN"/>
              </w:rPr>
              <w:t>成交供应商</w:t>
            </w:r>
            <w:r>
              <w:rPr>
                <w:rFonts w:hint="eastAsia" w:asciiTheme="minorEastAsia" w:hAnsiTheme="minorEastAsia" w:eastAsiaTheme="minorEastAsia" w:cstheme="minorEastAsia"/>
                <w:color w:val="auto"/>
                <w:szCs w:val="21"/>
                <w:highlight w:val="none"/>
              </w:rPr>
              <w:t>支付，在成交通知书发出前交至代理机构。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383128.54</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sdmczxgs@163.com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邹城市唐村镇人民政府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山东铭宸工程项目管理咨询有限公司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（六）法律、行政法规规定的其他条件。</w:t>
      </w:r>
    </w:p>
    <w:p>
      <w:pPr>
        <w:spacing w:line="440" w:lineRule="exact"/>
        <w:ind w:firstLine="420" w:firstLineChars="200"/>
        <w:rPr>
          <w:rFonts w:hint="eastAsia" w:ascii="宋体" w:hAnsi="宋体" w:cs="宋体"/>
          <w:color w:val="auto"/>
          <w:kern w:val="0"/>
          <w:sz w:val="24"/>
          <w:szCs w:val="24"/>
          <w:highlight w:val="none"/>
        </w:rPr>
      </w:pPr>
      <w:r>
        <w:rPr>
          <w:rFonts w:hint="eastAsia" w:asciiTheme="minorEastAsia" w:hAnsiTheme="minorEastAsia" w:eastAsiaTheme="minorEastAsia" w:cstheme="minorEastAsia"/>
          <w:bCs/>
          <w:color w:val="000000"/>
          <w:szCs w:val="21"/>
          <w:highlight w:val="none"/>
        </w:rPr>
        <w:t>2、本次采购要求：</w:t>
      </w:r>
      <w:r>
        <w:rPr>
          <w:rFonts w:hint="eastAsia" w:ascii="宋体" w:hAnsi="宋体" w:cs="宋体"/>
          <w:color w:val="auto"/>
          <w:kern w:val="0"/>
          <w:sz w:val="24"/>
          <w:szCs w:val="24"/>
          <w:highlight w:val="none"/>
        </w:rPr>
        <w:t>供应商须具备</w:t>
      </w:r>
      <w:r>
        <w:rPr>
          <w:rFonts w:hint="eastAsia" w:ascii="宋体" w:hAnsi="宋体" w:cs="宋体"/>
          <w:b/>
          <w:color w:val="auto"/>
          <w:kern w:val="0"/>
          <w:sz w:val="24"/>
          <w:szCs w:val="24"/>
          <w:highlight w:val="none"/>
          <w:u w:val="single"/>
          <w:lang w:val="zh-CN"/>
        </w:rPr>
        <w:t>建筑装修装饰工程专业承包二级及以上资质</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业绩，并在人员、设备、资金等方面具有相应的施工能力,无拖欠农民工工资的不良行为。其中，拟派项目经理须具备</w:t>
      </w:r>
      <w:r>
        <w:rPr>
          <w:rFonts w:hint="eastAsia" w:ascii="宋体" w:hAnsi="宋体" w:cs="宋体"/>
          <w:b/>
          <w:bCs/>
          <w:color w:val="auto"/>
          <w:kern w:val="0"/>
          <w:sz w:val="24"/>
          <w:szCs w:val="24"/>
          <w:highlight w:val="none"/>
          <w:u w:val="single"/>
        </w:rPr>
        <w:t>在</w:t>
      </w:r>
      <w:r>
        <w:rPr>
          <w:rFonts w:hint="eastAsia"/>
          <w:b/>
          <w:color w:val="auto"/>
          <w:sz w:val="24"/>
          <w:szCs w:val="32"/>
          <w:highlight w:val="none"/>
          <w:u w:val="single"/>
        </w:rPr>
        <w:t>本单位注册的建筑工程专业贰级及以上注册建造师执业资格</w:t>
      </w:r>
      <w:r>
        <w:rPr>
          <w:rFonts w:hint="eastAsia" w:ascii="宋体" w:hAnsi="宋体" w:cs="宋体"/>
          <w:color w:val="auto"/>
          <w:kern w:val="0"/>
          <w:sz w:val="24"/>
          <w:szCs w:val="24"/>
          <w:highlight w:val="none"/>
        </w:rPr>
        <w:t>，具</w:t>
      </w:r>
      <w:r>
        <w:rPr>
          <w:rFonts w:hint="eastAsia" w:ascii="宋体" w:hAnsi="宋体" w:cs="宋体"/>
          <w:color w:val="auto"/>
          <w:kern w:val="0"/>
          <w:sz w:val="24"/>
          <w:szCs w:val="24"/>
          <w:highlight w:val="none"/>
          <w:lang w:val="en-US" w:eastAsia="zh-CN"/>
        </w:rPr>
        <w:t>备</w:t>
      </w:r>
      <w:r>
        <w:rPr>
          <w:rFonts w:hint="eastAsia" w:ascii="宋体" w:hAnsi="宋体" w:cs="宋体"/>
          <w:b/>
          <w:bCs/>
          <w:color w:val="auto"/>
          <w:kern w:val="0"/>
          <w:sz w:val="24"/>
          <w:szCs w:val="24"/>
          <w:highlight w:val="none"/>
          <w:u w:val="single"/>
        </w:rPr>
        <w:t>有效的安全生产考核合格证书</w:t>
      </w:r>
      <w:r>
        <w:rPr>
          <w:rFonts w:hint="eastAsia" w:ascii="宋体" w:hAnsi="宋体" w:cs="宋体"/>
          <w:color w:val="auto"/>
          <w:kern w:val="0"/>
          <w:sz w:val="24"/>
          <w:szCs w:val="24"/>
          <w:highlight w:val="none"/>
        </w:rPr>
        <w:t>，且未担任其他在施建设工程项目的项目经理。</w:t>
      </w:r>
    </w:p>
    <w:p>
      <w:pPr>
        <w:spacing w:line="440" w:lineRule="exact"/>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highlight w:val="none"/>
        </w:rPr>
      </w:pPr>
      <w:r>
        <w:rPr>
          <w:rFonts w:hint="eastAsia" w:asciiTheme="minorEastAsia" w:hAnsiTheme="minorEastAsia" w:eastAsiaTheme="minorEastAsia" w:cstheme="minorEastAsia"/>
          <w:bCs/>
          <w:color w:val="000000"/>
          <w:szCs w:val="21"/>
          <w:highlight w:val="none"/>
          <w:lang w:val="en-US" w:eastAsia="zh-CN"/>
        </w:rPr>
        <w:t>4</w:t>
      </w:r>
      <w:r>
        <w:rPr>
          <w:rFonts w:hint="eastAsia" w:asciiTheme="minorEastAsia" w:hAnsiTheme="minorEastAsia" w:eastAsiaTheme="minorEastAsia" w:cstheme="minorEastAsia"/>
          <w:bCs/>
          <w:color w:val="000000"/>
          <w:szCs w:val="21"/>
          <w:highlight w:val="none"/>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lang w:val="en-US" w:eastAsia="zh-CN"/>
        </w:rPr>
        <w:t>5</w:t>
      </w:r>
      <w:r>
        <w:rPr>
          <w:rFonts w:hint="eastAsia" w:asciiTheme="minorEastAsia" w:hAnsiTheme="minorEastAsia" w:eastAsiaTheme="minorEastAsia" w:cstheme="minorEastAsia"/>
          <w:b/>
          <w:bCs/>
          <w:kern w:val="0"/>
          <w:szCs w:val="21"/>
          <w:highlight w:val="none"/>
        </w:rPr>
        <w:t>、磋商响应方在递交响应文件时需同时提供：</w:t>
      </w:r>
    </w:p>
    <w:p>
      <w:pPr>
        <w:widowControl/>
        <w:shd w:val="clear" w:color="auto" w:fill="FFFFFF"/>
        <w:spacing w:line="360" w:lineRule="auto"/>
        <w:ind w:firstLine="480"/>
        <w:jc w:val="left"/>
        <w:rPr>
          <w:rFonts w:hint="eastAsia" w:asciiTheme="minorEastAsia" w:hAnsiTheme="minorEastAsia" w:eastAsiaTheme="minorEastAsia" w:cstheme="minorEastAsia"/>
          <w:kern w:val="0"/>
          <w:szCs w:val="21"/>
          <w:highlight w:val="none"/>
        </w:rPr>
      </w:pPr>
      <w:r>
        <w:rPr>
          <w:rFonts w:hint="eastAsia" w:ascii="宋体" w:hAnsi="宋体" w:cs="宋体"/>
          <w:color w:val="auto"/>
          <w:kern w:val="0"/>
          <w:szCs w:val="21"/>
          <w:highlight w:val="none"/>
        </w:rPr>
        <w:t>本单位营业执照（正本或副本原件）</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资质证书(副本原件或加盖供应商公章的复印件)、安全生产许可证(副本原件)、项目经理的建造师注册证原件、项目经理的安全生产考核合格证书原件</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法定代表人有效身份证原件或授权委托人有效身份证原件及法人授权委托书原件</w:t>
      </w:r>
      <w:r>
        <w:rPr>
          <w:rFonts w:hint="eastAsia" w:ascii="宋体" w:hAnsi="宋体" w:cs="宋体"/>
          <w:bCs/>
          <w:color w:val="auto"/>
          <w:kern w:val="0"/>
          <w:sz w:val="21"/>
          <w:szCs w:val="21"/>
          <w:highlight w:val="none"/>
        </w:rPr>
        <w:t>以及竞争性磋商文件第三部分磋商组织、步骤与评审方法中要求的相关证件资料等</w:t>
      </w:r>
      <w:r>
        <w:rPr>
          <w:rFonts w:hint="eastAsia" w:ascii="宋体" w:hAnsi="宋体" w:cs="宋体"/>
          <w:color w:val="auto"/>
          <w:kern w:val="0"/>
          <w:szCs w:val="21"/>
          <w:highlight w:val="none"/>
        </w:rPr>
        <w:t>，否则视为供应商资格证明文件不全。</w:t>
      </w:r>
    </w:p>
    <w:p>
      <w:pPr>
        <w:spacing w:line="440" w:lineRule="exact"/>
        <w:ind w:firstLine="420" w:firstLineChars="200"/>
        <w:rPr>
          <w:rFonts w:hint="eastAsia" w:asciiTheme="minorEastAsia" w:hAnsiTheme="minorEastAsia" w:eastAsiaTheme="minorEastAsia" w:cstheme="minorEastAsia"/>
          <w:bCs/>
          <w:color w:val="000000"/>
          <w:kern w:val="0"/>
          <w:szCs w:val="21"/>
          <w:highlight w:val="none"/>
        </w:rPr>
      </w:pPr>
      <w:r>
        <w:rPr>
          <w:rFonts w:hint="eastAsia" w:asciiTheme="minorEastAsia" w:hAnsiTheme="minorEastAsia" w:eastAsiaTheme="minorEastAsia" w:cstheme="minorEastAsia"/>
          <w:kern w:val="0"/>
          <w:szCs w:val="21"/>
          <w:highlight w:val="none"/>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sdmczxgs@163.com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w:t>
      </w:r>
      <w:r>
        <w:rPr>
          <w:rFonts w:hint="eastAsia" w:asciiTheme="minorEastAsia" w:hAnsiTheme="minorEastAsia" w:eastAsiaTheme="minorEastAsia" w:cstheme="minorEastAsia"/>
          <w:b/>
          <w:bCs/>
          <w:color w:val="auto"/>
          <w:kern w:val="0"/>
          <w:szCs w:val="21"/>
          <w:highlight w:val="none"/>
          <w:lang w:val="en-US" w:eastAsia="zh-CN"/>
        </w:rPr>
        <w:t>24</w:t>
      </w:r>
      <w:r>
        <w:rPr>
          <w:rFonts w:hint="eastAsia" w:asciiTheme="minorEastAsia" w:hAnsiTheme="minorEastAsia" w:eastAsiaTheme="minorEastAsia" w:cstheme="minorEastAsia"/>
          <w:b/>
          <w:bCs/>
          <w:color w:val="auto"/>
          <w:kern w:val="0"/>
          <w:szCs w:val="21"/>
          <w:highlight w:val="none"/>
          <w:lang w:eastAsia="zh-CN"/>
        </w:rPr>
        <w:t>年</w:t>
      </w:r>
      <w:r>
        <w:rPr>
          <w:rFonts w:hint="eastAsia" w:asciiTheme="minorEastAsia" w:hAnsiTheme="minorEastAsia" w:eastAsiaTheme="minorEastAsia" w:cstheme="minorEastAsia"/>
          <w:b/>
          <w:bCs/>
          <w:color w:val="auto"/>
          <w:kern w:val="0"/>
          <w:szCs w:val="21"/>
          <w:highlight w:val="none"/>
          <w:lang w:val="en-US" w:eastAsia="zh-CN"/>
        </w:rPr>
        <w:t>07</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29</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9</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30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邹城市唐村镇公共资源交易中心开标室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3"/>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383128.54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3"/>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本项目无预付款，工程竣工并验收合格后付至审计价款的80%，经审计完成后付至审定价的97%，剩余部分缺陷责任期满无质量问题一次性无息付清。工程最终结算造价以结算审核后造价为准。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88"/>
        <w:gridCol w:w="6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条款号</w:t>
            </w:r>
          </w:p>
        </w:tc>
        <w:tc>
          <w:tcPr>
            <w:tcW w:w="988"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w:t>
            </w:r>
          </w:p>
          <w:p>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因素</w:t>
            </w:r>
          </w:p>
        </w:tc>
        <w:tc>
          <w:tcPr>
            <w:tcW w:w="6202"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报价得分</w:t>
            </w:r>
          </w:p>
        </w:tc>
        <w:tc>
          <w:tcPr>
            <w:tcW w:w="9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30分</w:t>
            </w:r>
          </w:p>
        </w:tc>
        <w:tc>
          <w:tcPr>
            <w:tcW w:w="620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技术部分（施工组织设计）</w:t>
            </w:r>
          </w:p>
        </w:tc>
        <w:tc>
          <w:tcPr>
            <w:tcW w:w="9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val="en-US" w:eastAsia="zh-CN"/>
              </w:rPr>
              <w:t>6</w:t>
            </w:r>
            <w:r>
              <w:rPr>
                <w:rFonts w:hint="eastAsia" w:asciiTheme="minorEastAsia" w:hAnsiTheme="minorEastAsia" w:eastAsiaTheme="minorEastAsia" w:cstheme="minorEastAsia"/>
                <w:b/>
                <w:szCs w:val="21"/>
                <w:highlight w:val="none"/>
              </w:rPr>
              <w:t>0分</w:t>
            </w:r>
          </w:p>
        </w:tc>
        <w:tc>
          <w:tcPr>
            <w:tcW w:w="62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针对项目特点内容规范完整性和整体编制水平</w:t>
            </w:r>
          </w:p>
        </w:tc>
        <w:tc>
          <w:tcPr>
            <w:tcW w:w="988"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根据对工程整体有深刻认识，施工组织设计内容针对项目特点完整规范、具体可行和整体编制水平得0-</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施工方案与技术措施</w:t>
            </w:r>
          </w:p>
        </w:tc>
        <w:tc>
          <w:tcPr>
            <w:tcW w:w="988"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 2 分，缺项不得分，根据内容齐全、针对项目实际情况安排恰当、措施可行程度得0-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有该项得基本分2分，缺项不得分，根据体系完整、内容齐全、安排合理、针对项目特点措施先进可行、通病治理措施具体可靠得0-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安全管理体系与措施</w:t>
            </w:r>
          </w:p>
        </w:tc>
        <w:tc>
          <w:tcPr>
            <w:tcW w:w="988"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有该项得基本分2分，缺项不得分，根据体系完整、内容齐全、安排恰当、措施针对项目实际情况规范具体完整、应急救援预案可行得0-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工程进度计划与措施</w:t>
            </w:r>
          </w:p>
        </w:tc>
        <w:tc>
          <w:tcPr>
            <w:tcW w:w="9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环保管理体系与措施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有该项得基本分2分，缺项不得分，根据体系完整、内容齐全、安排恰当、措施可行程度得0-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文明管理体系与措施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有该项得基本分2分，缺项不得分，根据体系完整、内容齐全、安排恰当、针对项目实际情况措施可行程度得0-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施工管理及措施</w:t>
            </w:r>
          </w:p>
        </w:tc>
        <w:tc>
          <w:tcPr>
            <w:tcW w:w="9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有该项得基本分2分，缺项不得分；根据对本工程项目管理的认识，内容齐全、有针对性、对工程现场管理安排合理、符合安全文明生产要求、对工程管理的配合、协调、服务措施可行得0-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资源配备计划及措施</w:t>
            </w:r>
          </w:p>
        </w:tc>
        <w:tc>
          <w:tcPr>
            <w:tcW w:w="9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有该项得基本分2分，缺项不得分；根据内容齐全、安排合理、投入计划与进度计划相呼应、措施可行程度得0-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施工关键部位、材料采购要点的控制及措施（根据工程特点及磋商文件要求应具有针对性）</w:t>
            </w:r>
          </w:p>
        </w:tc>
        <w:tc>
          <w:tcPr>
            <w:tcW w:w="9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eastAsia="zh-CN"/>
              </w:rPr>
              <w:t>满分</w:t>
            </w:r>
            <w:r>
              <w:rPr>
                <w:rFonts w:hint="eastAsia" w:asciiTheme="minorEastAsia" w:hAnsiTheme="minorEastAsia" w:eastAsiaTheme="minorEastAsia" w:cstheme="minorEastAsia"/>
                <w:highlight w:val="none"/>
                <w:lang w:val="en-US" w:eastAsia="zh-CN"/>
              </w:rPr>
              <w:t>6分</w:t>
            </w:r>
            <w:r>
              <w:rPr>
                <w:rFonts w:hint="eastAsia"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9" w:type="dxa"/>
            <w:tcBorders>
              <w:top w:val="single" w:color="auto" w:sz="4" w:space="0"/>
              <w:bottom w:val="single" w:color="auto" w:sz="4" w:space="0"/>
              <w:right w:val="single" w:color="auto" w:sz="4" w:space="0"/>
            </w:tcBorders>
            <w:noWrap/>
            <w:vAlign w:val="top"/>
          </w:tcPr>
          <w:p>
            <w:pPr>
              <w:pStyle w:val="22"/>
              <w:spacing w:before="131"/>
              <w:ind w:left="9" w:leftChars="0"/>
              <w:jc w:val="center"/>
              <w:rPr>
                <w:rFonts w:hint="eastAsia" w:asciiTheme="minorEastAsia" w:hAnsiTheme="minorEastAsia" w:eastAsiaTheme="minorEastAsia" w:cstheme="minorEastAsia"/>
                <w:b/>
                <w:bCs w:val="0"/>
                <w:highlight w:val="none"/>
              </w:rPr>
            </w:pPr>
            <w:r>
              <w:rPr>
                <w:b/>
                <w:bCs w:val="0"/>
                <w:color w:val="auto"/>
                <w:highlight w:val="none"/>
              </w:rPr>
              <w:t>三</w:t>
            </w:r>
          </w:p>
        </w:tc>
        <w:tc>
          <w:tcPr>
            <w:tcW w:w="2159" w:type="dxa"/>
            <w:tcBorders>
              <w:top w:val="single" w:color="auto" w:sz="4" w:space="0"/>
              <w:bottom w:val="single" w:color="auto" w:sz="4" w:space="0"/>
              <w:right w:val="single" w:color="auto" w:sz="4" w:space="0"/>
            </w:tcBorders>
            <w:noWrap/>
            <w:vAlign w:val="top"/>
          </w:tcPr>
          <w:p>
            <w:pPr>
              <w:pStyle w:val="22"/>
              <w:spacing w:before="131"/>
              <w:ind w:left="10" w:leftChars="0"/>
              <w:jc w:val="center"/>
              <w:rPr>
                <w:rFonts w:hint="eastAsia" w:asciiTheme="minorEastAsia" w:hAnsiTheme="minorEastAsia" w:eastAsiaTheme="minorEastAsia" w:cstheme="minorEastAsia"/>
                <w:b/>
                <w:bCs w:val="0"/>
                <w:kern w:val="2"/>
                <w:sz w:val="21"/>
                <w:szCs w:val="24"/>
                <w:highlight w:val="none"/>
                <w:lang w:val="en-US" w:eastAsia="zh-CN" w:bidi="ar-SA"/>
              </w:rPr>
            </w:pPr>
            <w:r>
              <w:rPr>
                <w:rFonts w:hint="eastAsia" w:asciiTheme="minorEastAsia" w:hAnsiTheme="minorEastAsia" w:eastAsiaTheme="minorEastAsia" w:cstheme="minorEastAsia"/>
                <w:b/>
                <w:bCs w:val="0"/>
                <w:kern w:val="2"/>
                <w:sz w:val="21"/>
                <w:szCs w:val="24"/>
                <w:highlight w:val="none"/>
                <w:lang w:val="en-US" w:eastAsia="zh-CN" w:bidi="ar-SA"/>
              </w:rPr>
              <w:t>资信</w:t>
            </w:r>
          </w:p>
        </w:tc>
        <w:tc>
          <w:tcPr>
            <w:tcW w:w="988" w:type="dxa"/>
            <w:tcBorders>
              <w:top w:val="single" w:color="auto" w:sz="4" w:space="0"/>
              <w:left w:val="single" w:color="auto" w:sz="4" w:space="0"/>
              <w:bottom w:val="single" w:color="auto" w:sz="4" w:space="0"/>
              <w:right w:val="single" w:color="auto" w:sz="4" w:space="0"/>
            </w:tcBorders>
            <w:noWrap/>
            <w:vAlign w:val="top"/>
          </w:tcPr>
          <w:p>
            <w:pPr>
              <w:pStyle w:val="22"/>
              <w:spacing w:before="131"/>
              <w:ind w:right="251" w:rightChars="0"/>
              <w:jc w:val="center"/>
              <w:rPr>
                <w:rFonts w:hint="default" w:asciiTheme="minorEastAsia" w:hAnsiTheme="minorEastAsia" w:eastAsiaTheme="minorEastAsia" w:cstheme="minorEastAsia"/>
                <w:b/>
                <w:bCs w:val="0"/>
                <w:kern w:val="2"/>
                <w:sz w:val="21"/>
                <w:szCs w:val="24"/>
                <w:highlight w:val="none"/>
                <w:lang w:val="en-US" w:eastAsia="zh-CN" w:bidi="ar-SA"/>
              </w:rPr>
            </w:pP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top"/>
          </w:tcPr>
          <w:p>
            <w:pPr>
              <w:pStyle w:val="22"/>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highlight w:val="none"/>
              </w:rPr>
            </w:pPr>
            <w:r>
              <w:rPr>
                <w:rFonts w:hint="eastAsia" w:ascii="宋体" w:hAnsi="宋体"/>
                <w:color w:val="auto"/>
                <w:szCs w:val="21"/>
                <w:highlight w:val="none"/>
              </w:rPr>
              <w:t>1</w:t>
            </w:r>
          </w:p>
        </w:tc>
        <w:tc>
          <w:tcPr>
            <w:tcW w:w="2159" w:type="dxa"/>
            <w:tcBorders>
              <w:top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hint="eastAsia" w:asciiTheme="minorEastAsia" w:hAnsiTheme="minorEastAsia" w:eastAsiaTheme="minorEastAsia" w:cstheme="minorEastAsia"/>
                <w:highlight w:val="none"/>
              </w:rPr>
            </w:pPr>
            <w:r>
              <w:rPr>
                <w:rFonts w:hint="eastAsia" w:ascii="宋体" w:hAnsi="宋体"/>
                <w:color w:val="auto"/>
                <w:szCs w:val="21"/>
                <w:highlight w:val="none"/>
              </w:rPr>
              <w:t>供应商近三年承担的类似工程业绩</w:t>
            </w:r>
          </w:p>
        </w:tc>
        <w:tc>
          <w:tcPr>
            <w:tcW w:w="9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供应商20</w:t>
            </w:r>
            <w:r>
              <w:rPr>
                <w:rFonts w:hint="eastAsia" w:ascii="宋体" w:hAnsi="宋体"/>
                <w:color w:val="auto"/>
                <w:szCs w:val="21"/>
                <w:highlight w:val="none"/>
                <w:lang w:val="en-US" w:eastAsia="zh-CN"/>
              </w:rPr>
              <w:t>21</w:t>
            </w:r>
            <w:r>
              <w:rPr>
                <w:rFonts w:hint="eastAsia" w:ascii="宋体" w:hAnsi="宋体"/>
                <w:color w:val="auto"/>
                <w:szCs w:val="21"/>
                <w:highlight w:val="none"/>
              </w:rPr>
              <w:t>年1月1日以来每承担一项类似工程业绩得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adjustRightInd w:val="0"/>
              <w:snapToGrid w:val="0"/>
              <w:spacing w:line="360" w:lineRule="auto"/>
              <w:jc w:val="left"/>
              <w:rPr>
                <w:rFonts w:hint="eastAsia" w:asciiTheme="minorEastAsia" w:hAnsiTheme="minorEastAsia" w:eastAsiaTheme="minorEastAsia" w:cstheme="minorEastAsia"/>
                <w:highlight w:val="none"/>
              </w:rPr>
            </w:pPr>
            <w:r>
              <w:rPr>
                <w:rFonts w:hint="eastAsia" w:ascii="宋体" w:hAnsi="宋体"/>
                <w:b/>
                <w:bCs/>
                <w:color w:val="auto"/>
                <w:szCs w:val="21"/>
                <w:highlight w:val="none"/>
              </w:rPr>
              <w:t>备注：类似项目工程以</w:t>
            </w:r>
            <w:r>
              <w:rPr>
                <w:rFonts w:hint="eastAsia" w:ascii="宋体" w:hAnsi="宋体"/>
                <w:b/>
                <w:bCs/>
                <w:color w:val="auto"/>
                <w:szCs w:val="21"/>
                <w:highlight w:val="none"/>
                <w:lang w:val="en-US" w:eastAsia="zh-CN"/>
              </w:rPr>
              <w:t>中标通知书和</w:t>
            </w:r>
            <w:r>
              <w:rPr>
                <w:rFonts w:hint="eastAsia" w:ascii="宋体" w:hAnsi="宋体"/>
                <w:b/>
                <w:bCs/>
                <w:color w:val="auto"/>
                <w:szCs w:val="21"/>
                <w:highlight w:val="none"/>
              </w:rPr>
              <w:t>施工合同原件为准；时间以合同签订的时间为准。</w:t>
            </w:r>
          </w:p>
        </w:tc>
      </w:tr>
    </w:tbl>
    <w:p>
      <w:pPr>
        <w:spacing w:line="360" w:lineRule="auto"/>
        <w:ind w:firstLine="422" w:firstLineChars="200"/>
        <w:rPr>
          <w:rFonts w:hint="eastAsia" w:asciiTheme="minorEastAsia" w:hAnsiTheme="minorEastAsia" w:eastAsiaTheme="minorEastAsia" w:cstheme="minorEastAsia"/>
          <w:b/>
          <w:szCs w:val="21"/>
          <w:highlight w:val="none"/>
        </w:rPr>
      </w:pPr>
    </w:p>
    <w:p>
      <w:pPr>
        <w:spacing w:line="360" w:lineRule="auto"/>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注：1、</w:t>
      </w:r>
      <w:r>
        <w:rPr>
          <w:rFonts w:hint="eastAsia" w:asciiTheme="minorEastAsia" w:hAnsiTheme="minorEastAsia" w:eastAsiaTheme="minorEastAsia" w:cstheme="minorEastAsia"/>
          <w:b/>
          <w:color w:val="000000"/>
          <w:szCs w:val="21"/>
          <w:highlight w:val="none"/>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w:t>
      </w:r>
    </w:p>
    <w:p>
      <w:pPr>
        <w:spacing w:line="360" w:lineRule="auto"/>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val="en-US" w:eastAsia="zh-CN"/>
        </w:rPr>
        <w:t>邹城市唐村镇党建综合阵地建设项目工程内容包括：唐村镇党建综合阵地装修工程及文化建设广告牌制作等工程。</w:t>
      </w: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唐村镇</w:t>
      </w:r>
      <w:r>
        <w:rPr>
          <w:rFonts w:hint="eastAsia" w:asciiTheme="minorEastAsia" w:hAnsiTheme="minorEastAsia" w:eastAsiaTheme="minorEastAsia" w:cstheme="minorEastAsia"/>
          <w:b/>
          <w:color w:val="auto"/>
          <w:szCs w:val="21"/>
          <w:highlight w:val="none"/>
          <w:lang w:val="en-US" w:eastAsia="zh-CN"/>
        </w:rPr>
        <w:t>驻地</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383128.54</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缺陷责任期</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highlight w:val="none"/>
        </w:rPr>
      </w:pPr>
      <w:bookmarkStart w:id="12" w:name="_Toc300901180"/>
      <w:bookmarkStart w:id="13" w:name="_Toc420592312"/>
      <w:bookmarkStart w:id="14" w:name="_Toc18155"/>
      <w:bookmarkStart w:id="15" w:name="_Toc1263"/>
      <w:r>
        <w:rPr>
          <w:rFonts w:hint="eastAsia" w:asciiTheme="minorEastAsia" w:hAnsiTheme="minorEastAsia" w:eastAsiaTheme="minorEastAsia" w:cstheme="minorEastAsia"/>
          <w:b/>
          <w:sz w:val="24"/>
          <w:highlight w:val="none"/>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u w:val="single"/>
        </w:rPr>
        <w:t xml:space="preserve">                                        /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highlight w:val="none"/>
        </w:rPr>
      </w:pPr>
      <w:bookmarkStart w:id="16" w:name="_Toc420592313"/>
      <w:bookmarkStart w:id="17" w:name="_Toc300901181"/>
      <w:r>
        <w:rPr>
          <w:rFonts w:hint="eastAsia" w:asciiTheme="minorEastAsia" w:hAnsiTheme="minorEastAsia" w:eastAsiaTheme="minorEastAsia" w:cstheme="minorEastAsia"/>
          <w:b/>
          <w:sz w:val="24"/>
          <w:highlight w:val="none"/>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  本磋商文件；</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 《建设工程工程量清单计价规范》；</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 其他的相关资料。 </w:t>
      </w:r>
    </w:p>
    <w:p>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highlight w:val="none"/>
        </w:rPr>
        <w:t>范围内的风险”是指合同约定的风险。</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2.6分部分项工程项目按下列要求报价：</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2.6.2如果分部分项工程量清单中涉及“材料暂估价一览表”中列出的材料和工程设备（包括</w:t>
      </w:r>
      <w:r>
        <w:rPr>
          <w:rFonts w:hint="eastAsia" w:asciiTheme="minorEastAsia" w:hAnsiTheme="minorEastAsia" w:eastAsiaTheme="minorEastAsia" w:cstheme="minorEastAsia"/>
          <w:szCs w:val="21"/>
          <w:highlight w:val="none"/>
        </w:rPr>
        <w:t>发包人自行提供的材料和工程设备，即甲供材</w:t>
      </w:r>
      <w:r>
        <w:rPr>
          <w:rFonts w:hint="eastAsia" w:asciiTheme="minorEastAsia" w:hAnsiTheme="minorEastAsia" w:eastAsiaTheme="minorEastAsia" w:cstheme="minorEastAsia"/>
          <w:highlight w:val="none"/>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highlight w:val="none"/>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2.7措施项目按下列要求报价：</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2.8其他项目清单费应按下列规定报价：</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highlight w:val="none"/>
        </w:rPr>
        <w:t>；</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highlight w:val="none"/>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材料价格包括材料运到现场的价格以及现场搬运、仓储、二次搬运、损耗、保险、企业管理费和利润</w:t>
      </w:r>
      <w:r>
        <w:rPr>
          <w:rFonts w:hint="eastAsia" w:asciiTheme="minorEastAsia" w:hAnsiTheme="minorEastAsia" w:eastAsiaTheme="minorEastAsia" w:cstheme="minorEastAsia"/>
          <w:szCs w:val="21"/>
          <w:highlight w:val="none"/>
        </w:rPr>
        <w:t>；</w:t>
      </w:r>
    </w:p>
    <w:p>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b/>
          <w:bCs/>
          <w:highlight w:val="none"/>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2.10除磋商文件有强制性规定以及不可竞争部分以外，报价由供应商自主确定，但不</w:t>
      </w:r>
      <w:r>
        <w:rPr>
          <w:rFonts w:hint="eastAsia" w:asciiTheme="minorEastAsia" w:hAnsiTheme="minorEastAsia" w:eastAsiaTheme="minorEastAsia" w:cstheme="minorEastAsia"/>
          <w:highlight w:val="none"/>
        </w:rPr>
        <w:t>得低于其成本。</w:t>
      </w:r>
    </w:p>
    <w:p>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2.15有关报价的其他说明：</w:t>
      </w:r>
    </w:p>
    <w:p>
      <w:pPr>
        <w:spacing w:line="46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highlight w:val="none"/>
        </w:rPr>
      </w:pPr>
      <w:bookmarkStart w:id="18" w:name="_Toc420592314"/>
      <w:bookmarkStart w:id="19" w:name="_Toc300901182"/>
      <w:r>
        <w:rPr>
          <w:rFonts w:hint="eastAsia" w:asciiTheme="minorEastAsia" w:hAnsiTheme="minorEastAsia" w:eastAsiaTheme="minorEastAsia" w:cstheme="minorEastAsia"/>
          <w:b/>
          <w:sz w:val="24"/>
          <w:highlight w:val="none"/>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3.1.1  </w:t>
      </w:r>
      <w:r>
        <w:rPr>
          <w:rFonts w:hint="eastAsia" w:asciiTheme="minorEastAsia" w:hAnsiTheme="minorEastAsia" w:eastAsiaTheme="minorEastAsia" w:cstheme="minorEastAsia"/>
          <w:b/>
          <w:highlight w:val="none"/>
        </w:rPr>
        <w:t>工程量清单</w:t>
      </w:r>
    </w:p>
    <w:p>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3.1.2  </w:t>
      </w:r>
      <w:r>
        <w:rPr>
          <w:rFonts w:hint="eastAsia" w:asciiTheme="minorEastAsia" w:hAnsiTheme="minorEastAsia" w:eastAsiaTheme="minorEastAsia" w:cstheme="minorEastAsia"/>
          <w:b/>
          <w:highlight w:val="none"/>
        </w:rPr>
        <w:t>总价子目</w:t>
      </w:r>
    </w:p>
    <w:p>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3.1.3  </w:t>
      </w:r>
      <w:r>
        <w:rPr>
          <w:rFonts w:hint="eastAsia" w:asciiTheme="minorEastAsia" w:hAnsiTheme="minorEastAsia" w:eastAsiaTheme="minorEastAsia" w:cstheme="minorEastAsia"/>
          <w:b/>
          <w:highlight w:val="none"/>
        </w:rPr>
        <w:t>单价子目</w:t>
      </w:r>
    </w:p>
    <w:p>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3.1.4  </w:t>
      </w:r>
      <w:r>
        <w:rPr>
          <w:rFonts w:hint="eastAsia" w:asciiTheme="minorEastAsia" w:hAnsiTheme="minorEastAsia" w:eastAsiaTheme="minorEastAsia" w:cstheme="minorEastAsia"/>
          <w:b/>
          <w:highlight w:val="none"/>
        </w:rPr>
        <w:t>子目编码</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3.1.5  </w:t>
      </w:r>
      <w:r>
        <w:rPr>
          <w:rFonts w:hint="eastAsia" w:asciiTheme="minorEastAsia" w:hAnsiTheme="minorEastAsia" w:eastAsiaTheme="minorEastAsia" w:cstheme="minorEastAsia"/>
          <w:b/>
          <w:highlight w:val="none"/>
        </w:rPr>
        <w:t>子目特征</w:t>
      </w:r>
    </w:p>
    <w:p>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3.1.6  </w:t>
      </w:r>
      <w:r>
        <w:rPr>
          <w:rFonts w:hint="eastAsia" w:asciiTheme="minorEastAsia" w:hAnsiTheme="minorEastAsia" w:eastAsiaTheme="minorEastAsia" w:cstheme="minorEastAsia"/>
          <w:b/>
          <w:highlight w:val="none"/>
        </w:rPr>
        <w:t>规费</w:t>
      </w:r>
    </w:p>
    <w:p>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3.1.7  </w:t>
      </w:r>
      <w:r>
        <w:rPr>
          <w:rFonts w:hint="eastAsia" w:asciiTheme="minorEastAsia" w:hAnsiTheme="minorEastAsia" w:eastAsiaTheme="minorEastAsia" w:cstheme="minorEastAsia"/>
          <w:b/>
          <w:highlight w:val="none"/>
        </w:rPr>
        <w:t>税金</w:t>
      </w:r>
    </w:p>
    <w:p>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3.1.8  </w:t>
      </w:r>
      <w:r>
        <w:rPr>
          <w:rFonts w:hint="eastAsia" w:asciiTheme="minorEastAsia" w:hAnsiTheme="minorEastAsia" w:eastAsiaTheme="minorEastAsia" w:cstheme="minorEastAsia"/>
          <w:b/>
          <w:highlight w:val="none"/>
        </w:rPr>
        <w:t>总承包服务费</w:t>
      </w:r>
    </w:p>
    <w:p>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3.1.9  </w:t>
      </w:r>
      <w:r>
        <w:rPr>
          <w:rFonts w:hint="eastAsia" w:asciiTheme="minorEastAsia" w:hAnsiTheme="minorEastAsia" w:eastAsiaTheme="minorEastAsia" w:cstheme="minorEastAsia"/>
          <w:b/>
          <w:highlight w:val="none"/>
        </w:rPr>
        <w:t>同义词语</w:t>
      </w:r>
    </w:p>
    <w:p>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本章中使用的词语“采购人”和“供应商”分别与合同条款中定义的“发包人”和“承包人”同义</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3.2</w:t>
      </w:r>
      <w:r>
        <w:rPr>
          <w:rFonts w:hint="eastAsia" w:asciiTheme="minorEastAsia" w:hAnsiTheme="minorEastAsia" w:eastAsiaTheme="minorEastAsia" w:cstheme="minorEastAsia"/>
          <w:b/>
          <w:highlight w:val="none"/>
        </w:rPr>
        <w:t>工程量差异调整</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3.3暂列金额和暂估价</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 “材料暂估价一览表”中所列的材料和工程设备暂估价</w:t>
      </w:r>
      <w:r>
        <w:rPr>
          <w:rFonts w:hint="eastAsia" w:asciiTheme="minorEastAsia" w:hAnsiTheme="minorEastAsia" w:eastAsiaTheme="minorEastAsia" w:cstheme="minorEastAsia"/>
          <w:szCs w:val="21"/>
          <w:highlight w:val="none"/>
        </w:rPr>
        <w:t>（除暂估清单综合单价）</w:t>
      </w:r>
      <w:r>
        <w:rPr>
          <w:rFonts w:hint="eastAsia" w:asciiTheme="minorEastAsia" w:hAnsiTheme="minorEastAsia" w:eastAsiaTheme="minorEastAsia" w:cstheme="minorEastAsia"/>
          <w:highlight w:val="none"/>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其中暂估清单综合单价</w:t>
      </w:r>
      <w:r>
        <w:rPr>
          <w:rFonts w:hint="eastAsia" w:asciiTheme="minorEastAsia" w:hAnsiTheme="minorEastAsia" w:eastAsiaTheme="minorEastAsia" w:cstheme="minorEastAsia"/>
          <w:highlight w:val="none"/>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highlight w:val="none"/>
        </w:rPr>
        <w:t>3.4其他补充说明：</w:t>
      </w:r>
      <w:bookmarkStart w:id="20" w:name="_Toc300901183"/>
      <w:bookmarkStart w:id="21" w:name="_Toc420592316"/>
    </w:p>
    <w:p>
      <w:pPr>
        <w:spacing w:line="400" w:lineRule="exac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br w:type="page"/>
      </w:r>
    </w:p>
    <w:p>
      <w:pPr>
        <w:spacing w:line="400" w:lineRule="exact"/>
        <w:jc w:val="center"/>
        <w:rPr>
          <w:rFonts w:hint="eastAsia" w:asciiTheme="minorEastAsia" w:hAnsiTheme="minorEastAsia" w:eastAsiaTheme="minorEastAsia" w:cstheme="minorEastAsia"/>
          <w:b/>
          <w:bCs/>
          <w:sz w:val="32"/>
          <w:szCs w:val="32"/>
          <w:highlight w:val="none"/>
        </w:rPr>
      </w:pPr>
    </w:p>
    <w:p>
      <w:pPr>
        <w:numPr>
          <w:ilvl w:val="0"/>
          <w:numId w:val="3"/>
        </w:numPr>
        <w:spacing w:line="400" w:lineRule="exact"/>
        <w:ind w:left="0" w:leftChars="0" w:firstLine="643" w:firstLineChars="20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工程量清单与计价表</w:t>
      </w:r>
      <w:bookmarkEnd w:id="20"/>
      <w:bookmarkEnd w:id="21"/>
    </w:p>
    <w:p>
      <w:pPr>
        <w:numPr>
          <w:ilvl w:val="0"/>
          <w:numId w:val="0"/>
        </w:numPr>
        <w:spacing w:line="400" w:lineRule="exact"/>
        <w:ind w:leftChars="200"/>
        <w:jc w:val="both"/>
        <w:rPr>
          <w:rFonts w:hint="eastAsia" w:asciiTheme="minorEastAsia" w:hAnsiTheme="minorEastAsia" w:eastAsiaTheme="minorEastAsia" w:cstheme="minorEastAsia"/>
          <w:b/>
          <w:bCs/>
          <w:sz w:val="32"/>
          <w:szCs w:val="32"/>
          <w:highlight w:val="none"/>
        </w:rPr>
      </w:pPr>
    </w:p>
    <w:p>
      <w:pPr>
        <w:spacing w:line="380" w:lineRule="exact"/>
        <w:jc w:val="center"/>
        <w:rPr>
          <w:rFonts w:hint="eastAsia" w:asciiTheme="minorEastAsia" w:hAnsiTheme="minorEastAsia" w:eastAsiaTheme="minorEastAsia" w:cstheme="minorEastAsia"/>
          <w:sz w:val="24"/>
          <w:highlight w:val="none"/>
        </w:rPr>
      </w:pPr>
    </w:p>
    <w:p>
      <w:pPr>
        <w:spacing w:line="380" w:lineRule="exact"/>
        <w:jc w:val="center"/>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40"/>
          <w:szCs w:val="40"/>
          <w:highlight w:val="none"/>
          <w:lang w:val="en-US" w:eastAsia="zh-CN"/>
        </w:rPr>
        <w:t>另附</w:t>
      </w:r>
      <w:r>
        <w:rPr>
          <w:rFonts w:hint="eastAsia" w:asciiTheme="minorEastAsia" w:hAnsiTheme="minorEastAsia" w:eastAsiaTheme="minorEastAsia" w:cstheme="minorEastAsia"/>
          <w:sz w:val="24"/>
          <w:highlight w:val="none"/>
          <w:u w:val="single"/>
        </w:rPr>
        <w:br w:type="page"/>
      </w:r>
    </w:p>
    <w:p>
      <w:pPr>
        <w:spacing w:line="380" w:lineRule="exact"/>
        <w:ind w:firstLine="480" w:firstLineChars="200"/>
        <w:rPr>
          <w:rFonts w:hint="eastAsia" w:asciiTheme="minorEastAsia" w:hAnsiTheme="minorEastAsia" w:eastAsiaTheme="minorEastAsia" w:cstheme="minorEastAsia"/>
          <w:sz w:val="24"/>
          <w:highlight w:val="none"/>
        </w:rPr>
      </w:pPr>
    </w:p>
    <w:p>
      <w:pPr>
        <w:spacing w:line="380" w:lineRule="exact"/>
        <w:ind w:firstLine="480" w:firstLineChars="200"/>
        <w:rPr>
          <w:rFonts w:hint="eastAsia" w:asciiTheme="minorEastAsia" w:hAnsiTheme="minorEastAsia" w:eastAsiaTheme="minorEastAsia" w:cstheme="minorEastAsia"/>
          <w:sz w:val="24"/>
          <w:highlight w:val="non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2"/>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84635097"/>
      <w:bookmarkStart w:id="23" w:name="_Toc196637412"/>
      <w:bookmarkStart w:id="24" w:name="_Toc196637766"/>
      <w:bookmarkStart w:id="25" w:name="_Toc196637648"/>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付款方式：本项目无预付款，工程竣工并验收合格后付至审计价款的80%，经审计完成后付至审定价的97%，剩余部分缺陷责任期满无质量问题一次性无息付清。工程最终结算造价以结算审核后造价为准。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4"/>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(盖单位章)</w:t>
      </w: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                           法定代表人或其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      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(签字)</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签约地点：</w:t>
      </w:r>
      <w:r>
        <w:rPr>
          <w:rFonts w:hint="eastAsia" w:asciiTheme="minorEastAsia" w:hAnsiTheme="minorEastAsia" w:eastAsiaTheme="minorEastAsia" w:cstheme="minorEastAsia"/>
          <w:color w:val="auto"/>
          <w:sz w:val="21"/>
          <w:szCs w:val="21"/>
          <w:highlight w:val="none"/>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2"/>
        <w:widowControl/>
        <w:jc w:val="center"/>
        <w:rPr>
          <w:rFonts w:hint="eastAsia" w:asciiTheme="minorEastAsia" w:hAnsiTheme="minorEastAsia" w:eastAsiaTheme="minorEastAsia" w:cstheme="minorEastAsia"/>
          <w:color w:val="auto"/>
          <w:sz w:val="24"/>
          <w:szCs w:val="30"/>
          <w:highlight w:val="none"/>
        </w:rPr>
      </w:pPr>
      <w:bookmarkStart w:id="27" w:name="_Toc13742"/>
      <w:bookmarkStart w:id="28" w:name="_Toc27333"/>
      <w:bookmarkStart w:id="29" w:name="_Toc19503"/>
      <w:bookmarkStart w:id="30" w:name="_Toc885"/>
      <w:bookmarkStart w:id="31" w:name="_Toc30012"/>
      <w:bookmarkStart w:id="32" w:name="_Toc420341474"/>
      <w:bookmarkStart w:id="33" w:name="_Toc22187"/>
      <w:bookmarkStart w:id="34" w:name="_Toc14590"/>
      <w:bookmarkStart w:id="35" w:name="_Toc11316"/>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12</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天具备施工条件并移交给承包人。发包人最迟应当在移交施工场地的同时向承包人提供施工场地内地下管线和地下设施等有关资料，并保证资料的真实、准确和完整。</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3"/>
        <w:widowControl/>
        <w:numPr>
          <w:ilvl w:val="0"/>
          <w:numId w:val="5"/>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3"/>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本项目无预付款，工程竣工并验收合格后付至审计价款的80%，经审计完成后付至审定价的97%，剩余部分缺陷责任期满无质量问题一次性无息付清。工程最终结算造价以结算审核后造价为准。</w:t>
      </w:r>
    </w:p>
    <w:p>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val="en-US" w:eastAsia="zh-CN" w:bidi="ar"/>
        </w:rPr>
        <w:t xml:space="preserve">/ </w:t>
      </w:r>
      <w:r>
        <w:rPr>
          <w:rFonts w:hint="eastAsia" w:asciiTheme="minorEastAsia" w:hAnsiTheme="minorEastAsia" w:eastAsiaTheme="minorEastAsia" w:cstheme="minorEastAsia"/>
          <w:b/>
          <w:bCs/>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bookmarkStart w:id="71" w:name="_GoBack"/>
      <w:bookmarkEnd w:id="71"/>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3"/>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2" w:firstLineChars="200"/>
        <w:rPr>
          <w:rFonts w:hint="default"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Theme="minorEastAsia" w:hAnsiTheme="minorEastAsia" w:eastAsiaTheme="minorEastAsia" w:cstheme="minorEastAsia"/>
          <w:b/>
          <w:bCs/>
          <w:color w:val="auto"/>
          <w:highlight w:val="none"/>
          <w:lang w:val="en-US" w:eastAsia="zh-CN" w:bidi="ar"/>
        </w:rPr>
        <w:t>因转包分包造成的经济纠纷和上访，由中标人全权负责且必须按照采购人的要求处理，造成的纠纷及上访采购人有权作出合理合法的处理。</w:t>
      </w:r>
    </w:p>
    <w:p>
      <w:pPr>
        <w:spacing w:line="360" w:lineRule="auto"/>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lang w:val="en-US" w:eastAsia="zh-CN"/>
        </w:rPr>
      </w:pPr>
      <w:bookmarkStart w:id="38" w:name="_Toc30925"/>
      <w:r>
        <w:rPr>
          <w:rFonts w:hint="eastAsia" w:asciiTheme="minorEastAsia" w:hAnsiTheme="minorEastAsia" w:eastAsiaTheme="minorEastAsia" w:cstheme="minorEastAsia"/>
          <w:b/>
          <w:color w:val="auto"/>
          <w:w w:val="90"/>
          <w:kern w:val="16"/>
          <w:sz w:val="44"/>
          <w:szCs w:val="44"/>
          <w:highlight w:val="none"/>
          <w:lang w:val="en-US" w:eastAsia="zh-CN"/>
        </w:rPr>
        <w:t>邹城市唐村镇党建综合阵地建设项目</w:t>
      </w: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2"/>
        <w:jc w:val="center"/>
        <w:rPr>
          <w:rFonts w:hint="eastAsia" w:asciiTheme="minorEastAsia" w:hAnsiTheme="minorEastAsia" w:eastAsiaTheme="minorEastAsia" w:cstheme="minorEastAsia"/>
          <w:color w:val="auto"/>
          <w:sz w:val="24"/>
          <w:highlight w:val="none"/>
        </w:rPr>
      </w:pPr>
      <w:bookmarkStart w:id="52" w:name="_Toc323641999"/>
      <w:bookmarkStart w:id="53" w:name="_Toc300901193"/>
      <w:bookmarkStart w:id="54" w:name="_Toc374107067"/>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4"/>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7"/>
        <w:spacing w:line="360" w:lineRule="auto"/>
        <w:jc w:val="center"/>
        <w:rPr>
          <w:rFonts w:hint="eastAsia" w:asciiTheme="minorEastAsia" w:hAnsiTheme="minorEastAsia" w:eastAsiaTheme="minorEastAsia" w:cstheme="minorEastAsia"/>
          <w:b/>
          <w:color w:val="auto"/>
          <w:sz w:val="28"/>
          <w:szCs w:val="28"/>
          <w:highlight w:val="none"/>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pStyle w:val="4"/>
              <w:rPr>
                <w:rFonts w:hint="eastAsia"/>
                <w:highlight w:val="none"/>
              </w:rPr>
            </w:pP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缺陷责任期</w:t>
            </w:r>
            <w:r>
              <w:rPr>
                <w:rFonts w:hint="eastAsia" w:asciiTheme="minorEastAsia" w:hAnsiTheme="minorEastAsia" w:eastAsiaTheme="minorEastAsia" w:cstheme="minorEastAsia"/>
                <w:color w:val="auto"/>
                <w:szCs w:val="21"/>
                <w:highlight w:val="none"/>
              </w:rPr>
              <w:t>（年）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项目经理</w:t>
            </w:r>
          </w:p>
        </w:tc>
        <w:tc>
          <w:tcPr>
            <w:tcW w:w="6954" w:type="dxa"/>
            <w:noWrap w:val="0"/>
            <w:vAlign w:val="center"/>
          </w:tcPr>
          <w:p>
            <w:pPr>
              <w:spacing w:line="360" w:lineRule="auto"/>
              <w:jc w:val="left"/>
              <w:rPr>
                <w:rFonts w:hint="eastAsia" w:asciiTheme="minorEastAsia" w:hAnsiTheme="minorEastAsia" w:eastAsiaTheme="minorEastAsia" w:cstheme="minorEastAsia"/>
                <w:color w:val="auto"/>
                <w:w w:val="110"/>
                <w:szCs w:val="21"/>
                <w:highlight w:val="none"/>
                <w:lang w:val="en-US" w:eastAsia="zh-CN"/>
              </w:rPr>
            </w:pPr>
            <w:r>
              <w:rPr>
                <w:rFonts w:hint="eastAsia" w:asciiTheme="minorEastAsia" w:hAnsiTheme="minorEastAsia" w:eastAsiaTheme="minorEastAsia" w:cstheme="minorEastAsia"/>
                <w:color w:val="auto"/>
                <w:w w:val="110"/>
                <w:szCs w:val="21"/>
                <w:highlight w:val="none"/>
                <w:lang w:val="en-US" w:eastAsia="zh-CN"/>
              </w:rPr>
              <w:t>姓名：</w:t>
            </w:r>
          </w:p>
          <w:p>
            <w:pPr>
              <w:spacing w:line="360" w:lineRule="auto"/>
              <w:jc w:val="left"/>
              <w:rPr>
                <w:rFonts w:hint="eastAsia" w:asciiTheme="minorEastAsia" w:hAnsiTheme="minorEastAsia" w:eastAsiaTheme="minorEastAsia" w:cstheme="minorEastAsia"/>
                <w:color w:val="auto"/>
                <w:w w:val="110"/>
                <w:szCs w:val="21"/>
                <w:highlight w:val="none"/>
                <w:lang w:val="en-US" w:eastAsia="zh-CN"/>
              </w:rPr>
            </w:pPr>
            <w:r>
              <w:rPr>
                <w:rFonts w:hint="eastAsia" w:asciiTheme="minorEastAsia" w:hAnsiTheme="minorEastAsia" w:eastAsiaTheme="minorEastAsia" w:cstheme="minorEastAsia"/>
                <w:color w:val="auto"/>
                <w:w w:val="110"/>
                <w:szCs w:val="21"/>
                <w:highlight w:val="none"/>
                <w:lang w:val="en-US" w:eastAsia="zh-CN"/>
              </w:rPr>
              <w:t>证书等级：</w:t>
            </w:r>
          </w:p>
          <w:p>
            <w:pPr>
              <w:spacing w:line="360" w:lineRule="auto"/>
              <w:jc w:val="left"/>
              <w:rPr>
                <w:rFonts w:hint="default" w:asciiTheme="minorEastAsia" w:hAnsiTheme="minorEastAsia" w:eastAsiaTheme="minorEastAsia" w:cstheme="minorEastAsia"/>
                <w:color w:val="auto"/>
                <w:w w:val="110"/>
                <w:szCs w:val="21"/>
                <w:highlight w:val="none"/>
                <w:lang w:val="en-US" w:eastAsia="zh-CN"/>
              </w:rPr>
            </w:pPr>
            <w:r>
              <w:rPr>
                <w:rFonts w:hint="eastAsia" w:asciiTheme="minorEastAsia" w:hAnsiTheme="minorEastAsia" w:eastAsiaTheme="minorEastAsia" w:cstheme="minorEastAsia"/>
                <w:color w:val="auto"/>
                <w:w w:val="110"/>
                <w:szCs w:val="21"/>
                <w:highlight w:val="none"/>
                <w:lang w:val="en-US" w:eastAsia="zh-CN"/>
              </w:rPr>
              <w:t>证书编号:</w:t>
            </w: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（1）针对项目特点内容规范完整性和整体编制水平</w:t>
      </w:r>
    </w:p>
    <w:p>
      <w:pPr>
        <w:pStyle w:val="4"/>
        <w:ind w:firstLine="420" w:firstLineChars="200"/>
        <w:rPr>
          <w:rFonts w:hint="eastAsia"/>
          <w:highlight w:val="none"/>
        </w:rPr>
      </w:pPr>
      <w:r>
        <w:rPr>
          <w:rFonts w:hint="eastAsia"/>
          <w:sz w:val="21"/>
          <w:szCs w:val="21"/>
          <w:highlight w:val="none"/>
        </w:rPr>
        <w:t>（</w:t>
      </w:r>
      <w:r>
        <w:rPr>
          <w:rFonts w:hint="eastAsia" w:ascii="宋体" w:hAnsi="宋体" w:cs="宋体"/>
          <w:sz w:val="21"/>
          <w:szCs w:val="21"/>
          <w:highlight w:val="none"/>
        </w:rPr>
        <w:t>2</w:t>
      </w:r>
      <w:r>
        <w:rPr>
          <w:rFonts w:hint="eastAsia"/>
          <w:sz w:val="21"/>
          <w:szCs w:val="21"/>
          <w:highlight w:val="none"/>
        </w:rPr>
        <w:t>）施工方案与技术措施</w:t>
      </w:r>
    </w:p>
    <w:p>
      <w:pPr>
        <w:spacing w:line="400" w:lineRule="exact"/>
        <w:ind w:firstLine="420" w:firstLineChars="200"/>
        <w:rPr>
          <w:rFonts w:hint="eastAsia" w:ascii="宋体" w:hAnsi="宋体" w:cs="宋体"/>
          <w:szCs w:val="21"/>
          <w:highlight w:val="none"/>
        </w:rPr>
      </w:pPr>
      <w:r>
        <w:rPr>
          <w:rFonts w:hint="eastAsia" w:ascii="宋体" w:hAnsi="宋体"/>
          <w:szCs w:val="21"/>
          <w:highlight w:val="none"/>
        </w:rPr>
        <w:t>（3）质量管理体系与措施</w:t>
      </w:r>
    </w:p>
    <w:p>
      <w:pPr>
        <w:spacing w:line="400" w:lineRule="exact"/>
        <w:ind w:firstLine="420" w:firstLineChars="200"/>
        <w:rPr>
          <w:rFonts w:hint="eastAsia" w:ascii="Verdana" w:hAnsi="Verdana"/>
          <w:szCs w:val="21"/>
          <w:highlight w:val="none"/>
        </w:rPr>
      </w:pPr>
      <w:r>
        <w:rPr>
          <w:rFonts w:hint="eastAsia" w:ascii="宋体" w:hAnsi="宋体"/>
          <w:szCs w:val="21"/>
          <w:highlight w:val="none"/>
        </w:rPr>
        <w:t>（4）安全管理体系与措施</w:t>
      </w:r>
    </w:p>
    <w:p>
      <w:pPr>
        <w:spacing w:line="400" w:lineRule="exact"/>
        <w:ind w:firstLine="420" w:firstLineChars="200"/>
        <w:rPr>
          <w:rFonts w:hint="eastAsia" w:ascii="Verdana" w:hAnsi="Verdana"/>
          <w:szCs w:val="21"/>
          <w:highlight w:val="none"/>
        </w:rPr>
      </w:pPr>
      <w:r>
        <w:rPr>
          <w:rFonts w:hint="eastAsia" w:ascii="宋体" w:hAnsi="宋体"/>
          <w:szCs w:val="21"/>
          <w:highlight w:val="none"/>
        </w:rPr>
        <w:t>（5）工程进度计划与措施</w:t>
      </w:r>
    </w:p>
    <w:p>
      <w:pPr>
        <w:spacing w:line="400" w:lineRule="exact"/>
        <w:ind w:firstLine="420" w:firstLineChars="200"/>
        <w:rPr>
          <w:rFonts w:hint="eastAsia" w:ascii="Verdana" w:hAnsi="Verdana"/>
          <w:szCs w:val="21"/>
          <w:highlight w:val="none"/>
        </w:rPr>
      </w:pPr>
      <w:r>
        <w:rPr>
          <w:rFonts w:hint="eastAsia" w:ascii="宋体" w:hAnsi="宋体"/>
          <w:szCs w:val="21"/>
          <w:highlight w:val="none"/>
        </w:rPr>
        <w:t>（6）环保管理体系与措施</w:t>
      </w:r>
    </w:p>
    <w:p>
      <w:pPr>
        <w:spacing w:line="400" w:lineRule="exact"/>
        <w:ind w:firstLine="420" w:firstLineChars="200"/>
        <w:rPr>
          <w:rFonts w:hint="eastAsia" w:ascii="Verdana" w:hAnsi="Verdana"/>
          <w:szCs w:val="21"/>
          <w:highlight w:val="none"/>
        </w:rPr>
      </w:pPr>
      <w:r>
        <w:rPr>
          <w:rFonts w:hint="eastAsia" w:ascii="宋体" w:hAnsi="宋体"/>
          <w:szCs w:val="21"/>
          <w:highlight w:val="none"/>
        </w:rPr>
        <w:t>（7）文明管理体系与措施</w:t>
      </w:r>
    </w:p>
    <w:p>
      <w:pPr>
        <w:spacing w:line="400" w:lineRule="exact"/>
        <w:ind w:firstLine="420" w:firstLineChars="200"/>
        <w:rPr>
          <w:rFonts w:hint="eastAsia" w:ascii="Verdana" w:hAnsi="Verdana"/>
          <w:szCs w:val="21"/>
          <w:highlight w:val="none"/>
        </w:rPr>
      </w:pPr>
      <w:r>
        <w:rPr>
          <w:rFonts w:hint="eastAsia" w:ascii="宋体" w:hAnsi="宋体"/>
          <w:szCs w:val="21"/>
          <w:highlight w:val="none"/>
        </w:rPr>
        <w:t>（8）施工管理及措施</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（9）资源配备计划及措施</w:t>
      </w:r>
    </w:p>
    <w:p>
      <w:pPr>
        <w:spacing w:line="400" w:lineRule="exact"/>
        <w:ind w:firstLine="420" w:firstLineChars="200"/>
        <w:rPr>
          <w:rFonts w:ascii="Verdana" w:hAnsi="Verdana"/>
          <w:szCs w:val="21"/>
          <w:highlight w:val="none"/>
        </w:rPr>
      </w:pPr>
      <w:r>
        <w:rPr>
          <w:rFonts w:hint="eastAsia" w:ascii="宋体" w:hAnsi="宋体"/>
          <w:szCs w:val="21"/>
          <w:highlight w:val="none"/>
        </w:rPr>
        <w:t>（10）施工关键部位、材料采购要点的控制及措施（根据工程特点及磋商文件要求应具有针对性）</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2．施工组织设计除采用文字表述外可附下列图表。</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附表一  拟投入本工程的主要施工设备表</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附表二  拟配备本工程的试验和检测仪器设备表</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附表三  劳动力计划表</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附表四  计划开、竣工日期和施工进度网络图</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附表五  施工总平面图</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highlight w:val="none"/>
        </w:rPr>
      </w:pPr>
      <w:bookmarkStart w:id="61" w:name="_Toc300901199"/>
      <w:bookmarkStart w:id="62" w:name="_Toc18469"/>
      <w:bookmarkStart w:id="63" w:name="_Toc323642004"/>
      <w:bookmarkStart w:id="64" w:name="_Toc374107073"/>
      <w:r>
        <w:rPr>
          <w:rFonts w:hint="eastAsia" w:ascii="黑体" w:hAnsi="宋体" w:eastAsia="黑体"/>
          <w:sz w:val="24"/>
          <w:highlight w:val="none"/>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序号</w:t>
            </w:r>
          </w:p>
        </w:tc>
        <w:tc>
          <w:tcPr>
            <w:tcW w:w="1163"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设备名称</w:t>
            </w:r>
          </w:p>
        </w:tc>
        <w:tc>
          <w:tcPr>
            <w:tcW w:w="734"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型号</w:t>
            </w:r>
          </w:p>
          <w:p>
            <w:pPr>
              <w:spacing w:line="360" w:lineRule="auto"/>
              <w:jc w:val="center"/>
              <w:rPr>
                <w:rFonts w:hint="eastAsia" w:ascii="宋体" w:hAnsi="宋体"/>
                <w:szCs w:val="21"/>
                <w:highlight w:val="none"/>
              </w:rPr>
            </w:pPr>
            <w:r>
              <w:rPr>
                <w:rFonts w:hint="eastAsia" w:ascii="宋体" w:hAnsi="宋体"/>
                <w:szCs w:val="21"/>
                <w:highlight w:val="none"/>
              </w:rPr>
              <w:t>规格</w:t>
            </w:r>
          </w:p>
        </w:tc>
        <w:tc>
          <w:tcPr>
            <w:tcW w:w="1116"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数  量</w:t>
            </w:r>
          </w:p>
        </w:tc>
        <w:tc>
          <w:tcPr>
            <w:tcW w:w="774"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国别</w:t>
            </w:r>
          </w:p>
          <w:p>
            <w:pPr>
              <w:spacing w:line="360" w:lineRule="auto"/>
              <w:jc w:val="center"/>
              <w:rPr>
                <w:rFonts w:hint="eastAsia" w:ascii="宋体" w:hAnsi="宋体"/>
                <w:szCs w:val="21"/>
                <w:highlight w:val="none"/>
              </w:rPr>
            </w:pPr>
            <w:r>
              <w:rPr>
                <w:rFonts w:hint="eastAsia" w:ascii="宋体" w:hAnsi="宋体"/>
                <w:szCs w:val="21"/>
                <w:highlight w:val="none"/>
              </w:rPr>
              <w:t>产地</w:t>
            </w:r>
          </w:p>
        </w:tc>
        <w:tc>
          <w:tcPr>
            <w:tcW w:w="774"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制造</w:t>
            </w:r>
          </w:p>
          <w:p>
            <w:pPr>
              <w:spacing w:line="360" w:lineRule="auto"/>
              <w:jc w:val="center"/>
              <w:rPr>
                <w:rFonts w:hint="eastAsia" w:ascii="宋体" w:hAnsi="宋体"/>
                <w:szCs w:val="21"/>
                <w:highlight w:val="none"/>
              </w:rPr>
            </w:pPr>
            <w:r>
              <w:rPr>
                <w:rFonts w:hint="eastAsia" w:ascii="宋体" w:hAnsi="宋体"/>
                <w:szCs w:val="21"/>
                <w:highlight w:val="none"/>
              </w:rPr>
              <w:t>年份</w:t>
            </w:r>
          </w:p>
        </w:tc>
        <w:tc>
          <w:tcPr>
            <w:tcW w:w="1283"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额定功率</w:t>
            </w:r>
          </w:p>
          <w:p>
            <w:pPr>
              <w:spacing w:line="360" w:lineRule="auto"/>
              <w:jc w:val="center"/>
              <w:rPr>
                <w:rFonts w:hint="eastAsia" w:ascii="宋体" w:hAnsi="宋体"/>
                <w:szCs w:val="21"/>
                <w:highlight w:val="none"/>
              </w:rPr>
            </w:pPr>
            <w:r>
              <w:rPr>
                <w:rFonts w:hint="eastAsia" w:ascii="宋体" w:hAnsi="宋体"/>
                <w:szCs w:val="21"/>
                <w:highlight w:val="none"/>
              </w:rPr>
              <w:t>（KW）</w:t>
            </w:r>
          </w:p>
        </w:tc>
        <w:tc>
          <w:tcPr>
            <w:tcW w:w="953"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生产</w:t>
            </w:r>
          </w:p>
          <w:p>
            <w:pPr>
              <w:spacing w:line="360" w:lineRule="auto"/>
              <w:jc w:val="center"/>
              <w:rPr>
                <w:rFonts w:hint="eastAsia" w:ascii="宋体" w:hAnsi="宋体"/>
                <w:szCs w:val="21"/>
                <w:highlight w:val="none"/>
              </w:rPr>
            </w:pPr>
            <w:r>
              <w:rPr>
                <w:rFonts w:hint="eastAsia" w:ascii="宋体" w:hAnsi="宋体"/>
                <w:szCs w:val="21"/>
                <w:highlight w:val="none"/>
              </w:rPr>
              <w:t>能力</w:t>
            </w:r>
          </w:p>
        </w:tc>
        <w:tc>
          <w:tcPr>
            <w:tcW w:w="953"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用于施</w:t>
            </w:r>
          </w:p>
          <w:p>
            <w:pPr>
              <w:spacing w:line="360" w:lineRule="auto"/>
              <w:jc w:val="center"/>
              <w:rPr>
                <w:rFonts w:hint="eastAsia" w:ascii="宋体" w:hAnsi="宋体"/>
                <w:szCs w:val="21"/>
                <w:highlight w:val="none"/>
              </w:rPr>
            </w:pPr>
            <w:r>
              <w:rPr>
                <w:rFonts w:hint="eastAsia" w:ascii="宋体" w:hAnsi="宋体"/>
                <w:szCs w:val="21"/>
                <w:highlight w:val="none"/>
              </w:rPr>
              <w:t>工部位</w:t>
            </w:r>
          </w:p>
        </w:tc>
        <w:tc>
          <w:tcPr>
            <w:tcW w:w="832"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highlight w:val="none"/>
              </w:rPr>
            </w:pPr>
          </w:p>
        </w:tc>
        <w:tc>
          <w:tcPr>
            <w:tcW w:w="1163" w:type="dxa"/>
            <w:noWrap w:val="0"/>
            <w:vAlign w:val="center"/>
          </w:tcPr>
          <w:p>
            <w:pPr>
              <w:jc w:val="center"/>
              <w:rPr>
                <w:rFonts w:hint="eastAsia" w:ascii="宋体" w:hAnsi="宋体"/>
                <w:szCs w:val="21"/>
                <w:highlight w:val="none"/>
              </w:rPr>
            </w:pPr>
          </w:p>
        </w:tc>
        <w:tc>
          <w:tcPr>
            <w:tcW w:w="734"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p>
        </w:tc>
        <w:tc>
          <w:tcPr>
            <w:tcW w:w="128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953" w:type="dxa"/>
            <w:noWrap w:val="0"/>
            <w:vAlign w:val="center"/>
          </w:tcPr>
          <w:p>
            <w:pPr>
              <w:jc w:val="center"/>
              <w:rPr>
                <w:rFonts w:hint="eastAsia" w:ascii="宋体" w:hAnsi="宋体"/>
                <w:szCs w:val="21"/>
                <w:highlight w:val="none"/>
              </w:rPr>
            </w:pPr>
          </w:p>
        </w:tc>
        <w:tc>
          <w:tcPr>
            <w:tcW w:w="832" w:type="dxa"/>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spacing w:before="143" w:beforeLines="50" w:after="286" w:afterLines="100" w:line="420" w:lineRule="exact"/>
        <w:rPr>
          <w:rFonts w:hint="eastAsia" w:ascii="宋体" w:hAnsi="宋体"/>
          <w:szCs w:val="21"/>
          <w:highlight w:val="none"/>
        </w:rPr>
      </w:pPr>
    </w:p>
    <w:p>
      <w:pPr>
        <w:spacing w:before="143" w:beforeLines="50" w:after="286" w:afterLines="100" w:line="420" w:lineRule="exact"/>
        <w:rPr>
          <w:rFonts w:hint="eastAsia" w:ascii="宋体" w:hAnsi="宋体"/>
          <w:szCs w:val="21"/>
          <w:highlight w:val="none"/>
        </w:rPr>
      </w:pPr>
    </w:p>
    <w:p>
      <w:pPr>
        <w:spacing w:before="143" w:beforeLines="50" w:after="286" w:afterLines="100" w:line="420" w:lineRule="exact"/>
        <w:rPr>
          <w:rFonts w:hint="eastAsia" w:ascii="宋体" w:hAnsi="宋体"/>
          <w:szCs w:val="21"/>
          <w:highlight w:val="none"/>
        </w:rPr>
      </w:pPr>
    </w:p>
    <w:p>
      <w:pPr>
        <w:spacing w:before="143" w:beforeLines="50" w:after="286" w:afterLines="100" w:line="420" w:lineRule="exact"/>
        <w:rPr>
          <w:rFonts w:hint="eastAsia" w:ascii="黑体" w:hAnsi="宋体" w:eastAsia="黑体"/>
          <w:sz w:val="24"/>
          <w:highlight w:val="none"/>
        </w:rPr>
      </w:pPr>
      <w:r>
        <w:rPr>
          <w:rFonts w:hint="eastAsia" w:ascii="黑体" w:hAnsi="宋体" w:eastAsia="黑体"/>
          <w:sz w:val="24"/>
          <w:highlight w:val="none"/>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highlight w:val="none"/>
              </w:rPr>
            </w:pPr>
            <w:r>
              <w:rPr>
                <w:rFonts w:hint="eastAsia" w:ascii="宋体" w:hAnsi="宋体"/>
                <w:szCs w:val="21"/>
                <w:highlight w:val="none"/>
              </w:rPr>
              <w:t>序号</w:t>
            </w:r>
          </w:p>
        </w:tc>
        <w:tc>
          <w:tcPr>
            <w:tcW w:w="1405" w:type="dxa"/>
            <w:noWrap w:val="0"/>
            <w:vAlign w:val="center"/>
          </w:tcPr>
          <w:p>
            <w:pPr>
              <w:jc w:val="center"/>
              <w:rPr>
                <w:rFonts w:hint="eastAsia" w:ascii="宋体" w:hAnsi="宋体"/>
                <w:szCs w:val="21"/>
                <w:highlight w:val="none"/>
              </w:rPr>
            </w:pPr>
            <w:r>
              <w:rPr>
                <w:rFonts w:hint="eastAsia" w:ascii="宋体" w:hAnsi="宋体"/>
                <w:szCs w:val="21"/>
                <w:highlight w:val="none"/>
              </w:rPr>
              <w:t>仪器设备</w:t>
            </w:r>
          </w:p>
          <w:p>
            <w:pPr>
              <w:jc w:val="center"/>
              <w:rPr>
                <w:rFonts w:hint="eastAsia" w:ascii="宋体" w:hAnsi="宋体"/>
                <w:szCs w:val="21"/>
                <w:highlight w:val="none"/>
              </w:rPr>
            </w:pPr>
            <w:r>
              <w:rPr>
                <w:rFonts w:hint="eastAsia" w:ascii="宋体" w:hAnsi="宋体"/>
                <w:szCs w:val="21"/>
                <w:highlight w:val="none"/>
              </w:rPr>
              <w:t>名    称</w:t>
            </w:r>
          </w:p>
        </w:tc>
        <w:tc>
          <w:tcPr>
            <w:tcW w:w="846" w:type="dxa"/>
            <w:noWrap w:val="0"/>
            <w:vAlign w:val="center"/>
          </w:tcPr>
          <w:p>
            <w:pPr>
              <w:jc w:val="center"/>
              <w:rPr>
                <w:rFonts w:hint="eastAsia" w:ascii="宋体" w:hAnsi="宋体"/>
                <w:szCs w:val="21"/>
                <w:highlight w:val="none"/>
              </w:rPr>
            </w:pPr>
            <w:r>
              <w:rPr>
                <w:rFonts w:hint="eastAsia" w:ascii="宋体" w:hAnsi="宋体"/>
                <w:szCs w:val="21"/>
                <w:highlight w:val="none"/>
              </w:rPr>
              <w:t>型号</w:t>
            </w:r>
          </w:p>
          <w:p>
            <w:pPr>
              <w:jc w:val="center"/>
              <w:rPr>
                <w:rFonts w:hint="eastAsia" w:ascii="宋体" w:hAnsi="宋体"/>
                <w:szCs w:val="21"/>
                <w:highlight w:val="none"/>
              </w:rPr>
            </w:pPr>
            <w:r>
              <w:rPr>
                <w:rFonts w:hint="eastAsia" w:ascii="宋体" w:hAnsi="宋体"/>
                <w:szCs w:val="21"/>
                <w:highlight w:val="none"/>
              </w:rPr>
              <w:t>规格</w:t>
            </w:r>
          </w:p>
        </w:tc>
        <w:tc>
          <w:tcPr>
            <w:tcW w:w="1125" w:type="dxa"/>
            <w:noWrap w:val="0"/>
            <w:vAlign w:val="center"/>
          </w:tcPr>
          <w:p>
            <w:pPr>
              <w:jc w:val="center"/>
              <w:rPr>
                <w:rFonts w:hint="eastAsia" w:ascii="宋体" w:hAnsi="宋体"/>
                <w:szCs w:val="21"/>
                <w:highlight w:val="none"/>
              </w:rPr>
            </w:pPr>
            <w:r>
              <w:rPr>
                <w:rFonts w:hint="eastAsia" w:ascii="宋体" w:hAnsi="宋体"/>
                <w:szCs w:val="21"/>
                <w:highlight w:val="none"/>
              </w:rPr>
              <w:t>数  量</w:t>
            </w:r>
          </w:p>
        </w:tc>
        <w:tc>
          <w:tcPr>
            <w:tcW w:w="845" w:type="dxa"/>
            <w:noWrap w:val="0"/>
            <w:vAlign w:val="center"/>
          </w:tcPr>
          <w:p>
            <w:pPr>
              <w:jc w:val="center"/>
              <w:rPr>
                <w:rFonts w:hint="eastAsia" w:ascii="宋体" w:hAnsi="宋体"/>
                <w:szCs w:val="21"/>
                <w:highlight w:val="none"/>
              </w:rPr>
            </w:pPr>
            <w:r>
              <w:rPr>
                <w:rFonts w:hint="eastAsia" w:ascii="宋体" w:hAnsi="宋体"/>
                <w:szCs w:val="21"/>
                <w:highlight w:val="none"/>
              </w:rPr>
              <w:t>国别</w:t>
            </w:r>
          </w:p>
          <w:p>
            <w:pPr>
              <w:jc w:val="center"/>
              <w:rPr>
                <w:rFonts w:hint="eastAsia" w:ascii="宋体" w:hAnsi="宋体"/>
                <w:szCs w:val="21"/>
                <w:highlight w:val="none"/>
              </w:rPr>
            </w:pPr>
            <w:r>
              <w:rPr>
                <w:rFonts w:hint="eastAsia" w:ascii="宋体" w:hAnsi="宋体"/>
                <w:szCs w:val="21"/>
                <w:highlight w:val="none"/>
              </w:rPr>
              <w:t>产地</w:t>
            </w:r>
          </w:p>
        </w:tc>
        <w:tc>
          <w:tcPr>
            <w:tcW w:w="845" w:type="dxa"/>
            <w:noWrap w:val="0"/>
            <w:vAlign w:val="center"/>
          </w:tcPr>
          <w:p>
            <w:pPr>
              <w:jc w:val="center"/>
              <w:rPr>
                <w:rFonts w:hint="eastAsia" w:ascii="宋体" w:hAnsi="宋体"/>
                <w:szCs w:val="21"/>
                <w:highlight w:val="none"/>
              </w:rPr>
            </w:pPr>
            <w:r>
              <w:rPr>
                <w:rFonts w:hint="eastAsia" w:ascii="宋体" w:hAnsi="宋体"/>
                <w:szCs w:val="21"/>
                <w:highlight w:val="none"/>
              </w:rPr>
              <w:t>制造</w:t>
            </w:r>
          </w:p>
          <w:p>
            <w:pPr>
              <w:jc w:val="center"/>
              <w:rPr>
                <w:rFonts w:hint="eastAsia" w:ascii="宋体" w:hAnsi="宋体"/>
                <w:szCs w:val="21"/>
                <w:highlight w:val="none"/>
              </w:rPr>
            </w:pPr>
            <w:r>
              <w:rPr>
                <w:rFonts w:hint="eastAsia" w:ascii="宋体" w:hAnsi="宋体"/>
                <w:szCs w:val="21"/>
                <w:highlight w:val="none"/>
              </w:rPr>
              <w:t>年份</w:t>
            </w:r>
          </w:p>
        </w:tc>
        <w:tc>
          <w:tcPr>
            <w:tcW w:w="1404" w:type="dxa"/>
            <w:noWrap w:val="0"/>
            <w:vAlign w:val="center"/>
          </w:tcPr>
          <w:p>
            <w:pPr>
              <w:jc w:val="center"/>
              <w:rPr>
                <w:rFonts w:hint="eastAsia" w:ascii="宋体" w:hAnsi="宋体"/>
                <w:szCs w:val="21"/>
                <w:highlight w:val="none"/>
              </w:rPr>
            </w:pPr>
            <w:r>
              <w:rPr>
                <w:rFonts w:hint="eastAsia" w:ascii="宋体" w:hAnsi="宋体"/>
                <w:szCs w:val="21"/>
                <w:highlight w:val="none"/>
              </w:rPr>
              <w:t>已使用</w:t>
            </w:r>
          </w:p>
          <w:p>
            <w:pPr>
              <w:jc w:val="center"/>
              <w:rPr>
                <w:rFonts w:hint="eastAsia" w:ascii="宋体" w:hAnsi="宋体"/>
                <w:szCs w:val="21"/>
                <w:highlight w:val="none"/>
              </w:rPr>
            </w:pPr>
            <w:r>
              <w:rPr>
                <w:rFonts w:hint="eastAsia" w:ascii="宋体" w:hAnsi="宋体"/>
                <w:szCs w:val="21"/>
                <w:highlight w:val="none"/>
              </w:rPr>
              <w:t>台时数</w:t>
            </w:r>
          </w:p>
        </w:tc>
        <w:tc>
          <w:tcPr>
            <w:tcW w:w="1125" w:type="dxa"/>
            <w:noWrap w:val="0"/>
            <w:vAlign w:val="center"/>
          </w:tcPr>
          <w:p>
            <w:pPr>
              <w:jc w:val="center"/>
              <w:rPr>
                <w:rFonts w:hint="eastAsia" w:ascii="宋体" w:hAnsi="宋体"/>
                <w:szCs w:val="21"/>
                <w:highlight w:val="none"/>
              </w:rPr>
            </w:pPr>
            <w:r>
              <w:rPr>
                <w:rFonts w:hint="eastAsia" w:ascii="宋体" w:hAnsi="宋体"/>
                <w:szCs w:val="21"/>
                <w:highlight w:val="none"/>
              </w:rPr>
              <w:t>用  途</w:t>
            </w:r>
          </w:p>
        </w:tc>
        <w:tc>
          <w:tcPr>
            <w:tcW w:w="845" w:type="dxa"/>
            <w:noWrap w:val="0"/>
            <w:vAlign w:val="center"/>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highlight w:val="none"/>
              </w:rPr>
            </w:pPr>
          </w:p>
        </w:tc>
        <w:tc>
          <w:tcPr>
            <w:tcW w:w="1405" w:type="dxa"/>
            <w:noWrap w:val="0"/>
            <w:vAlign w:val="center"/>
          </w:tcPr>
          <w:p>
            <w:pPr>
              <w:jc w:val="center"/>
              <w:rPr>
                <w:rFonts w:hint="eastAsia" w:ascii="宋体" w:hAnsi="宋体"/>
                <w:szCs w:val="21"/>
                <w:highlight w:val="none"/>
              </w:rPr>
            </w:pPr>
          </w:p>
        </w:tc>
        <w:tc>
          <w:tcPr>
            <w:tcW w:w="846"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c>
          <w:tcPr>
            <w:tcW w:w="1404" w:type="dxa"/>
            <w:noWrap w:val="0"/>
            <w:vAlign w:val="center"/>
          </w:tcPr>
          <w:p>
            <w:pPr>
              <w:jc w:val="center"/>
              <w:rPr>
                <w:rFonts w:hint="eastAsia" w:ascii="宋体" w:hAnsi="宋体"/>
                <w:szCs w:val="21"/>
                <w:highlight w:val="none"/>
              </w:rPr>
            </w:pPr>
          </w:p>
        </w:tc>
        <w:tc>
          <w:tcPr>
            <w:tcW w:w="1125" w:type="dxa"/>
            <w:noWrap w:val="0"/>
            <w:vAlign w:val="center"/>
          </w:tcPr>
          <w:p>
            <w:pPr>
              <w:jc w:val="center"/>
              <w:rPr>
                <w:rFonts w:hint="eastAsia" w:ascii="宋体" w:hAnsi="宋体"/>
                <w:szCs w:val="21"/>
                <w:highlight w:val="none"/>
              </w:rPr>
            </w:pPr>
          </w:p>
        </w:tc>
        <w:tc>
          <w:tcPr>
            <w:tcW w:w="845" w:type="dxa"/>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spacing w:before="143" w:beforeLines="50" w:after="143" w:afterLines="5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附表三：劳动力计划表</w:t>
      </w:r>
    </w:p>
    <w:p>
      <w:pPr>
        <w:wordWrap w:val="0"/>
        <w:spacing w:line="420" w:lineRule="exact"/>
        <w:jc w:val="right"/>
        <w:rPr>
          <w:rFonts w:hint="eastAsia" w:ascii="黑体" w:hAnsi="宋体" w:eastAsia="黑体"/>
          <w:szCs w:val="21"/>
          <w:highlight w:val="none"/>
        </w:rPr>
      </w:pPr>
      <w:r>
        <w:rPr>
          <w:rFonts w:hint="eastAsia" w:ascii="黑体" w:hAnsi="宋体" w:eastAsia="黑体"/>
          <w:szCs w:val="21"/>
          <w:highlight w:val="none"/>
        </w:rPr>
        <w:t xml:space="preserve">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highlight w:val="none"/>
              </w:rPr>
            </w:pPr>
            <w:r>
              <w:rPr>
                <w:rFonts w:hint="eastAsia" w:ascii="宋体" w:hAnsi="宋体"/>
                <w:szCs w:val="21"/>
                <w:highlight w:val="none"/>
              </w:rPr>
              <w:t>工种</w:t>
            </w:r>
          </w:p>
        </w:tc>
        <w:tc>
          <w:tcPr>
            <w:tcW w:w="8080" w:type="dxa"/>
            <w:gridSpan w:val="7"/>
            <w:noWrap w:val="0"/>
            <w:vAlign w:val="center"/>
          </w:tcPr>
          <w:p>
            <w:pPr>
              <w:jc w:val="center"/>
              <w:rPr>
                <w:rFonts w:hint="eastAsia"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highlight w:val="none"/>
              </w:rPr>
            </w:pPr>
          </w:p>
        </w:tc>
        <w:tc>
          <w:tcPr>
            <w:tcW w:w="938"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161" w:type="dxa"/>
            <w:noWrap w:val="0"/>
            <w:vAlign w:val="center"/>
          </w:tcPr>
          <w:p>
            <w:pPr>
              <w:jc w:val="center"/>
              <w:rPr>
                <w:rFonts w:hint="eastAsia" w:ascii="宋体" w:hAnsi="宋体"/>
                <w:szCs w:val="21"/>
                <w:highlight w:val="none"/>
              </w:rPr>
            </w:pPr>
          </w:p>
        </w:tc>
        <w:tc>
          <w:tcPr>
            <w:tcW w:w="1337" w:type="dxa"/>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spacing w:before="143" w:beforeLines="50" w:after="286" w:afterLines="10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附表四：计划开、竣工日期和施工进度网络图</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2．施工进度表可采用网络图和（或）横道图表示。</w:t>
      </w:r>
    </w:p>
    <w:p>
      <w:pPr>
        <w:spacing w:before="143" w:beforeLines="50" w:after="286" w:afterLines="100" w:line="420" w:lineRule="exact"/>
        <w:rPr>
          <w:rFonts w:hint="eastAsia" w:ascii="宋体" w:hAnsi="宋体"/>
          <w:szCs w:val="21"/>
          <w:highlight w:val="none"/>
        </w:rPr>
      </w:pPr>
      <w:r>
        <w:rPr>
          <w:rFonts w:ascii="宋体" w:hAnsi="宋体"/>
          <w:szCs w:val="21"/>
          <w:highlight w:val="none"/>
        </w:rPr>
        <w:br w:type="page"/>
      </w:r>
      <w:r>
        <w:rPr>
          <w:rFonts w:hint="eastAsia" w:ascii="黑体" w:hAnsi="宋体" w:eastAsia="黑体"/>
          <w:sz w:val="24"/>
          <w:highlight w:val="none"/>
        </w:rPr>
        <w:t>附表五：施工总平面图</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附表六：临时用地表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highlight w:val="none"/>
              </w:rPr>
            </w:pPr>
            <w:r>
              <w:rPr>
                <w:rFonts w:hint="eastAsia" w:ascii="宋体" w:hAnsi="宋体"/>
                <w:szCs w:val="21"/>
                <w:highlight w:val="none"/>
              </w:rPr>
              <w:t>用  途</w:t>
            </w:r>
          </w:p>
        </w:tc>
        <w:tc>
          <w:tcPr>
            <w:tcW w:w="2270" w:type="dxa"/>
            <w:noWrap w:val="0"/>
            <w:vAlign w:val="center"/>
          </w:tcPr>
          <w:p>
            <w:pPr>
              <w:jc w:val="center"/>
              <w:rPr>
                <w:rFonts w:hint="eastAsia" w:ascii="宋体" w:hAnsi="宋体"/>
                <w:szCs w:val="21"/>
                <w:highlight w:val="none"/>
              </w:rPr>
            </w:pPr>
            <w:r>
              <w:rPr>
                <w:rFonts w:hint="eastAsia" w:ascii="宋体" w:hAnsi="宋体"/>
                <w:szCs w:val="21"/>
                <w:highlight w:val="none"/>
              </w:rPr>
              <w:t>面 积（平方米）</w:t>
            </w:r>
          </w:p>
        </w:tc>
        <w:tc>
          <w:tcPr>
            <w:tcW w:w="2270" w:type="dxa"/>
            <w:noWrap w:val="0"/>
            <w:vAlign w:val="center"/>
          </w:tcPr>
          <w:p>
            <w:pPr>
              <w:jc w:val="center"/>
              <w:rPr>
                <w:rFonts w:hint="eastAsia" w:ascii="宋体" w:hAnsi="宋体"/>
                <w:szCs w:val="21"/>
                <w:highlight w:val="none"/>
              </w:rPr>
            </w:pPr>
            <w:r>
              <w:rPr>
                <w:rFonts w:hint="eastAsia" w:ascii="宋体" w:hAnsi="宋体"/>
                <w:szCs w:val="21"/>
                <w:highlight w:val="none"/>
              </w:rPr>
              <w:t>位  置</w:t>
            </w:r>
          </w:p>
        </w:tc>
        <w:tc>
          <w:tcPr>
            <w:tcW w:w="2269" w:type="dxa"/>
            <w:noWrap w:val="0"/>
            <w:vAlign w:val="center"/>
          </w:tcPr>
          <w:p>
            <w:pPr>
              <w:jc w:val="center"/>
              <w:rPr>
                <w:rFonts w:hint="eastAsia" w:ascii="宋体" w:hAnsi="宋体"/>
                <w:szCs w:val="21"/>
                <w:highlight w:val="none"/>
              </w:rPr>
            </w:pPr>
            <w:r>
              <w:rPr>
                <w:rFonts w:hint="eastAsia" w:ascii="宋体" w:hAnsi="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70" w:type="dxa"/>
            <w:noWrap w:val="0"/>
            <w:vAlign w:val="top"/>
          </w:tcPr>
          <w:p>
            <w:pPr>
              <w:rPr>
                <w:rFonts w:hint="eastAsia" w:ascii="宋体" w:hAnsi="宋体"/>
                <w:szCs w:val="21"/>
                <w:highlight w:val="none"/>
              </w:rPr>
            </w:pPr>
          </w:p>
        </w:tc>
        <w:tc>
          <w:tcPr>
            <w:tcW w:w="2269" w:type="dxa"/>
            <w:noWrap w:val="0"/>
            <w:vAlign w:val="top"/>
          </w:tcPr>
          <w:p>
            <w:pPr>
              <w:rPr>
                <w:rFonts w:hint="eastAsia" w:ascii="宋体" w:hAnsi="宋体"/>
                <w:szCs w:val="21"/>
                <w:highlight w:val="none"/>
              </w:rPr>
            </w:pPr>
          </w:p>
        </w:tc>
      </w:tr>
    </w:tbl>
    <w:p>
      <w:pPr>
        <w:spacing w:line="420" w:lineRule="exact"/>
        <w:rPr>
          <w:rFonts w:hint="eastAsia" w:ascii="宋体" w:hAnsi="宋体"/>
          <w:szCs w:val="21"/>
          <w:highlight w:val="none"/>
        </w:rPr>
      </w:pPr>
    </w:p>
    <w:p>
      <w:pPr>
        <w:spacing w:line="420" w:lineRule="exact"/>
        <w:rPr>
          <w:rFonts w:hint="eastAsia" w:ascii="宋体" w:hAnsi="宋体"/>
          <w:szCs w:val="21"/>
          <w:highlight w:val="none"/>
        </w:rPr>
      </w:pPr>
    </w:p>
    <w:p>
      <w:pPr>
        <w:spacing w:line="420" w:lineRule="exact"/>
        <w:rPr>
          <w:rFonts w:ascii="宋体" w:hAnsi="宋体"/>
          <w:szCs w:val="21"/>
          <w:highlight w:val="none"/>
        </w:rPr>
      </w:pPr>
    </w:p>
    <w:bookmarkEnd w:id="61"/>
    <w:bookmarkEnd w:id="62"/>
    <w:bookmarkEnd w:id="63"/>
    <w:bookmarkEnd w:id="64"/>
    <w:p>
      <w:pPr>
        <w:pStyle w:val="2"/>
        <w:jc w:val="center"/>
        <w:rPr>
          <w:rFonts w:hint="eastAsia" w:ascii="宋体" w:hAnsi="宋体" w:eastAsia="宋体"/>
          <w:sz w:val="24"/>
          <w:highlight w:val="none"/>
        </w:rPr>
      </w:pPr>
      <w:bookmarkStart w:id="65" w:name="_Toc374107074"/>
      <w:bookmarkStart w:id="66" w:name="_Toc323642005"/>
      <w:bookmarkStart w:id="67" w:name="_Toc16398"/>
      <w:bookmarkStart w:id="68" w:name="_Toc300901200"/>
      <w:r>
        <w:rPr>
          <w:rFonts w:hint="eastAsia" w:ascii="宋体" w:hAnsi="宋体" w:eastAsia="宋体"/>
          <w:sz w:val="24"/>
          <w:szCs w:val="28"/>
          <w:highlight w:val="none"/>
        </w:rPr>
        <w:t>七、</w:t>
      </w:r>
      <w:r>
        <w:rPr>
          <w:rFonts w:hint="eastAsia" w:ascii="宋体" w:hAnsi="宋体" w:eastAsia="宋体"/>
          <w:sz w:val="24"/>
          <w:highlight w:val="none"/>
        </w:rPr>
        <w:t>建设工程扬尘治理工作承诺书</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highlight w:val="none"/>
          <w:lang w:bidi="ar"/>
        </w:rPr>
      </w:pP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pPr>
        <w:spacing w:line="360" w:lineRule="auto"/>
        <w:ind w:firstLine="420" w:firstLineChars="200"/>
        <w:rPr>
          <w:rFonts w:hint="eastAsia" w:ascii="宋体" w:hAnsi="宋体" w:cs="宋体"/>
          <w:szCs w:val="21"/>
          <w:highlight w:val="none"/>
          <w:lang w:bidi="ar"/>
        </w:rPr>
        <w:sectPr>
          <w:headerReference r:id="rId10" w:type="first"/>
          <w:footerReference r:id="rId12" w:type="first"/>
          <w:headerReference r:id="rId9" w:type="default"/>
          <w:footerReference r:id="rId11"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pPr>
        <w:pStyle w:val="2"/>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highlight w:val="none"/>
        </w:rPr>
      </w:pPr>
      <w:r>
        <w:rPr>
          <w:rFonts w:hint="eastAsia" w:ascii="黑体" w:hAnsi="宋体" w:eastAsia="黑体"/>
          <w:sz w:val="24"/>
          <w:highlight w:val="none"/>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供应商名称</w:t>
            </w:r>
          </w:p>
        </w:tc>
        <w:tc>
          <w:tcPr>
            <w:tcW w:w="7664" w:type="dxa"/>
            <w:gridSpan w:val="9"/>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注册地址</w:t>
            </w:r>
          </w:p>
        </w:tc>
        <w:tc>
          <w:tcPr>
            <w:tcW w:w="3700" w:type="dxa"/>
            <w:gridSpan w:val="5"/>
            <w:noWrap w:val="0"/>
            <w:vAlign w:val="center"/>
          </w:tcPr>
          <w:p>
            <w:pPr>
              <w:jc w:val="center"/>
              <w:rPr>
                <w:rFonts w:hint="eastAsia" w:ascii="宋体" w:hAnsi="宋体"/>
                <w:szCs w:val="21"/>
                <w:highlight w:val="none"/>
              </w:rPr>
            </w:pPr>
          </w:p>
        </w:tc>
        <w:tc>
          <w:tcPr>
            <w:tcW w:w="1361" w:type="dxa"/>
            <w:noWrap w:val="0"/>
            <w:vAlign w:val="center"/>
          </w:tcPr>
          <w:p>
            <w:pPr>
              <w:jc w:val="center"/>
              <w:rPr>
                <w:rFonts w:hint="eastAsia" w:ascii="宋体" w:hAnsi="宋体"/>
                <w:szCs w:val="21"/>
                <w:highlight w:val="none"/>
              </w:rPr>
            </w:pPr>
            <w:r>
              <w:rPr>
                <w:rFonts w:hint="eastAsia" w:ascii="宋体" w:hAnsi="宋体"/>
                <w:szCs w:val="21"/>
                <w:highlight w:val="none"/>
              </w:rPr>
              <w:t>邮政编码</w:t>
            </w:r>
          </w:p>
        </w:tc>
        <w:tc>
          <w:tcPr>
            <w:tcW w:w="2603" w:type="dxa"/>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联系方式</w:t>
            </w:r>
          </w:p>
        </w:tc>
        <w:tc>
          <w:tcPr>
            <w:tcW w:w="979" w:type="dxa"/>
            <w:noWrap w:val="0"/>
            <w:vAlign w:val="center"/>
          </w:tcPr>
          <w:p>
            <w:pPr>
              <w:jc w:val="center"/>
              <w:rPr>
                <w:rFonts w:hint="eastAsia" w:ascii="宋体" w:hAnsi="宋体"/>
                <w:szCs w:val="21"/>
                <w:highlight w:val="none"/>
              </w:rPr>
            </w:pPr>
            <w:r>
              <w:rPr>
                <w:rFonts w:hint="eastAsia" w:ascii="宋体" w:hAnsi="宋体"/>
                <w:szCs w:val="21"/>
                <w:highlight w:val="none"/>
              </w:rPr>
              <w:t>联系人</w:t>
            </w:r>
          </w:p>
        </w:tc>
        <w:tc>
          <w:tcPr>
            <w:tcW w:w="2721" w:type="dxa"/>
            <w:gridSpan w:val="4"/>
            <w:noWrap w:val="0"/>
            <w:vAlign w:val="center"/>
          </w:tcPr>
          <w:p>
            <w:pPr>
              <w:jc w:val="center"/>
              <w:rPr>
                <w:rFonts w:hint="eastAsia" w:ascii="宋体" w:hAnsi="宋体"/>
                <w:szCs w:val="21"/>
                <w:highlight w:val="none"/>
              </w:rPr>
            </w:pPr>
          </w:p>
        </w:tc>
        <w:tc>
          <w:tcPr>
            <w:tcW w:w="1361" w:type="dxa"/>
            <w:noWrap w:val="0"/>
            <w:vAlign w:val="center"/>
          </w:tcPr>
          <w:p>
            <w:pPr>
              <w:jc w:val="center"/>
              <w:rPr>
                <w:rFonts w:hint="eastAsia" w:ascii="宋体" w:hAnsi="宋体"/>
                <w:szCs w:val="21"/>
                <w:highlight w:val="none"/>
              </w:rPr>
            </w:pPr>
            <w:r>
              <w:rPr>
                <w:rFonts w:hint="eastAsia" w:ascii="宋体" w:hAnsi="宋体"/>
                <w:szCs w:val="21"/>
                <w:highlight w:val="none"/>
              </w:rPr>
              <w:t>电  话</w:t>
            </w:r>
          </w:p>
        </w:tc>
        <w:tc>
          <w:tcPr>
            <w:tcW w:w="2603" w:type="dxa"/>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highlight w:val="none"/>
              </w:rPr>
            </w:pPr>
          </w:p>
        </w:tc>
        <w:tc>
          <w:tcPr>
            <w:tcW w:w="979" w:type="dxa"/>
            <w:noWrap w:val="0"/>
            <w:vAlign w:val="center"/>
          </w:tcPr>
          <w:p>
            <w:pPr>
              <w:jc w:val="center"/>
              <w:rPr>
                <w:rFonts w:hint="eastAsia" w:ascii="宋体" w:hAnsi="宋体"/>
                <w:szCs w:val="21"/>
                <w:highlight w:val="none"/>
              </w:rPr>
            </w:pPr>
            <w:r>
              <w:rPr>
                <w:rFonts w:hint="eastAsia" w:ascii="宋体" w:hAnsi="宋体"/>
                <w:szCs w:val="21"/>
                <w:highlight w:val="none"/>
              </w:rPr>
              <w:t>传  真</w:t>
            </w:r>
          </w:p>
        </w:tc>
        <w:tc>
          <w:tcPr>
            <w:tcW w:w="2721" w:type="dxa"/>
            <w:gridSpan w:val="4"/>
            <w:noWrap w:val="0"/>
            <w:vAlign w:val="center"/>
          </w:tcPr>
          <w:p>
            <w:pPr>
              <w:jc w:val="center"/>
              <w:rPr>
                <w:rFonts w:hint="eastAsia" w:ascii="宋体" w:hAnsi="宋体"/>
                <w:szCs w:val="21"/>
                <w:highlight w:val="none"/>
              </w:rPr>
            </w:pPr>
          </w:p>
        </w:tc>
        <w:tc>
          <w:tcPr>
            <w:tcW w:w="1361" w:type="dxa"/>
            <w:noWrap w:val="0"/>
            <w:vAlign w:val="center"/>
          </w:tcPr>
          <w:p>
            <w:pPr>
              <w:jc w:val="center"/>
              <w:rPr>
                <w:rFonts w:hint="eastAsia" w:ascii="宋体" w:hAnsi="宋体"/>
                <w:szCs w:val="21"/>
                <w:highlight w:val="none"/>
              </w:rPr>
            </w:pPr>
            <w:r>
              <w:rPr>
                <w:rFonts w:hint="eastAsia" w:ascii="宋体" w:hAnsi="宋体"/>
                <w:szCs w:val="21"/>
                <w:highlight w:val="none"/>
              </w:rPr>
              <w:t>网  址</w:t>
            </w:r>
          </w:p>
        </w:tc>
        <w:tc>
          <w:tcPr>
            <w:tcW w:w="2603" w:type="dxa"/>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组织结构</w:t>
            </w:r>
          </w:p>
        </w:tc>
        <w:tc>
          <w:tcPr>
            <w:tcW w:w="7664" w:type="dxa"/>
            <w:gridSpan w:val="9"/>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法定代表人</w:t>
            </w:r>
          </w:p>
        </w:tc>
        <w:tc>
          <w:tcPr>
            <w:tcW w:w="979" w:type="dxa"/>
            <w:noWrap w:val="0"/>
            <w:vAlign w:val="center"/>
          </w:tcPr>
          <w:p>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pPr>
              <w:jc w:val="center"/>
              <w:rPr>
                <w:rFonts w:hint="eastAsia" w:ascii="宋体" w:hAnsi="宋体"/>
                <w:szCs w:val="21"/>
                <w:highlight w:val="none"/>
              </w:rPr>
            </w:pPr>
          </w:p>
        </w:tc>
        <w:tc>
          <w:tcPr>
            <w:tcW w:w="1393"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979" w:type="dxa"/>
            <w:noWrap w:val="0"/>
            <w:vAlign w:val="center"/>
          </w:tcPr>
          <w:p>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pPr>
              <w:jc w:val="center"/>
              <w:rPr>
                <w:rFonts w:hint="eastAsia" w:ascii="宋体" w:hAnsi="宋体"/>
                <w:szCs w:val="21"/>
                <w:highlight w:val="none"/>
              </w:rPr>
            </w:pPr>
          </w:p>
        </w:tc>
        <w:tc>
          <w:tcPr>
            <w:tcW w:w="1393"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pPr>
              <w:jc w:val="center"/>
              <w:rPr>
                <w:rFonts w:hint="eastAsia" w:ascii="宋体" w:hAnsi="宋体"/>
                <w:szCs w:val="21"/>
                <w:highlight w:val="none"/>
              </w:rPr>
            </w:pPr>
          </w:p>
        </w:tc>
        <w:tc>
          <w:tcPr>
            <w:tcW w:w="774" w:type="dxa"/>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成立时间</w:t>
            </w:r>
          </w:p>
        </w:tc>
        <w:tc>
          <w:tcPr>
            <w:tcW w:w="2095" w:type="dxa"/>
            <w:gridSpan w:val="2"/>
            <w:noWrap w:val="0"/>
            <w:vAlign w:val="center"/>
          </w:tcPr>
          <w:p>
            <w:pPr>
              <w:jc w:val="center"/>
              <w:rPr>
                <w:rFonts w:hint="eastAsia" w:ascii="宋体" w:hAnsi="宋体"/>
                <w:szCs w:val="21"/>
                <w:highlight w:val="none"/>
              </w:rPr>
            </w:pPr>
          </w:p>
        </w:tc>
        <w:tc>
          <w:tcPr>
            <w:tcW w:w="5569" w:type="dxa"/>
            <w:gridSpan w:val="7"/>
            <w:noWrap w:val="0"/>
            <w:vAlign w:val="center"/>
          </w:tcPr>
          <w:p>
            <w:pPr>
              <w:jc w:val="center"/>
              <w:rPr>
                <w:rFonts w:hint="eastAsia" w:ascii="宋体" w:hAns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企业资质等级</w:t>
            </w:r>
          </w:p>
        </w:tc>
        <w:tc>
          <w:tcPr>
            <w:tcW w:w="979"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1085"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其中</w:t>
            </w:r>
          </w:p>
        </w:tc>
        <w:tc>
          <w:tcPr>
            <w:tcW w:w="2165"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项目经理</w:t>
            </w:r>
          </w:p>
        </w:tc>
        <w:tc>
          <w:tcPr>
            <w:tcW w:w="2319"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营业执照号</w:t>
            </w:r>
          </w:p>
        </w:tc>
        <w:tc>
          <w:tcPr>
            <w:tcW w:w="979"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1085" w:type="dxa"/>
            <w:vMerge w:val="continue"/>
            <w:noWrap w:val="0"/>
            <w:vAlign w:val="center"/>
          </w:tcPr>
          <w:p>
            <w:pPr>
              <w:jc w:val="center"/>
              <w:rPr>
                <w:rFonts w:hint="eastAsia" w:ascii="宋体" w:hAnsi="宋体"/>
                <w:szCs w:val="21"/>
                <w:highlight w:val="none"/>
              </w:rPr>
            </w:pPr>
          </w:p>
        </w:tc>
        <w:tc>
          <w:tcPr>
            <w:tcW w:w="2165"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高级职称人员</w:t>
            </w:r>
          </w:p>
        </w:tc>
        <w:tc>
          <w:tcPr>
            <w:tcW w:w="2319"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注册资金</w:t>
            </w:r>
          </w:p>
        </w:tc>
        <w:tc>
          <w:tcPr>
            <w:tcW w:w="979"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1085" w:type="dxa"/>
            <w:vMerge w:val="continue"/>
            <w:noWrap w:val="0"/>
            <w:vAlign w:val="center"/>
          </w:tcPr>
          <w:p>
            <w:pPr>
              <w:jc w:val="center"/>
              <w:rPr>
                <w:rFonts w:hint="eastAsia" w:ascii="宋体" w:hAnsi="宋体"/>
                <w:szCs w:val="21"/>
                <w:highlight w:val="none"/>
              </w:rPr>
            </w:pPr>
          </w:p>
        </w:tc>
        <w:tc>
          <w:tcPr>
            <w:tcW w:w="2165"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中级职称人员</w:t>
            </w:r>
          </w:p>
        </w:tc>
        <w:tc>
          <w:tcPr>
            <w:tcW w:w="2319"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开户银行</w:t>
            </w:r>
          </w:p>
        </w:tc>
        <w:tc>
          <w:tcPr>
            <w:tcW w:w="979"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1085" w:type="dxa"/>
            <w:vMerge w:val="continue"/>
            <w:noWrap w:val="0"/>
            <w:vAlign w:val="center"/>
          </w:tcPr>
          <w:p>
            <w:pPr>
              <w:jc w:val="center"/>
              <w:rPr>
                <w:rFonts w:hint="eastAsia" w:ascii="宋体" w:hAnsi="宋体"/>
                <w:szCs w:val="21"/>
                <w:highlight w:val="none"/>
              </w:rPr>
            </w:pPr>
          </w:p>
        </w:tc>
        <w:tc>
          <w:tcPr>
            <w:tcW w:w="2165"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初级职称人员</w:t>
            </w:r>
          </w:p>
        </w:tc>
        <w:tc>
          <w:tcPr>
            <w:tcW w:w="2319"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账号</w:t>
            </w:r>
          </w:p>
        </w:tc>
        <w:tc>
          <w:tcPr>
            <w:tcW w:w="979" w:type="dxa"/>
            <w:noWrap w:val="0"/>
            <w:vAlign w:val="center"/>
          </w:tcPr>
          <w:p>
            <w:pPr>
              <w:jc w:val="center"/>
              <w:rPr>
                <w:rFonts w:hint="eastAsia" w:ascii="宋体" w:hAnsi="宋体"/>
                <w:szCs w:val="21"/>
                <w:highlight w:val="none"/>
              </w:rPr>
            </w:pPr>
          </w:p>
        </w:tc>
        <w:tc>
          <w:tcPr>
            <w:tcW w:w="1116" w:type="dxa"/>
            <w:noWrap w:val="0"/>
            <w:vAlign w:val="center"/>
          </w:tcPr>
          <w:p>
            <w:pPr>
              <w:jc w:val="center"/>
              <w:rPr>
                <w:rFonts w:hint="eastAsia" w:ascii="宋体" w:hAnsi="宋体"/>
                <w:szCs w:val="21"/>
                <w:highlight w:val="none"/>
              </w:rPr>
            </w:pPr>
          </w:p>
        </w:tc>
        <w:tc>
          <w:tcPr>
            <w:tcW w:w="1085" w:type="dxa"/>
            <w:vMerge w:val="continue"/>
            <w:noWrap w:val="0"/>
            <w:vAlign w:val="center"/>
          </w:tcPr>
          <w:p>
            <w:pPr>
              <w:jc w:val="center"/>
              <w:rPr>
                <w:rFonts w:hint="eastAsia" w:ascii="宋体" w:hAnsi="宋体"/>
                <w:szCs w:val="21"/>
                <w:highlight w:val="none"/>
              </w:rPr>
            </w:pPr>
          </w:p>
        </w:tc>
        <w:tc>
          <w:tcPr>
            <w:tcW w:w="2165"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技  工</w:t>
            </w:r>
          </w:p>
        </w:tc>
        <w:tc>
          <w:tcPr>
            <w:tcW w:w="2319"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经营范围</w:t>
            </w:r>
          </w:p>
        </w:tc>
        <w:tc>
          <w:tcPr>
            <w:tcW w:w="7664" w:type="dxa"/>
            <w:gridSpan w:val="9"/>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7664" w:type="dxa"/>
            <w:gridSpan w:val="9"/>
            <w:noWrap w:val="0"/>
            <w:vAlign w:val="center"/>
          </w:tcPr>
          <w:p>
            <w:pPr>
              <w:jc w:val="center"/>
              <w:rPr>
                <w:rFonts w:hint="eastAsia" w:ascii="宋体" w:hAnsi="宋体"/>
                <w:szCs w:val="21"/>
                <w:highlight w:val="none"/>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highlight w:val="none"/>
        </w:rPr>
        <w:t>备注：</w:t>
      </w:r>
      <w:r>
        <w:rPr>
          <w:rFonts w:hint="eastAsia" w:ascii="宋体" w:hAnsi="宋体"/>
          <w:b/>
          <w:bCs/>
          <w:szCs w:val="21"/>
          <w:highlight w:val="none"/>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9"/>
        <w:tabs>
          <w:tab w:val="left" w:pos="9638"/>
        </w:tabs>
        <w:spacing w:line="360" w:lineRule="auto"/>
        <w:ind w:right="-82" w:firstLine="413" w:firstLineChars="196"/>
        <w:rPr>
          <w:rFonts w:hint="eastAsia"/>
          <w:b/>
          <w:highlight w:val="none"/>
        </w:rPr>
      </w:pPr>
      <w:r>
        <w:rPr>
          <w:rFonts w:hint="eastAsia"/>
          <w:b/>
          <w:highlight w:val="none"/>
        </w:rPr>
        <w:t>供应商认为需要加以说明的其他内容和需要提供的证明文件</w:t>
      </w:r>
    </w:p>
    <w:p>
      <w:pPr>
        <w:pStyle w:val="19"/>
        <w:tabs>
          <w:tab w:val="left" w:pos="9638"/>
        </w:tabs>
        <w:spacing w:line="360" w:lineRule="auto"/>
        <w:ind w:right="-82" w:firstLine="413" w:firstLineChars="196"/>
        <w:rPr>
          <w:rFonts w:hint="eastAsia" w:ascii="宋体" w:hAnsi="宋体"/>
          <w:b/>
          <w:highlight w:val="none"/>
        </w:rPr>
      </w:pPr>
      <w:r>
        <w:rPr>
          <w:rFonts w:hint="eastAsia"/>
          <w:b/>
          <w:highlight w:val="none"/>
        </w:rPr>
        <w:t>1、</w:t>
      </w:r>
      <w:r>
        <w:rPr>
          <w:rFonts w:ascii="宋体" w:hAnsi="宋体"/>
          <w:b/>
          <w:highlight w:val="none"/>
        </w:rPr>
        <w:t>……</w:t>
      </w:r>
    </w:p>
    <w:p>
      <w:pPr>
        <w:pStyle w:val="19"/>
        <w:tabs>
          <w:tab w:val="left" w:pos="9638"/>
        </w:tabs>
        <w:spacing w:line="360" w:lineRule="auto"/>
        <w:ind w:right="-82" w:firstLine="413" w:firstLineChars="196"/>
        <w:rPr>
          <w:rFonts w:hint="eastAsia" w:ascii="宋体" w:hAnsi="宋体"/>
          <w:b/>
          <w:highlight w:val="none"/>
        </w:rPr>
      </w:pPr>
      <w:r>
        <w:rPr>
          <w:rFonts w:hint="eastAsia" w:ascii="宋体" w:hAnsi="宋体"/>
          <w:b/>
          <w:highlight w:val="none"/>
        </w:rPr>
        <w:t>2、</w:t>
      </w:r>
      <w:r>
        <w:rPr>
          <w:rFonts w:ascii="宋体" w:hAnsi="宋体"/>
          <w:b/>
          <w:highlight w:val="none"/>
        </w:rPr>
        <w:t>……</w:t>
      </w:r>
    </w:p>
    <w:p>
      <w:pPr>
        <w:pStyle w:val="19"/>
        <w:tabs>
          <w:tab w:val="left" w:pos="9638"/>
        </w:tabs>
        <w:spacing w:line="360" w:lineRule="auto"/>
        <w:ind w:right="-82" w:firstLine="413" w:firstLineChars="196"/>
        <w:rPr>
          <w:rFonts w:hint="eastAsia" w:ascii="宋体" w:hAnsi="宋体"/>
          <w:highlight w:val="none"/>
        </w:rPr>
      </w:pPr>
      <w:r>
        <w:rPr>
          <w:rFonts w:hint="eastAsia" w:ascii="宋体" w:hAnsi="宋体"/>
          <w:b/>
          <w:highlight w:val="none"/>
        </w:rPr>
        <w:t>3、</w:t>
      </w:r>
      <w:r>
        <w:rPr>
          <w:rFonts w:ascii="宋体" w:hAnsi="宋体"/>
          <w:b/>
          <w:highlight w:val="none"/>
        </w:rPr>
        <w:t>……</w:t>
      </w:r>
    </w:p>
    <w:p>
      <w:pPr>
        <w:spacing w:line="360" w:lineRule="auto"/>
        <w:rPr>
          <w:rFonts w:hint="eastAsia" w:ascii="宋体" w:hAnsi="宋体"/>
          <w:highlight w:val="none"/>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8"/>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highlight w:val="none"/>
        </w:rPr>
      </w:pPr>
    </w:p>
    <w:sectPr>
      <w:headerReference r:id="rId13" w:type="default"/>
      <w:footerReference r:id="rId14" w:type="default"/>
      <w:footerReference r:id="rId15"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Noto Sans Mono CJK JP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3F1F02AF"/>
    <w:multiLevelType w:val="singleLevel"/>
    <w:tmpl w:val="3F1F02AF"/>
    <w:lvl w:ilvl="0" w:tentative="0">
      <w:start w:val="1"/>
      <w:numFmt w:val="chineseCounting"/>
      <w:suff w:val="space"/>
      <w:lvlText w:val="第%1部分"/>
      <w:lvlJc w:val="left"/>
      <w:rPr>
        <w:rFonts w:hint="eastAsia"/>
      </w:rPr>
    </w:lvl>
  </w:abstractNum>
  <w:abstractNum w:abstractNumId="3">
    <w:nsid w:val="45F9C4D4"/>
    <w:multiLevelType w:val="singleLevel"/>
    <w:tmpl w:val="45F9C4D4"/>
    <w:lvl w:ilvl="0" w:tentative="0">
      <w:start w:val="13"/>
      <w:numFmt w:val="chineseCounting"/>
      <w:suff w:val="nothing"/>
      <w:lvlText w:val="%1、"/>
      <w:lvlJc w:val="left"/>
      <w:rPr>
        <w:rFonts w:hint="eastAsia"/>
      </w:rPr>
    </w:lvl>
  </w:abstractNum>
  <w:abstractNum w:abstractNumId="4">
    <w:nsid w:val="4615677A"/>
    <w:multiLevelType w:val="singleLevel"/>
    <w:tmpl w:val="4615677A"/>
    <w:lvl w:ilvl="0" w:tentative="0">
      <w:start w:val="12"/>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476970F7"/>
    <w:rsid w:val="004F7892"/>
    <w:rsid w:val="01F007F9"/>
    <w:rsid w:val="02723084"/>
    <w:rsid w:val="077F6F28"/>
    <w:rsid w:val="085E280E"/>
    <w:rsid w:val="0E210166"/>
    <w:rsid w:val="105C48D7"/>
    <w:rsid w:val="130F2490"/>
    <w:rsid w:val="14D82954"/>
    <w:rsid w:val="16BD6130"/>
    <w:rsid w:val="17372BC5"/>
    <w:rsid w:val="18584B66"/>
    <w:rsid w:val="19F42ABE"/>
    <w:rsid w:val="22E83A2F"/>
    <w:rsid w:val="23296ACE"/>
    <w:rsid w:val="23337719"/>
    <w:rsid w:val="27A60F7A"/>
    <w:rsid w:val="289E2551"/>
    <w:rsid w:val="28C47A45"/>
    <w:rsid w:val="2A2622F9"/>
    <w:rsid w:val="2DC06D87"/>
    <w:rsid w:val="33B8193B"/>
    <w:rsid w:val="3482393F"/>
    <w:rsid w:val="3AC24382"/>
    <w:rsid w:val="3AD3348D"/>
    <w:rsid w:val="3F4C143F"/>
    <w:rsid w:val="43AD2F61"/>
    <w:rsid w:val="452B08E8"/>
    <w:rsid w:val="476970F7"/>
    <w:rsid w:val="47D57152"/>
    <w:rsid w:val="4A6A7A2B"/>
    <w:rsid w:val="4D240C59"/>
    <w:rsid w:val="51201C4E"/>
    <w:rsid w:val="51356052"/>
    <w:rsid w:val="5B4B27DC"/>
    <w:rsid w:val="5B5216DC"/>
    <w:rsid w:val="5EEB75A2"/>
    <w:rsid w:val="60A9717D"/>
    <w:rsid w:val="633314A8"/>
    <w:rsid w:val="64AE37A1"/>
    <w:rsid w:val="678A327D"/>
    <w:rsid w:val="6CEA21C3"/>
    <w:rsid w:val="6D1B1683"/>
    <w:rsid w:val="6DEE3F48"/>
    <w:rsid w:val="6E184B85"/>
    <w:rsid w:val="6EFF062D"/>
    <w:rsid w:val="703B0CEC"/>
    <w:rsid w:val="73A55C20"/>
    <w:rsid w:val="76F56F04"/>
    <w:rsid w:val="7B3110F7"/>
    <w:rsid w:val="7BB008ED"/>
    <w:rsid w:val="7D2736DB"/>
    <w:rsid w:val="7D8F7C6C"/>
    <w:rsid w:val="7F1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beforeLines="0"/>
    </w:pPr>
    <w:rPr>
      <w:rFonts w:ascii="Arial" w:hAnsi="Arial"/>
      <w:sz w:val="24"/>
      <w:szCs w:val="20"/>
    </w:rPr>
  </w:style>
  <w:style w:type="paragraph" w:styleId="5">
    <w:name w:val="Body Text"/>
    <w:basedOn w:val="1"/>
    <w:next w:val="6"/>
    <w:autoRedefine/>
    <w:qFormat/>
    <w:uiPriority w:val="0"/>
    <w:rPr>
      <w:rFonts w:ascii="宋体"/>
      <w:sz w:val="32"/>
      <w:szCs w:val="20"/>
    </w:rPr>
  </w:style>
  <w:style w:type="paragraph" w:styleId="6">
    <w:name w:val="Body Text 2"/>
    <w:basedOn w:val="1"/>
    <w:next w:val="1"/>
    <w:autoRedefine/>
    <w:qFormat/>
    <w:uiPriority w:val="0"/>
    <w:rPr>
      <w:rFonts w:ascii="宋体" w:hAnsi="宋体"/>
      <w:b/>
      <w:bCs/>
      <w:sz w:val="24"/>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rPr>
      <w:sz w:val="24"/>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character" w:customStyle="1" w:styleId="21">
    <w:name w:val="NormalCharacter"/>
    <w:autoRedefine/>
    <w:qFormat/>
    <w:uiPriority w:val="99"/>
    <w:rPr>
      <w:sz w:val="20"/>
    </w:rPr>
  </w:style>
  <w:style w:type="paragraph" w:customStyle="1" w:styleId="22">
    <w:name w:val="Table Paragraph"/>
    <w:basedOn w:val="1"/>
    <w:autoRedefine/>
    <w:qFormat/>
    <w:uiPriority w:val="1"/>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33063</Words>
  <Characters>34697</Characters>
  <Lines>0</Lines>
  <Paragraphs>0</Paragraphs>
  <TotalTime>1</TotalTime>
  <ScaleCrop>false</ScaleCrop>
  <LinksUpToDate>false</LinksUpToDate>
  <CharactersWithSpaces>41404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夏天</cp:lastModifiedBy>
  <dcterms:modified xsi:type="dcterms:W3CDTF">2024-07-18T02:14:17Z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039825E5EE1B4209A2466E32A5549F81_13</vt:lpwstr>
  </property>
</Properties>
</file>