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bookmarkStart w:id="0" w:name="_GoBack"/>
            <w:r>
              <w:rPr>
                <w:rFonts w:hint="eastAsia" w:ascii="Arial" w:hAnsi="Arial"/>
                <w:color w:val="000000"/>
                <w:sz w:val="18"/>
                <w:szCs w:val="24"/>
              </w:rPr>
              <w:t>2024年邹城市田黄镇枣园村村内道路铺油工程-评审</w:t>
            </w:r>
            <w:bookmarkEnd w:id="0"/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210739.36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210739.36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16774.53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20511.69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248419.36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工程名称：2024年邹城市田黄镇枣园村村内道路铺油工程-评审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2.喷油量：0.3kg/m2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4393.48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1.沥青品种：中粒式沥青混凝土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2.沥青混凝土种类：AC-9C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3.石料粒径：中粒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206345.88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210739.36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210739.36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日期：2024-06-12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工程名称：2024年邹城市田黄镇枣园村村内道路铺油工程-评审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30.3113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3546.42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3122.06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乳化沥青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1129.7520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4338.25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4044.51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975.28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2398.35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2398.35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2812.12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2812.12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汽车式沥青喷洒机 4000L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1781.95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1781.95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17374.01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16980.85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工程名称：2024年邹城市田黄镇枣园村村内道路铺油工程-评审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工程名称：2024年邹城市田黄镇枣园村村内道路铺油工程-评审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11962.08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工程名称：2024年邹城市田黄镇枣园村村内道路铺油工程-评审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工程名称：2024年邹城市田黄镇枣园村村内道路铺油工程-评审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211133.14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211133.14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16774.53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12097.93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20511.69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37286.22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CF31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autoRedefine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1743</Words>
  <Characters>2829</Characters>
  <TotalTime>0</TotalTime>
  <ScaleCrop>false</ScaleCrop>
  <LinksUpToDate>false</LinksUpToDate>
  <CharactersWithSpaces>2959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2024-06-12T01:34:42Z</dcterms:created>
  <dc:creator>Administrator</dc:creator>
  <cp:lastModifiedBy>千千万万</cp:lastModifiedBy>
  <dcterms:modified xsi:type="dcterms:W3CDTF">2024-06-12T01:34:55Z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3B2654CA6893419E8A63327FB42DB537_13</vt:lpwstr>
  </property>
</Properties>
</file>