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hint="eastAsia" w:hAnsi="宋体"/>
          <w:b/>
          <w:color w:val="auto"/>
          <w:sz w:val="52"/>
          <w:szCs w:val="52"/>
          <w:lang w:eastAsia="zh-CN"/>
        </w:rPr>
      </w:pPr>
      <w:bookmarkStart w:id="0" w:name="_Toc381880843"/>
      <w:r>
        <w:rPr>
          <w:rFonts w:hint="eastAsia" w:hAnsi="宋体"/>
          <w:b/>
          <w:color w:val="auto"/>
          <w:sz w:val="52"/>
          <w:szCs w:val="52"/>
          <w:lang w:eastAsia="zh-CN"/>
        </w:rPr>
        <w:t>邹城市中心店镇乡村振兴路域</w:t>
      </w:r>
    </w:p>
    <w:p>
      <w:pPr>
        <w:pStyle w:val="19"/>
        <w:jc w:val="center"/>
        <w:rPr>
          <w:rFonts w:hint="eastAsia" w:hAnsi="宋体"/>
          <w:b/>
          <w:color w:val="auto"/>
          <w:sz w:val="52"/>
          <w:szCs w:val="52"/>
          <w:lang w:eastAsia="zh-CN"/>
        </w:rPr>
      </w:pPr>
      <w:r>
        <w:rPr>
          <w:rFonts w:hint="eastAsia" w:hAnsi="宋体"/>
          <w:b/>
          <w:color w:val="auto"/>
          <w:sz w:val="52"/>
          <w:szCs w:val="52"/>
          <w:lang w:eastAsia="zh-CN"/>
        </w:rPr>
        <w:t>(福美来内部路)环境提升工程</w:t>
      </w:r>
    </w:p>
    <w:p>
      <w:pPr>
        <w:pStyle w:val="19"/>
        <w:jc w:val="center"/>
        <w:rPr>
          <w:rFonts w:hint="eastAsia" w:hAnsi="宋体"/>
          <w:b/>
          <w:color w:val="auto"/>
          <w:sz w:val="52"/>
          <w:szCs w:val="52"/>
          <w:lang w:eastAsia="zh-CN"/>
        </w:rPr>
      </w:pPr>
    </w:p>
    <w:p>
      <w:pPr>
        <w:pStyle w:val="19"/>
        <w:jc w:val="center"/>
        <w:outlineLvl w:val="9"/>
        <w:rPr>
          <w:rFonts w:hAnsi="宋体"/>
          <w:b/>
          <w:color w:val="auto"/>
          <w:sz w:val="72"/>
          <w:szCs w:val="72"/>
        </w:rPr>
      </w:pPr>
      <w:bookmarkStart w:id="1" w:name="_Toc19227"/>
      <w:r>
        <w:rPr>
          <w:rFonts w:hint="eastAsia" w:hAnsi="宋体"/>
          <w:b/>
          <w:color w:val="auto"/>
          <w:sz w:val="72"/>
          <w:szCs w:val="72"/>
        </w:rPr>
        <w:t>竞争性磋商文件</w:t>
      </w:r>
      <w:bookmarkEnd w:id="0"/>
      <w:bookmarkEnd w:id="1"/>
    </w:p>
    <w:p>
      <w:pPr>
        <w:pStyle w:val="19"/>
        <w:jc w:val="center"/>
        <w:rPr>
          <w:rFonts w:hint="eastAsia" w:hAnsi="宋体" w:eastAsia="宋体"/>
          <w:b/>
          <w:color w:val="auto"/>
          <w:sz w:val="18"/>
          <w:szCs w:val="18"/>
          <w:lang w:eastAsia="zh-CN"/>
        </w:rPr>
      </w:pPr>
    </w:p>
    <w:p>
      <w:pPr>
        <w:pStyle w:val="19"/>
        <w:ind w:firstLine="2872" w:firstLineChars="894"/>
        <w:outlineLvl w:val="9"/>
        <w:rPr>
          <w:rFonts w:hint="eastAsia" w:hAnsi="宋体" w:eastAsia="宋体"/>
          <w:b/>
          <w:color w:val="auto"/>
          <w:sz w:val="32"/>
          <w:lang w:val="en-US" w:eastAsia="zh-CN"/>
        </w:rPr>
      </w:pPr>
      <w:bookmarkStart w:id="2" w:name="_Toc1930"/>
      <w:r>
        <w:rPr>
          <w:rFonts w:hint="eastAsia" w:hAnsi="宋体"/>
          <w:b/>
          <w:color w:val="auto"/>
          <w:sz w:val="32"/>
        </w:rPr>
        <w:t>项目编号</w:t>
      </w:r>
      <w:bookmarkEnd w:id="2"/>
      <w:r>
        <w:rPr>
          <w:rFonts w:hint="eastAsia" w:hAnsi="宋体"/>
          <w:b/>
          <w:color w:val="auto"/>
          <w:sz w:val="32"/>
          <w:lang w:val="en-US" w:eastAsia="zh-CN"/>
        </w:rPr>
        <w:t>:</w:t>
      </w:r>
      <w:r>
        <w:rPr>
          <w:rFonts w:hint="eastAsia" w:hAnsi="宋体"/>
          <w:b/>
          <w:color w:val="auto"/>
          <w:sz w:val="32"/>
          <w:lang w:eastAsia="zh-CN"/>
        </w:rPr>
        <w:t>KXJN-2023-ZX005</w:t>
      </w:r>
    </w:p>
    <w:p>
      <w:pPr>
        <w:jc w:val="center"/>
        <w:rPr>
          <w:rFonts w:ascii="宋体" w:hAnsi="宋体"/>
          <w:b/>
          <w:color w:val="auto"/>
          <w:sz w:val="36"/>
          <w:szCs w:val="36"/>
        </w:rPr>
      </w:pPr>
    </w:p>
    <w:p>
      <w:pPr>
        <w:jc w:val="center"/>
        <w:rPr>
          <w:rFonts w:ascii="宋体" w:hAnsi="宋体"/>
          <w:b/>
          <w:color w:val="auto"/>
          <w:sz w:val="36"/>
          <w:szCs w:val="36"/>
        </w:rPr>
      </w:pPr>
    </w:p>
    <w:p>
      <w:pPr>
        <w:jc w:val="center"/>
        <w:rPr>
          <w:rFonts w:ascii="宋体" w:hAnsi="宋体"/>
          <w:b/>
          <w:bCs/>
          <w:color w:val="auto"/>
          <w:kern w:val="16"/>
          <w:sz w:val="36"/>
          <w:szCs w:val="36"/>
        </w:rPr>
      </w:pPr>
    </w:p>
    <w:p>
      <w:pPr>
        <w:pStyle w:val="2"/>
        <w:rPr>
          <w:rFonts w:ascii="宋体" w:hAnsi="宋体"/>
          <w:b/>
          <w:bCs/>
          <w:color w:val="auto"/>
          <w:kern w:val="16"/>
          <w:sz w:val="36"/>
          <w:szCs w:val="36"/>
        </w:rPr>
      </w:pPr>
    </w:p>
    <w:p>
      <w:pPr>
        <w:pStyle w:val="85"/>
        <w:spacing w:line="600" w:lineRule="auto"/>
        <w:ind w:firstLine="1446" w:firstLineChars="400"/>
        <w:jc w:val="both"/>
        <w:rPr>
          <w:rFonts w:hint="eastAsia" w:ascii="宋体" w:hAnsi="宋体"/>
          <w:b/>
          <w:color w:val="auto"/>
          <w:sz w:val="36"/>
          <w:szCs w:val="36"/>
        </w:rPr>
      </w:pPr>
    </w:p>
    <w:p>
      <w:pPr>
        <w:pStyle w:val="85"/>
        <w:spacing w:line="600" w:lineRule="auto"/>
        <w:ind w:firstLine="1446" w:firstLineChars="400"/>
        <w:jc w:val="both"/>
        <w:rPr>
          <w:rFonts w:hint="eastAsia" w:ascii="宋体" w:hAnsi="宋体"/>
          <w:b/>
          <w:color w:val="auto"/>
          <w:sz w:val="36"/>
          <w:szCs w:val="36"/>
        </w:rPr>
      </w:pPr>
    </w:p>
    <w:p>
      <w:pPr>
        <w:pStyle w:val="85"/>
        <w:spacing w:line="600" w:lineRule="auto"/>
        <w:ind w:firstLine="1446" w:firstLineChars="400"/>
        <w:jc w:val="both"/>
        <w:rPr>
          <w:rFonts w:hint="eastAsia" w:ascii="宋体" w:hAnsi="宋体"/>
          <w:b/>
          <w:color w:val="auto"/>
          <w:sz w:val="36"/>
          <w:szCs w:val="36"/>
        </w:rPr>
      </w:pPr>
    </w:p>
    <w:p>
      <w:pPr>
        <w:pStyle w:val="85"/>
        <w:spacing w:line="600" w:lineRule="auto"/>
        <w:ind w:firstLine="1446" w:firstLineChars="400"/>
        <w:jc w:val="both"/>
        <w:rPr>
          <w:rFonts w:hint="eastAsia" w:ascii="宋体" w:hAnsi="宋体"/>
          <w:b/>
          <w:color w:val="auto"/>
          <w:sz w:val="36"/>
          <w:szCs w:val="36"/>
        </w:rPr>
      </w:pPr>
    </w:p>
    <w:p>
      <w:pPr>
        <w:pStyle w:val="85"/>
        <w:spacing w:line="600" w:lineRule="auto"/>
        <w:ind w:firstLine="1446" w:firstLineChars="400"/>
        <w:jc w:val="both"/>
        <w:outlineLvl w:val="9"/>
        <w:rPr>
          <w:rFonts w:hint="eastAsia" w:ascii="宋体" w:hAnsi="宋体" w:eastAsia="宋体"/>
          <w:b/>
          <w:color w:val="auto"/>
          <w:sz w:val="36"/>
          <w:szCs w:val="36"/>
          <w:lang w:val="en-US" w:eastAsia="zh-CN"/>
        </w:rPr>
      </w:pPr>
      <w:bookmarkStart w:id="3" w:name="_Toc23738"/>
      <w:r>
        <w:rPr>
          <w:rFonts w:hint="eastAsia" w:ascii="宋体" w:hAnsi="宋体"/>
          <w:b/>
          <w:color w:val="auto"/>
          <w:sz w:val="36"/>
          <w:szCs w:val="36"/>
        </w:rPr>
        <w:t>采 购 人：</w:t>
      </w:r>
      <w:bookmarkEnd w:id="3"/>
      <w:r>
        <w:rPr>
          <w:rFonts w:hint="eastAsia" w:ascii="宋体" w:hAnsi="宋体"/>
          <w:b/>
          <w:color w:val="auto"/>
          <w:sz w:val="36"/>
          <w:szCs w:val="36"/>
          <w:lang w:eastAsia="zh-CN"/>
        </w:rPr>
        <w:t>邹城市中心店镇人民政府</w:t>
      </w:r>
    </w:p>
    <w:p>
      <w:pPr>
        <w:pStyle w:val="85"/>
        <w:spacing w:line="600" w:lineRule="auto"/>
        <w:ind w:firstLine="1446" w:firstLineChars="400"/>
        <w:jc w:val="both"/>
        <w:outlineLvl w:val="9"/>
        <w:rPr>
          <w:rFonts w:hint="eastAsia" w:ascii="宋体" w:hAnsi="宋体" w:eastAsia="宋体"/>
          <w:b/>
          <w:color w:val="auto"/>
          <w:sz w:val="36"/>
          <w:szCs w:val="36"/>
          <w:lang w:eastAsia="zh-CN"/>
        </w:rPr>
      </w:pPr>
      <w:r>
        <w:rPr>
          <w:rFonts w:hint="eastAsia" w:ascii="宋体" w:hAnsi="宋体"/>
          <w:b/>
          <w:color w:val="auto"/>
          <w:sz w:val="36"/>
          <w:szCs w:val="36"/>
        </w:rPr>
        <w:t>代理机构：</w:t>
      </w:r>
      <w:r>
        <w:rPr>
          <w:rFonts w:hint="eastAsia" w:ascii="宋体" w:hAnsi="宋体"/>
          <w:b/>
          <w:color w:val="auto"/>
          <w:sz w:val="36"/>
          <w:szCs w:val="36"/>
          <w:lang w:eastAsia="zh-CN"/>
        </w:rPr>
        <w:t>科信建设项目管理有限公司</w:t>
      </w:r>
    </w:p>
    <w:p>
      <w:pPr>
        <w:tabs>
          <w:tab w:val="left" w:pos="1080"/>
        </w:tabs>
        <w:spacing w:line="600" w:lineRule="auto"/>
        <w:ind w:firstLine="1446" w:firstLineChars="400"/>
        <w:rPr>
          <w:rFonts w:hint="eastAsia" w:ascii="宋体" w:hAnsi="宋体" w:eastAsia="宋体"/>
          <w:b/>
          <w:color w:val="auto"/>
          <w:sz w:val="36"/>
          <w:szCs w:val="36"/>
          <w:lang w:eastAsia="zh-CN"/>
        </w:rPr>
        <w:sectPr>
          <w:headerReference r:id="rId3" w:type="first"/>
          <w:footerReference r:id="rId5" w:type="first"/>
          <w:footerReference r:id="rId4"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auto"/>
          <w:sz w:val="36"/>
          <w:szCs w:val="36"/>
        </w:rPr>
        <w:t>日    期：</w:t>
      </w:r>
      <w:r>
        <w:rPr>
          <w:rFonts w:hint="eastAsia" w:ascii="宋体" w:hAnsi="宋体"/>
          <w:b/>
          <w:color w:val="auto"/>
          <w:sz w:val="36"/>
          <w:szCs w:val="36"/>
          <w:lang w:eastAsia="zh-CN"/>
        </w:rPr>
        <w:t>二○二三年八月</w:t>
      </w:r>
    </w:p>
    <w:sdt>
      <w:sdtPr>
        <w:rPr>
          <w:rFonts w:ascii="宋体" w:hAnsi="宋体" w:eastAsia="宋体" w:cs="Times New Roman"/>
          <w:color w:val="auto"/>
          <w:kern w:val="2"/>
          <w:sz w:val="21"/>
          <w:szCs w:val="24"/>
          <w:lang w:val="en-US" w:eastAsia="zh-CN" w:bidi="ar-SA"/>
        </w:rPr>
        <w:id w:val="147477112"/>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color w:val="auto"/>
              <w:sz w:val="28"/>
              <w:szCs w:val="36"/>
            </w:rPr>
          </w:pPr>
          <w:r>
            <w:rPr>
              <w:rFonts w:ascii="宋体" w:hAnsi="宋体" w:eastAsia="宋体"/>
              <w:b/>
              <w:bCs/>
              <w:color w:val="auto"/>
              <w:sz w:val="28"/>
              <w:szCs w:val="36"/>
            </w:rPr>
            <w:t>目</w:t>
          </w:r>
          <w:r>
            <w:rPr>
              <w:rFonts w:hint="eastAsia" w:ascii="宋体" w:hAnsi="宋体" w:eastAsia="宋体"/>
              <w:b/>
              <w:bCs/>
              <w:color w:val="auto"/>
              <w:sz w:val="28"/>
              <w:szCs w:val="36"/>
              <w:lang w:val="en-US" w:eastAsia="zh-CN"/>
            </w:rPr>
            <w:t xml:space="preserve"> </w:t>
          </w:r>
          <w:r>
            <w:rPr>
              <w:rFonts w:ascii="宋体" w:hAnsi="宋体" w:eastAsia="宋体"/>
              <w:b/>
              <w:bCs/>
              <w:color w:val="auto"/>
              <w:sz w:val="28"/>
              <w:szCs w:val="36"/>
            </w:rPr>
            <w:t>录</w:t>
          </w:r>
        </w:p>
        <w:p>
          <w:pPr>
            <w:pStyle w:val="28"/>
            <w:tabs>
              <w:tab w:val="right" w:leader="dot" w:pos="9746"/>
            </w:tabs>
            <w:rPr>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TOC \o "1-1" \h \u </w:instrText>
          </w:r>
          <w:r>
            <w:rPr>
              <w:rFonts w:ascii="宋体" w:hAnsi="宋体"/>
              <w:color w:val="auto"/>
              <w:sz w:val="28"/>
              <w:szCs w:val="28"/>
            </w:rPr>
            <w:fldChar w:fldCharType="separate"/>
          </w:r>
          <w:r>
            <w:rPr>
              <w:rFonts w:ascii="宋体" w:hAnsi="宋体"/>
              <w:color w:val="auto"/>
              <w:sz w:val="28"/>
              <w:szCs w:val="28"/>
            </w:rPr>
            <w:fldChar w:fldCharType="begin"/>
          </w:r>
          <w:r>
            <w:rPr>
              <w:rFonts w:ascii="宋体" w:hAnsi="宋体"/>
              <w:color w:val="auto"/>
              <w:sz w:val="28"/>
              <w:szCs w:val="28"/>
            </w:rPr>
            <w:instrText xml:space="preserve"> HYPERLINK \l _Toc15762 </w:instrText>
          </w:r>
          <w:r>
            <w:rPr>
              <w:rFonts w:ascii="宋体" w:hAnsi="宋体"/>
              <w:color w:val="auto"/>
              <w:sz w:val="28"/>
              <w:szCs w:val="28"/>
            </w:rPr>
            <w:fldChar w:fldCharType="separate"/>
          </w:r>
          <w:r>
            <w:rPr>
              <w:rFonts w:hint="eastAsia" w:ascii="宋体" w:hAnsi="宋体" w:eastAsia="宋体" w:cs="宋体"/>
              <w:color w:val="auto"/>
              <w:sz w:val="28"/>
              <w:szCs w:val="28"/>
            </w:rPr>
            <w:t>第一部分  竞争性磋商公告</w:t>
          </w:r>
          <w:r>
            <w:rPr>
              <w:color w:val="auto"/>
              <w:sz w:val="28"/>
              <w:szCs w:val="28"/>
            </w:rPr>
            <w:tab/>
          </w:r>
          <w:r>
            <w:rPr>
              <w:color w:val="auto"/>
              <w:sz w:val="28"/>
              <w:szCs w:val="28"/>
            </w:rPr>
            <w:fldChar w:fldCharType="begin"/>
          </w:r>
          <w:r>
            <w:rPr>
              <w:color w:val="auto"/>
              <w:sz w:val="28"/>
              <w:szCs w:val="28"/>
            </w:rPr>
            <w:instrText xml:space="preserve"> PAGEREF _Toc15762 \h </w:instrText>
          </w:r>
          <w:r>
            <w:rPr>
              <w:color w:val="auto"/>
              <w:sz w:val="28"/>
              <w:szCs w:val="28"/>
            </w:rPr>
            <w:fldChar w:fldCharType="separate"/>
          </w:r>
          <w:r>
            <w:rPr>
              <w:color w:val="auto"/>
              <w:sz w:val="28"/>
              <w:szCs w:val="28"/>
            </w:rPr>
            <w:t>2</w:t>
          </w:r>
          <w:r>
            <w:rPr>
              <w:color w:val="auto"/>
              <w:sz w:val="28"/>
              <w:szCs w:val="28"/>
            </w:rPr>
            <w:fldChar w:fldCharType="end"/>
          </w:r>
          <w:r>
            <w:rPr>
              <w:rFonts w:ascii="宋体" w:hAnsi="宋体"/>
              <w:color w:val="auto"/>
              <w:sz w:val="28"/>
              <w:szCs w:val="28"/>
            </w:rPr>
            <w:fldChar w:fldCharType="end"/>
          </w:r>
        </w:p>
        <w:p>
          <w:pPr>
            <w:pStyle w:val="28"/>
            <w:tabs>
              <w:tab w:val="right" w:leader="dot" w:pos="9746"/>
            </w:tabs>
            <w:rPr>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HYPERLINK \l _Toc30393 </w:instrText>
          </w:r>
          <w:r>
            <w:rPr>
              <w:rFonts w:ascii="宋体" w:hAnsi="宋体"/>
              <w:color w:val="auto"/>
              <w:sz w:val="28"/>
              <w:szCs w:val="28"/>
            </w:rPr>
            <w:fldChar w:fldCharType="separate"/>
          </w:r>
          <w:r>
            <w:rPr>
              <w:rFonts w:hint="eastAsia" w:ascii="宋体" w:hAnsi="宋体" w:eastAsia="宋体" w:cs="宋体"/>
              <w:color w:val="auto"/>
              <w:sz w:val="28"/>
              <w:szCs w:val="28"/>
              <w:lang w:eastAsia="zh-CN"/>
            </w:rPr>
            <w:t>第二部分</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磋商响应方须知</w:t>
          </w:r>
          <w:r>
            <w:rPr>
              <w:color w:val="auto"/>
              <w:sz w:val="28"/>
              <w:szCs w:val="28"/>
            </w:rPr>
            <w:tab/>
          </w:r>
          <w:r>
            <w:rPr>
              <w:color w:val="auto"/>
              <w:sz w:val="28"/>
              <w:szCs w:val="28"/>
            </w:rPr>
            <w:fldChar w:fldCharType="begin"/>
          </w:r>
          <w:r>
            <w:rPr>
              <w:color w:val="auto"/>
              <w:sz w:val="28"/>
              <w:szCs w:val="28"/>
            </w:rPr>
            <w:instrText xml:space="preserve"> PAGEREF _Toc30393 \h </w:instrText>
          </w:r>
          <w:r>
            <w:rPr>
              <w:color w:val="auto"/>
              <w:sz w:val="28"/>
              <w:szCs w:val="28"/>
            </w:rPr>
            <w:fldChar w:fldCharType="separate"/>
          </w:r>
          <w:r>
            <w:rPr>
              <w:color w:val="auto"/>
              <w:sz w:val="28"/>
              <w:szCs w:val="28"/>
            </w:rPr>
            <w:t>5</w:t>
          </w:r>
          <w:r>
            <w:rPr>
              <w:color w:val="auto"/>
              <w:sz w:val="28"/>
              <w:szCs w:val="28"/>
            </w:rPr>
            <w:fldChar w:fldCharType="end"/>
          </w:r>
          <w:r>
            <w:rPr>
              <w:rFonts w:ascii="宋体" w:hAnsi="宋体"/>
              <w:color w:val="auto"/>
              <w:sz w:val="28"/>
              <w:szCs w:val="28"/>
            </w:rPr>
            <w:fldChar w:fldCharType="end"/>
          </w:r>
        </w:p>
        <w:p>
          <w:pPr>
            <w:pStyle w:val="28"/>
            <w:tabs>
              <w:tab w:val="right" w:leader="dot" w:pos="9746"/>
            </w:tabs>
            <w:rPr>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HYPERLINK \l _Toc12301 </w:instrText>
          </w:r>
          <w:r>
            <w:rPr>
              <w:rFonts w:ascii="宋体" w:hAnsi="宋体"/>
              <w:color w:val="auto"/>
              <w:sz w:val="28"/>
              <w:szCs w:val="28"/>
            </w:rPr>
            <w:fldChar w:fldCharType="separate"/>
          </w:r>
          <w:r>
            <w:rPr>
              <w:rFonts w:hint="eastAsia" w:ascii="宋体" w:hAnsi="宋体" w:eastAsia="宋体" w:cs="宋体"/>
              <w:bCs/>
              <w:color w:val="auto"/>
              <w:kern w:val="2"/>
              <w:sz w:val="28"/>
              <w:szCs w:val="28"/>
              <w:lang w:val="en-US" w:eastAsia="zh-CN" w:bidi="ar-SA"/>
            </w:rPr>
            <w:t>第三部分  磋商组织、步骤与评审方法</w:t>
          </w:r>
          <w:r>
            <w:rPr>
              <w:color w:val="auto"/>
              <w:sz w:val="28"/>
              <w:szCs w:val="28"/>
            </w:rPr>
            <w:tab/>
          </w:r>
          <w:r>
            <w:rPr>
              <w:color w:val="auto"/>
              <w:sz w:val="28"/>
              <w:szCs w:val="28"/>
            </w:rPr>
            <w:fldChar w:fldCharType="begin"/>
          </w:r>
          <w:r>
            <w:rPr>
              <w:color w:val="auto"/>
              <w:sz w:val="28"/>
              <w:szCs w:val="28"/>
            </w:rPr>
            <w:instrText xml:space="preserve"> PAGEREF _Toc12301 \h </w:instrText>
          </w:r>
          <w:r>
            <w:rPr>
              <w:color w:val="auto"/>
              <w:sz w:val="28"/>
              <w:szCs w:val="28"/>
            </w:rPr>
            <w:fldChar w:fldCharType="separate"/>
          </w:r>
          <w:r>
            <w:rPr>
              <w:color w:val="auto"/>
              <w:sz w:val="28"/>
              <w:szCs w:val="28"/>
            </w:rPr>
            <w:t>13</w:t>
          </w:r>
          <w:r>
            <w:rPr>
              <w:color w:val="auto"/>
              <w:sz w:val="28"/>
              <w:szCs w:val="28"/>
            </w:rPr>
            <w:fldChar w:fldCharType="end"/>
          </w:r>
          <w:r>
            <w:rPr>
              <w:rFonts w:ascii="宋体" w:hAnsi="宋体"/>
              <w:color w:val="auto"/>
              <w:sz w:val="28"/>
              <w:szCs w:val="28"/>
            </w:rPr>
            <w:fldChar w:fldCharType="end"/>
          </w:r>
        </w:p>
        <w:p>
          <w:pPr>
            <w:pStyle w:val="28"/>
            <w:tabs>
              <w:tab w:val="right" w:leader="dot" w:pos="9746"/>
            </w:tabs>
            <w:rPr>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HYPERLINK \l _Toc12774 </w:instrText>
          </w:r>
          <w:r>
            <w:rPr>
              <w:rFonts w:ascii="宋体" w:hAnsi="宋体"/>
              <w:color w:val="auto"/>
              <w:sz w:val="28"/>
              <w:szCs w:val="28"/>
            </w:rPr>
            <w:fldChar w:fldCharType="separate"/>
          </w:r>
          <w:r>
            <w:rPr>
              <w:rFonts w:hint="eastAsia" w:ascii="宋体" w:hAnsi="宋体" w:eastAsia="宋体" w:cs="宋体"/>
              <w:color w:val="auto"/>
              <w:sz w:val="28"/>
              <w:szCs w:val="28"/>
              <w:lang w:val="en-US" w:eastAsia="zh-CN"/>
            </w:rPr>
            <w:t>第四部分  采购内容及要求</w:t>
          </w:r>
          <w:r>
            <w:rPr>
              <w:color w:val="auto"/>
              <w:sz w:val="28"/>
              <w:szCs w:val="28"/>
            </w:rPr>
            <w:tab/>
          </w:r>
          <w:r>
            <w:rPr>
              <w:color w:val="auto"/>
              <w:sz w:val="28"/>
              <w:szCs w:val="28"/>
            </w:rPr>
            <w:fldChar w:fldCharType="begin"/>
          </w:r>
          <w:r>
            <w:rPr>
              <w:color w:val="auto"/>
              <w:sz w:val="28"/>
              <w:szCs w:val="28"/>
            </w:rPr>
            <w:instrText xml:space="preserve"> PAGEREF _Toc12774 \h </w:instrText>
          </w:r>
          <w:r>
            <w:rPr>
              <w:color w:val="auto"/>
              <w:sz w:val="28"/>
              <w:szCs w:val="28"/>
            </w:rPr>
            <w:fldChar w:fldCharType="separate"/>
          </w:r>
          <w:r>
            <w:rPr>
              <w:color w:val="auto"/>
              <w:sz w:val="28"/>
              <w:szCs w:val="28"/>
            </w:rPr>
            <w:t>16</w:t>
          </w:r>
          <w:r>
            <w:rPr>
              <w:color w:val="auto"/>
              <w:sz w:val="28"/>
              <w:szCs w:val="28"/>
            </w:rPr>
            <w:fldChar w:fldCharType="end"/>
          </w:r>
          <w:r>
            <w:rPr>
              <w:rFonts w:ascii="宋体" w:hAnsi="宋体"/>
              <w:color w:val="auto"/>
              <w:sz w:val="28"/>
              <w:szCs w:val="28"/>
            </w:rPr>
            <w:fldChar w:fldCharType="end"/>
          </w:r>
        </w:p>
        <w:p>
          <w:pPr>
            <w:pStyle w:val="28"/>
            <w:tabs>
              <w:tab w:val="right" w:leader="dot" w:pos="9746"/>
            </w:tabs>
            <w:rPr>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HYPERLINK \l _Toc20047 </w:instrText>
          </w:r>
          <w:r>
            <w:rPr>
              <w:rFonts w:ascii="宋体" w:hAnsi="宋体"/>
              <w:color w:val="auto"/>
              <w:sz w:val="28"/>
              <w:szCs w:val="28"/>
            </w:rPr>
            <w:fldChar w:fldCharType="separate"/>
          </w:r>
          <w:r>
            <w:rPr>
              <w:rFonts w:hint="eastAsia" w:ascii="宋体" w:hAnsi="宋体" w:eastAsia="宋体" w:cs="宋体"/>
              <w:bCs/>
              <w:color w:val="auto"/>
              <w:kern w:val="2"/>
              <w:sz w:val="28"/>
              <w:szCs w:val="28"/>
              <w:lang w:val="en-US" w:eastAsia="zh-CN" w:bidi="ar-SA"/>
            </w:rPr>
            <w:t>第五部分  合同授予</w:t>
          </w:r>
          <w:r>
            <w:rPr>
              <w:color w:val="auto"/>
              <w:sz w:val="28"/>
              <w:szCs w:val="28"/>
            </w:rPr>
            <w:tab/>
          </w:r>
          <w:r>
            <w:rPr>
              <w:color w:val="auto"/>
              <w:sz w:val="28"/>
              <w:szCs w:val="28"/>
            </w:rPr>
            <w:fldChar w:fldCharType="begin"/>
          </w:r>
          <w:r>
            <w:rPr>
              <w:color w:val="auto"/>
              <w:sz w:val="28"/>
              <w:szCs w:val="28"/>
            </w:rPr>
            <w:instrText xml:space="preserve"> PAGEREF _Toc20047 \h </w:instrText>
          </w:r>
          <w:r>
            <w:rPr>
              <w:color w:val="auto"/>
              <w:sz w:val="28"/>
              <w:szCs w:val="28"/>
            </w:rPr>
            <w:fldChar w:fldCharType="separate"/>
          </w:r>
          <w:r>
            <w:rPr>
              <w:color w:val="auto"/>
              <w:sz w:val="28"/>
              <w:szCs w:val="28"/>
            </w:rPr>
            <w:t>17</w:t>
          </w:r>
          <w:r>
            <w:rPr>
              <w:color w:val="auto"/>
              <w:sz w:val="28"/>
              <w:szCs w:val="28"/>
            </w:rPr>
            <w:fldChar w:fldCharType="end"/>
          </w:r>
          <w:r>
            <w:rPr>
              <w:rFonts w:ascii="宋体" w:hAnsi="宋体"/>
              <w:color w:val="auto"/>
              <w:sz w:val="28"/>
              <w:szCs w:val="28"/>
            </w:rPr>
            <w:fldChar w:fldCharType="end"/>
          </w:r>
        </w:p>
        <w:p>
          <w:pPr>
            <w:pStyle w:val="28"/>
            <w:tabs>
              <w:tab w:val="right" w:leader="dot" w:pos="9746"/>
            </w:tabs>
            <w:rPr>
              <w:color w:val="auto"/>
            </w:rPr>
          </w:pPr>
          <w:r>
            <w:rPr>
              <w:rFonts w:ascii="宋体" w:hAnsi="宋体"/>
              <w:color w:val="auto"/>
              <w:sz w:val="28"/>
              <w:szCs w:val="28"/>
            </w:rPr>
            <w:fldChar w:fldCharType="begin"/>
          </w:r>
          <w:r>
            <w:rPr>
              <w:rFonts w:ascii="宋体" w:hAnsi="宋体"/>
              <w:color w:val="auto"/>
              <w:sz w:val="28"/>
              <w:szCs w:val="28"/>
            </w:rPr>
            <w:instrText xml:space="preserve"> HYPERLINK \l _Toc20712 </w:instrText>
          </w:r>
          <w:r>
            <w:rPr>
              <w:rFonts w:ascii="宋体" w:hAnsi="宋体"/>
              <w:color w:val="auto"/>
              <w:sz w:val="28"/>
              <w:szCs w:val="28"/>
            </w:rPr>
            <w:fldChar w:fldCharType="separate"/>
          </w:r>
          <w:r>
            <w:rPr>
              <w:rFonts w:hint="eastAsia" w:ascii="宋体" w:hAnsi="宋体" w:eastAsia="宋体" w:cs="宋体"/>
              <w:color w:val="auto"/>
              <w:sz w:val="28"/>
              <w:szCs w:val="28"/>
            </w:rPr>
            <w:t>第六部分  响应文件格式</w:t>
          </w:r>
          <w:r>
            <w:rPr>
              <w:color w:val="auto"/>
              <w:sz w:val="28"/>
              <w:szCs w:val="28"/>
            </w:rPr>
            <w:tab/>
          </w:r>
          <w:r>
            <w:rPr>
              <w:color w:val="auto"/>
              <w:sz w:val="28"/>
              <w:szCs w:val="28"/>
            </w:rPr>
            <w:fldChar w:fldCharType="begin"/>
          </w:r>
          <w:r>
            <w:rPr>
              <w:color w:val="auto"/>
              <w:sz w:val="28"/>
              <w:szCs w:val="28"/>
            </w:rPr>
            <w:instrText xml:space="preserve"> PAGEREF _Toc20712 \h </w:instrText>
          </w:r>
          <w:r>
            <w:rPr>
              <w:color w:val="auto"/>
              <w:sz w:val="28"/>
              <w:szCs w:val="28"/>
            </w:rPr>
            <w:fldChar w:fldCharType="separate"/>
          </w:r>
          <w:r>
            <w:rPr>
              <w:color w:val="auto"/>
              <w:sz w:val="28"/>
              <w:szCs w:val="28"/>
            </w:rPr>
            <w:t>58</w:t>
          </w:r>
          <w:r>
            <w:rPr>
              <w:color w:val="auto"/>
              <w:sz w:val="28"/>
              <w:szCs w:val="28"/>
            </w:rPr>
            <w:fldChar w:fldCharType="end"/>
          </w:r>
          <w:r>
            <w:rPr>
              <w:rFonts w:ascii="宋体" w:hAnsi="宋体"/>
              <w:color w:val="auto"/>
              <w:sz w:val="28"/>
              <w:szCs w:val="28"/>
            </w:rPr>
            <w:fldChar w:fldCharType="end"/>
          </w:r>
        </w:p>
        <w:p>
          <w:pPr>
            <w:tabs>
              <w:tab w:val="left" w:pos="1080"/>
            </w:tabs>
            <w:snapToGrid w:val="0"/>
            <w:spacing w:line="720" w:lineRule="auto"/>
            <w:ind w:firstLine="3045" w:firstLineChars="1450"/>
            <w:rPr>
              <w:rFonts w:ascii="宋体" w:hAnsi="宋体"/>
              <w:color w:val="auto"/>
              <w:sz w:val="24"/>
            </w:rPr>
          </w:pPr>
          <w:r>
            <w:rPr>
              <w:rFonts w:ascii="宋体" w:hAnsi="宋体"/>
              <w:color w:val="auto"/>
              <w:szCs w:val="28"/>
            </w:rPr>
            <w:fldChar w:fldCharType="end"/>
          </w:r>
        </w:p>
      </w:sdtContent>
    </w:sdt>
    <w:p>
      <w:pPr>
        <w:spacing w:line="360" w:lineRule="auto"/>
        <w:jc w:val="center"/>
        <w:outlineLvl w:val="9"/>
        <w:rPr>
          <w:rFonts w:ascii="宋体" w:hAnsi="宋体"/>
          <w:b/>
          <w:color w:val="auto"/>
          <w:sz w:val="32"/>
          <w:szCs w:val="32"/>
        </w:rPr>
      </w:pPr>
      <w:bookmarkStart w:id="4" w:name="_Toc15040"/>
    </w:p>
    <w:p>
      <w:pPr>
        <w:spacing w:line="360" w:lineRule="auto"/>
        <w:jc w:val="center"/>
        <w:outlineLvl w:val="9"/>
        <w:rPr>
          <w:rFonts w:ascii="宋体" w:hAnsi="宋体"/>
          <w:b/>
          <w:color w:val="auto"/>
          <w:sz w:val="32"/>
          <w:szCs w:val="32"/>
        </w:rPr>
      </w:pPr>
    </w:p>
    <w:p>
      <w:pPr>
        <w:spacing w:line="360" w:lineRule="auto"/>
        <w:jc w:val="center"/>
        <w:outlineLvl w:val="9"/>
        <w:rPr>
          <w:rFonts w:ascii="宋体" w:hAnsi="宋体"/>
          <w:color w:val="auto"/>
          <w:sz w:val="32"/>
          <w:szCs w:val="32"/>
        </w:rPr>
      </w:pPr>
    </w:p>
    <w:p>
      <w:pPr>
        <w:tabs>
          <w:tab w:val="left" w:pos="6210"/>
        </w:tabs>
        <w:rPr>
          <w:rFonts w:ascii="宋体" w:hAnsi="宋体"/>
          <w:color w:val="auto"/>
          <w:sz w:val="32"/>
          <w:szCs w:val="32"/>
        </w:rPr>
        <w:sectPr>
          <w:headerReference r:id="rId6" w:type="default"/>
          <w:footerReference r:id="rId7"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auto"/>
          <w:sz w:val="32"/>
          <w:szCs w:val="32"/>
        </w:rPr>
        <w:tab/>
      </w:r>
    </w:p>
    <w:p>
      <w:pPr>
        <w:pStyle w:val="4"/>
        <w:bidi w:val="0"/>
        <w:jc w:val="center"/>
        <w:outlineLvl w:val="0"/>
        <w:rPr>
          <w:rFonts w:hint="eastAsia" w:ascii="宋体" w:hAnsi="宋体" w:eastAsia="宋体" w:cs="宋体"/>
          <w:color w:val="auto"/>
          <w:sz w:val="24"/>
          <w:szCs w:val="24"/>
        </w:rPr>
      </w:pPr>
      <w:bookmarkStart w:id="5" w:name="_Toc15762"/>
      <w:r>
        <w:rPr>
          <w:rFonts w:hint="eastAsia" w:ascii="宋体" w:hAnsi="宋体" w:eastAsia="宋体" w:cs="宋体"/>
          <w:color w:val="auto"/>
          <w:sz w:val="24"/>
          <w:szCs w:val="24"/>
        </w:rPr>
        <w:t>第一部分  竞争性磋商公告</w:t>
      </w:r>
      <w:bookmarkEnd w:id="4"/>
      <w:bookmarkEnd w:id="5"/>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ascii="宋体" w:hAnsi="宋体" w:cs="Helvetica"/>
          <w:b/>
          <w:bCs/>
          <w:color w:val="auto"/>
          <w:kern w:val="0"/>
          <w:sz w:val="24"/>
          <w:lang w:val="en"/>
        </w:rPr>
      </w:pPr>
      <w:bookmarkStart w:id="6" w:name="_Hlk62638239"/>
      <w:r>
        <w:rPr>
          <w:rFonts w:hint="eastAsia" w:ascii="宋体" w:hAnsi="宋体" w:cs="Helvetica"/>
          <w:b/>
          <w:bCs/>
          <w:color w:val="auto"/>
          <w:kern w:val="0"/>
          <w:sz w:val="24"/>
          <w:lang w:val="en" w:eastAsia="zh-CN"/>
        </w:rPr>
        <w:t>邹城市中心店镇乡村振兴路域(福美来内部路)环境提升工程</w:t>
      </w:r>
      <w:r>
        <w:rPr>
          <w:rFonts w:hint="eastAsia" w:ascii="宋体" w:hAnsi="宋体" w:cs="Helvetica"/>
          <w:b/>
          <w:bCs/>
          <w:color w:val="auto"/>
          <w:kern w:val="0"/>
          <w:sz w:val="24"/>
          <w:lang w:val="en"/>
        </w:rPr>
        <w:t>竞争性磋商公告</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bookmarkStart w:id="7" w:name="_Hlk52379596"/>
      <w:r>
        <w:rPr>
          <w:rFonts w:hint="eastAsia" w:ascii="宋体" w:hAnsi="宋体" w:cs="宋体"/>
          <w:b/>
          <w:bCs/>
          <w:color w:val="auto"/>
          <w:kern w:val="0"/>
          <w:sz w:val="24"/>
        </w:rPr>
        <w:t>一、采 购 人：</w:t>
      </w:r>
      <w:r>
        <w:rPr>
          <w:rFonts w:hint="eastAsia" w:ascii="宋体" w:hAnsi="宋体" w:cs="宋体"/>
          <w:b w:val="0"/>
          <w:bCs w:val="0"/>
          <w:color w:val="auto"/>
          <w:kern w:val="0"/>
          <w:sz w:val="24"/>
          <w:lang w:eastAsia="zh-CN"/>
        </w:rPr>
        <w:t>邹城市中心店镇人民政府</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cs="宋体"/>
          <w:b/>
          <w:bCs/>
          <w:color w:val="auto"/>
          <w:kern w:val="0"/>
          <w:sz w:val="24"/>
        </w:rPr>
        <w:t>二、项目名称：</w:t>
      </w:r>
      <w:r>
        <w:rPr>
          <w:rFonts w:hint="eastAsia" w:ascii="宋体" w:hAnsi="宋体" w:cs="宋体"/>
          <w:b w:val="0"/>
          <w:bCs w:val="0"/>
          <w:color w:val="auto"/>
          <w:kern w:val="0"/>
          <w:sz w:val="24"/>
          <w:lang w:eastAsia="zh-CN"/>
        </w:rPr>
        <w:t>邹城市中心店镇乡村振兴路域(福美来内部路)环境提升工程</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auto"/>
          <w:kern w:val="0"/>
          <w:sz w:val="24"/>
          <w:lang w:val="en-US" w:eastAsia="zh-CN"/>
        </w:rPr>
      </w:pPr>
      <w:r>
        <w:rPr>
          <w:rFonts w:hint="eastAsia" w:ascii="宋体" w:hAnsi="宋体" w:cs="宋体"/>
          <w:b/>
          <w:bCs/>
          <w:color w:val="auto"/>
          <w:kern w:val="0"/>
          <w:sz w:val="24"/>
        </w:rPr>
        <w:t>三、项目编号：</w:t>
      </w:r>
      <w:r>
        <w:rPr>
          <w:rFonts w:hint="eastAsia" w:ascii="宋体" w:hAnsi="宋体" w:cs="宋体"/>
          <w:b w:val="0"/>
          <w:bCs w:val="0"/>
          <w:color w:val="auto"/>
          <w:kern w:val="0"/>
          <w:sz w:val="24"/>
          <w:lang w:eastAsia="zh-CN"/>
        </w:rPr>
        <w:t>KXJN-2023-ZX005</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auto"/>
          <w:kern w:val="0"/>
          <w:sz w:val="24"/>
          <w:lang w:eastAsia="zh-CN"/>
        </w:rPr>
      </w:pPr>
      <w:r>
        <w:rPr>
          <w:rFonts w:hint="eastAsia" w:ascii="宋体" w:hAnsi="宋体" w:cs="宋体"/>
          <w:b/>
          <w:bCs/>
          <w:color w:val="auto"/>
          <w:kern w:val="0"/>
          <w:sz w:val="24"/>
          <w:lang w:eastAsia="zh-CN"/>
        </w:rPr>
        <w:t>四、采购内容：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本工程为邹城市中心店镇乡村振兴路域(福美来内部路)环境提升工程，工程内容包括：破除原有水泥路面，新建5cm厚中粒式沥青混凝土路面，</w:t>
      </w:r>
      <w:r>
        <w:rPr>
          <w:rFonts w:hint="eastAsia" w:ascii="宋体" w:hAnsi="宋体" w:cs="宋体"/>
          <w:color w:val="auto"/>
          <w:sz w:val="24"/>
          <w:szCs w:val="24"/>
          <w:lang w:val="en-US" w:eastAsia="zh-CN"/>
        </w:rPr>
        <w:t>新建</w:t>
      </w:r>
      <w:r>
        <w:rPr>
          <w:rFonts w:hint="eastAsia" w:ascii="宋体" w:hAnsi="宋体" w:cs="宋体"/>
          <w:color w:val="auto"/>
          <w:sz w:val="24"/>
          <w:szCs w:val="24"/>
          <w:lang w:eastAsia="zh-CN"/>
        </w:rPr>
        <w:t>硬化生产路口，现有机井砌垒加固，井外缘加装防护栏杆，周围道板砖铺装，D</w:t>
      </w:r>
      <w:r>
        <w:rPr>
          <w:rFonts w:hint="eastAsia" w:ascii="宋体" w:hAnsi="宋体" w:cs="宋体"/>
          <w:color w:val="auto"/>
          <w:sz w:val="24"/>
          <w:szCs w:val="24"/>
          <w:lang w:val="en-US" w:eastAsia="zh-CN"/>
        </w:rPr>
        <w:t>N</w:t>
      </w:r>
      <w:r>
        <w:rPr>
          <w:rFonts w:hint="eastAsia" w:ascii="宋体" w:hAnsi="宋体" w:cs="宋体"/>
          <w:color w:val="auto"/>
          <w:sz w:val="24"/>
          <w:szCs w:val="24"/>
          <w:lang w:eastAsia="zh-CN"/>
        </w:rPr>
        <w:t>500生产边沟涵、标线等；砌筑景观墙，长17.6米，高度3米，台面镶嵌鹅</w:t>
      </w:r>
      <w:r>
        <w:rPr>
          <w:rFonts w:hint="eastAsia" w:ascii="宋体" w:hAnsi="宋体" w:cs="宋体"/>
          <w:color w:val="auto"/>
          <w:sz w:val="24"/>
          <w:szCs w:val="24"/>
          <w:lang w:val="en-US" w:eastAsia="zh-CN"/>
        </w:rPr>
        <w:t>卵</w:t>
      </w:r>
      <w:r>
        <w:rPr>
          <w:rFonts w:hint="eastAsia" w:ascii="宋体" w:hAnsi="宋体" w:cs="宋体"/>
          <w:color w:val="auto"/>
          <w:sz w:val="24"/>
          <w:szCs w:val="24"/>
          <w:lang w:eastAsia="zh-CN"/>
        </w:rPr>
        <w:t>石，墙面刷乳胶漆喷彩绘等工程。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eastAsia="宋体" w:cs="宋体"/>
          <w:color w:val="auto"/>
          <w:sz w:val="24"/>
          <w:szCs w:val="24"/>
          <w:lang w:eastAsia="zh-CN"/>
        </w:rPr>
        <w:t xml:space="preserve">采购预算为 </w:t>
      </w:r>
      <w:r>
        <w:rPr>
          <w:rFonts w:hint="eastAsia" w:ascii="宋体" w:hAnsi="宋体" w:cs="宋体"/>
          <w:color w:val="auto"/>
          <w:sz w:val="24"/>
          <w:szCs w:val="24"/>
          <w:lang w:val="en-US" w:eastAsia="zh-CN"/>
        </w:rPr>
        <w:t>599290.94</w:t>
      </w:r>
      <w:r>
        <w:rPr>
          <w:rFonts w:hint="eastAsia" w:ascii="宋体" w:hAnsi="宋体" w:eastAsia="宋体" w:cs="宋体"/>
          <w:color w:val="auto"/>
          <w:sz w:val="24"/>
          <w:szCs w:val="24"/>
          <w:lang w:eastAsia="zh-CN"/>
        </w:rPr>
        <w:t>元 (详见第四章采购内容及要求)</w:t>
      </w:r>
      <w:r>
        <w:rPr>
          <w:rFonts w:hint="eastAsia" w:ascii="宋体" w:hAnsi="宋体" w:cs="宋体"/>
          <w:color w:val="auto"/>
          <w:kern w:val="0"/>
          <w:sz w:val="24"/>
          <w:shd w:val="clear" w:color="auto" w:fill="FFFFFF"/>
          <w:lang w:val="en-US" w:eastAsia="zh-CN" w:bidi="ar"/>
        </w:rPr>
        <w:t>。</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五、供应商资格要求：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1、具备《政府采购法》第二十二条规定的条件。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（一）具有独立承担民事责任的能力；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（六）法律、行政法规规定的其他条件。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color w:val="auto"/>
          <w:sz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市政公用工程施工总承包叁级及以上资质</w:t>
      </w:r>
      <w:r>
        <w:rPr>
          <w:rFonts w:hint="eastAsia" w:ascii="宋体" w:hAnsi="宋体" w:eastAsia="宋体" w:cs="宋体"/>
          <w:i w:val="0"/>
          <w:iCs w:val="0"/>
          <w:caps w:val="0"/>
          <w:color w:val="auto"/>
          <w:spacing w:val="0"/>
          <w:sz w:val="24"/>
          <w:szCs w:val="24"/>
          <w:shd w:val="clear" w:fill="FFFFFF"/>
        </w:rPr>
        <w:t>，并在人员、设备、资金等方面具有相应的施工能力，</w:t>
      </w:r>
      <w:r>
        <w:rPr>
          <w:rFonts w:hint="eastAsia" w:ascii="宋体" w:hAnsi="宋体" w:eastAsia="宋体" w:cs="宋体"/>
          <w:i w:val="0"/>
          <w:iCs w:val="0"/>
          <w:caps w:val="0"/>
          <w:color w:val="auto"/>
          <w:spacing w:val="0"/>
          <w:sz w:val="24"/>
          <w:szCs w:val="24"/>
          <w:shd w:val="clear" w:color="auto" w:fill="FFFFFF"/>
        </w:rPr>
        <w:t>无拖欠农民工工资的不良行为</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fill="FFFFFF"/>
        </w:rPr>
        <w:t>其中，供应商拟派项目经理须</w:t>
      </w:r>
      <w:r>
        <w:rPr>
          <w:rFonts w:hint="eastAsia" w:ascii="宋体" w:hAnsi="宋体" w:cs="宋体"/>
          <w:b/>
          <w:bCs/>
          <w:i w:val="0"/>
          <w:iCs w:val="0"/>
          <w:caps w:val="0"/>
          <w:color w:val="auto"/>
          <w:spacing w:val="0"/>
          <w:sz w:val="24"/>
          <w:szCs w:val="24"/>
          <w:u w:val="single"/>
          <w:shd w:val="clear" w:fill="FFFFFF"/>
          <w:lang w:eastAsia="zh-CN"/>
        </w:rPr>
        <w:t>具备本单位注册的市政工程专业贰级及以上注册建造师执业资格</w:t>
      </w:r>
      <w:r>
        <w:rPr>
          <w:rFonts w:hint="eastAsia" w:ascii="宋体" w:hAnsi="宋体" w:eastAsia="宋体" w:cs="宋体"/>
          <w:b/>
          <w:bCs/>
          <w:i w:val="0"/>
          <w:iCs w:val="0"/>
          <w:caps w:val="0"/>
          <w:color w:val="auto"/>
          <w:spacing w:val="0"/>
          <w:sz w:val="24"/>
          <w:szCs w:val="24"/>
          <w:shd w:val="clear" w:fill="FFFFFF"/>
        </w:rPr>
        <w:t>，具备</w:t>
      </w:r>
      <w:r>
        <w:rPr>
          <w:rFonts w:hint="eastAsia" w:ascii="宋体" w:hAnsi="宋体" w:eastAsia="宋体" w:cs="宋体"/>
          <w:b/>
          <w:bCs/>
          <w:i w:val="0"/>
          <w:iCs w:val="0"/>
          <w:caps w:val="0"/>
          <w:color w:val="auto"/>
          <w:spacing w:val="0"/>
          <w:sz w:val="24"/>
          <w:szCs w:val="24"/>
          <w:u w:val="single"/>
          <w:shd w:val="clear" w:fill="FFFFFF"/>
        </w:rPr>
        <w:t>有效的安全生产考核证书（B证）</w:t>
      </w:r>
      <w:r>
        <w:rPr>
          <w:rFonts w:hint="eastAsia" w:ascii="宋体" w:hAnsi="宋体" w:eastAsia="宋体" w:cs="宋体"/>
          <w:i w:val="0"/>
          <w:iCs w:val="0"/>
          <w:caps w:val="0"/>
          <w:color w:val="auto"/>
          <w:spacing w:val="0"/>
          <w:sz w:val="24"/>
          <w:szCs w:val="24"/>
          <w:shd w:val="clear" w:fill="FFFFFF"/>
        </w:rPr>
        <w:t>，且未担任其他在施建设工程项目的项目经理</w:t>
      </w:r>
      <w:r>
        <w:rPr>
          <w:rFonts w:hint="eastAsia" w:ascii="宋体" w:hAnsi="宋体" w:cs="宋体"/>
          <w:bCs/>
          <w:color w:val="auto"/>
          <w:kern w:val="0"/>
          <w:sz w:val="24"/>
        </w:rPr>
        <w:t>。</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本单位营业执照(副本原件)、资质证书（原件或加盖单位公章复印件）、安全生产许可证（副本原件）、项目经理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及建造师安全生产考核合格证B证（原件）、法定代表人或授权委托人有效身份证原件及法人授权委托书原件以及竞争性磋商文件第三部分磋商组织、步骤与评审方法中要求的相关证件资料等。</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注：上述证件中如有电子证书的均可提供原件或加盖单位公章的电子证书打印件（打印件上注明查询网址）。</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上述材料、证件的复印件，须编制在响应文件中，是响应文件的有效组成内容。</w:t>
      </w:r>
      <w:r>
        <w:rPr>
          <w:rFonts w:hint="eastAsia" w:ascii="宋体" w:hAnsi="宋体" w:cs="宋体"/>
          <w:b/>
          <w:bCs/>
          <w:i w:val="0"/>
          <w:iCs w:val="0"/>
          <w:caps w:val="0"/>
          <w:color w:val="auto"/>
          <w:spacing w:val="0"/>
          <w:sz w:val="24"/>
          <w:szCs w:val="24"/>
          <w:shd w:val="clear" w:fill="FFFFFF"/>
          <w:lang w:eastAsia="zh-CN"/>
        </w:rPr>
        <w:t>评审</w:t>
      </w:r>
      <w:r>
        <w:rPr>
          <w:rFonts w:hint="eastAsia" w:ascii="宋体" w:hAnsi="宋体" w:eastAsia="宋体" w:cs="宋体"/>
          <w:b/>
          <w:bCs/>
          <w:i w:val="0"/>
          <w:iCs w:val="0"/>
          <w:caps w:val="0"/>
          <w:color w:val="auto"/>
          <w:spacing w:val="0"/>
          <w:sz w:val="24"/>
          <w:szCs w:val="24"/>
          <w:shd w:val="clear" w:fill="FFFFFF"/>
        </w:rPr>
        <w:t>是对响应文件的评审，其相关原件仅作为对响应文件进行核实使用。若供应商未将</w:t>
      </w:r>
      <w:r>
        <w:rPr>
          <w:rFonts w:hint="eastAsia" w:ascii="宋体" w:hAnsi="宋体" w:cs="宋体"/>
          <w:b/>
          <w:bCs/>
          <w:i w:val="0"/>
          <w:iCs w:val="0"/>
          <w:caps w:val="0"/>
          <w:color w:val="auto"/>
          <w:spacing w:val="0"/>
          <w:sz w:val="24"/>
          <w:szCs w:val="24"/>
          <w:shd w:val="clear" w:fill="FFFFFF"/>
          <w:lang w:eastAsia="zh-CN"/>
        </w:rPr>
        <w:t>相关材料的</w:t>
      </w:r>
      <w:r>
        <w:rPr>
          <w:rFonts w:hint="eastAsia" w:ascii="宋体" w:hAnsi="宋体" w:eastAsia="宋体" w:cs="宋体"/>
          <w:b/>
          <w:bCs/>
          <w:i w:val="0"/>
          <w:iCs w:val="0"/>
          <w:caps w:val="0"/>
          <w:color w:val="auto"/>
          <w:spacing w:val="0"/>
          <w:sz w:val="24"/>
          <w:szCs w:val="24"/>
          <w:shd w:val="clear" w:fill="FFFFFF"/>
        </w:rPr>
        <w:t>复印件编制在响应文件中，则涉及资格等无效磋商响应文件情形的，将</w:t>
      </w:r>
      <w:r>
        <w:rPr>
          <w:rFonts w:hint="eastAsia" w:ascii="宋体" w:hAnsi="宋体" w:cs="宋体"/>
          <w:b/>
          <w:bCs/>
          <w:i w:val="0"/>
          <w:iCs w:val="0"/>
          <w:caps w:val="0"/>
          <w:color w:val="auto"/>
          <w:spacing w:val="0"/>
          <w:sz w:val="24"/>
          <w:szCs w:val="24"/>
          <w:shd w:val="clear" w:fill="FFFFFF"/>
          <w:lang w:eastAsia="zh-CN"/>
        </w:rPr>
        <w:t>按照无效响应处理</w:t>
      </w:r>
      <w:r>
        <w:rPr>
          <w:rFonts w:hint="eastAsia" w:ascii="宋体" w:hAnsi="宋体" w:eastAsia="宋体" w:cs="宋体"/>
          <w:b/>
          <w:bCs/>
          <w:i w:val="0"/>
          <w:iCs w:val="0"/>
          <w:caps w:val="0"/>
          <w:color w:val="auto"/>
          <w:spacing w:val="0"/>
          <w:sz w:val="24"/>
          <w:szCs w:val="24"/>
          <w:shd w:val="clear" w:fill="FFFFFF"/>
        </w:rPr>
        <w:t>，且不因具有原件材料而改变。供应商在磋商时未按上述要求提供证明材料的，按无效响应文件处理或按评审办法规定不予认可。</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bookmarkEnd w:id="6"/>
    <w:bookmarkEnd w:id="7"/>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六、磋商文件的获取：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1、时间：</w:t>
      </w:r>
      <w:r>
        <w:rPr>
          <w:rFonts w:hint="eastAsia" w:ascii="宋体" w:hAnsi="宋体" w:eastAsia="宋体" w:cs="宋体"/>
          <w:color w:val="auto"/>
          <w:sz w:val="24"/>
          <w:szCs w:val="24"/>
          <w:lang w:eastAsia="zh-CN"/>
        </w:rPr>
        <w:t>2023年</w:t>
      </w:r>
      <w:r>
        <w:rPr>
          <w:rFonts w:hint="eastAsia" w:ascii="宋体" w:hAnsi="宋体" w:cs="宋体"/>
          <w:color w:val="auto"/>
          <w:sz w:val="24"/>
          <w:szCs w:val="24"/>
          <w:lang w:val="en-US" w:eastAsia="zh-CN"/>
        </w:rPr>
        <w:t>08</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16</w:t>
      </w:r>
      <w:r>
        <w:rPr>
          <w:rFonts w:hint="eastAsia" w:ascii="宋体" w:hAnsi="宋体" w:eastAsia="宋体" w:cs="宋体"/>
          <w:color w:val="auto"/>
          <w:sz w:val="24"/>
          <w:szCs w:val="24"/>
          <w:lang w:eastAsia="zh-CN"/>
        </w:rPr>
        <w:t>日至2023年</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28</w:t>
      </w:r>
      <w:r>
        <w:rPr>
          <w:rFonts w:hint="eastAsia" w:ascii="宋体" w:hAnsi="宋体" w:eastAsia="宋体" w:cs="宋体"/>
          <w:color w:val="auto"/>
          <w:sz w:val="24"/>
          <w:szCs w:val="24"/>
          <w:lang w:eastAsia="zh-CN"/>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2、地点：邹城市外宣网(http://w.mencius.gov.cn/)。</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3、方式：登录邹城市外宣网(http://w.mencius.gov.cn/)直接点击公告下方附件下载竞争性磋商文件。</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七、磋商响应文件的递交：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eastAsia="zh-CN"/>
        </w:rPr>
        <w:t>邹城市中心店镇人民政府</w:t>
      </w:r>
      <w:r>
        <w:rPr>
          <w:rFonts w:hint="eastAsia" w:ascii="宋体" w:hAnsi="宋体" w:eastAsia="宋体" w:cs="宋体"/>
          <w:color w:val="auto"/>
          <w:sz w:val="24"/>
          <w:szCs w:val="24"/>
          <w:lang w:eastAsia="zh-CN"/>
        </w:rPr>
        <w:t>会于</w:t>
      </w:r>
      <w:r>
        <w:rPr>
          <w:rFonts w:hint="eastAsia" w:ascii="宋体" w:hAnsi="宋体" w:eastAsia="宋体" w:cs="宋体"/>
          <w:color w:val="auto"/>
          <w:sz w:val="24"/>
          <w:szCs w:val="24"/>
          <w:lang w:eastAsia="zh-CN"/>
        </w:rPr>
        <w:t>2023年</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28</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eastAsia="zh-CN"/>
        </w:rPr>
        <w:t>上午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分磋商开始前在</w:t>
      </w:r>
      <w:r>
        <w:rPr>
          <w:rFonts w:hint="eastAsia" w:ascii="宋体" w:hAnsi="宋体" w:cs="宋体"/>
          <w:color w:val="auto"/>
          <w:sz w:val="24"/>
          <w:szCs w:val="24"/>
          <w:lang w:eastAsia="zh-CN"/>
        </w:rPr>
        <w:t>邹城市中心店镇公共资源交易中心开标室</w:t>
      </w:r>
      <w:r>
        <w:rPr>
          <w:rFonts w:hint="eastAsia" w:ascii="宋体" w:hAnsi="宋体" w:eastAsia="宋体" w:cs="宋体"/>
          <w:color w:val="auto"/>
          <w:sz w:val="24"/>
          <w:szCs w:val="24"/>
          <w:lang w:eastAsia="zh-CN"/>
        </w:rPr>
        <w:t>受理供应商磋商响应文件的递交；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2、逾期送达或未送达指定地点的磋商响应文件，采购人不予受理。</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八、磋商时间与地点：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w:t>
      </w:r>
      <w:r>
        <w:rPr>
          <w:rFonts w:hint="eastAsia" w:ascii="宋体" w:hAnsi="宋体" w:eastAsia="宋体" w:cs="宋体"/>
          <w:color w:val="auto"/>
          <w:sz w:val="24"/>
          <w:szCs w:val="24"/>
          <w:lang w:eastAsia="zh-CN"/>
        </w:rPr>
        <w:t>2023年</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28</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eastAsia="zh-CN"/>
        </w:rPr>
        <w:t>上午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地点：</w:t>
      </w:r>
      <w:r>
        <w:rPr>
          <w:rFonts w:hint="eastAsia" w:ascii="宋体" w:hAnsi="宋体" w:cs="宋体"/>
          <w:color w:val="auto"/>
          <w:sz w:val="24"/>
          <w:szCs w:val="24"/>
          <w:lang w:eastAsia="zh-CN"/>
        </w:rPr>
        <w:t>邹城市中心店镇公共资源交易中心开标室</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九、联系方式：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 购 人：</w:t>
      </w:r>
      <w:r>
        <w:rPr>
          <w:rFonts w:hint="eastAsia" w:ascii="宋体" w:hAnsi="宋体" w:cs="宋体"/>
          <w:color w:val="auto"/>
          <w:sz w:val="24"/>
          <w:szCs w:val="24"/>
          <w:lang w:eastAsia="zh-CN"/>
        </w:rPr>
        <w:t>邹城市中心店镇人民政府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lang w:eastAsia="zh-CN"/>
        </w:rPr>
        <w:t>邹城市中心店镇</w:t>
      </w:r>
      <w:r>
        <w:rPr>
          <w:rFonts w:hint="eastAsia" w:ascii="宋体" w:hAnsi="宋体" w:cs="宋体"/>
          <w:color w:val="auto"/>
          <w:sz w:val="24"/>
          <w:szCs w:val="24"/>
          <w:lang w:val="en-US" w:eastAsia="zh-CN"/>
        </w:rPr>
        <w:t>人民政府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徐相征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eastAsia="zh-CN"/>
        </w:rPr>
        <w:t>15905370023</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代理机构：</w:t>
      </w:r>
      <w:r>
        <w:rPr>
          <w:rFonts w:hint="eastAsia" w:ascii="宋体" w:hAnsi="宋体" w:cs="宋体"/>
          <w:color w:val="auto"/>
          <w:sz w:val="24"/>
          <w:szCs w:val="24"/>
          <w:lang w:eastAsia="zh-CN"/>
        </w:rPr>
        <w:t>科信建设项目管理有限公司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地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址：</w:t>
      </w:r>
      <w:r>
        <w:rPr>
          <w:rFonts w:hint="eastAsia" w:ascii="宋体" w:hAnsi="宋体" w:cs="宋体"/>
          <w:color w:val="auto"/>
          <w:sz w:val="24"/>
          <w:szCs w:val="24"/>
          <w:lang w:eastAsia="zh-CN"/>
        </w:rPr>
        <w:t>邹城市恒兴财富大厦9楼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黄亚男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val="en-US" w:eastAsia="zh-CN"/>
        </w:rPr>
        <w:t>18654778163</w:t>
      </w:r>
      <w:r>
        <w:rPr>
          <w:rFonts w:hint="eastAsia" w:ascii="宋体" w:hAnsi="宋体" w:eastAsia="宋体" w:cs="宋体"/>
          <w:color w:val="auto"/>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电子邮箱：</w:t>
      </w:r>
      <w:r>
        <w:rPr>
          <w:rFonts w:hint="eastAsia" w:ascii="宋体" w:hAnsi="宋体" w:cs="宋体"/>
          <w:color w:val="auto"/>
          <w:sz w:val="24"/>
          <w:szCs w:val="24"/>
          <w:lang w:eastAsia="zh-CN"/>
        </w:rPr>
        <w:t>kexinjining@163.com</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十、重要说明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1、施工期间的安全问题、地方关系或个体关系由施工单位自行解决。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2、竞争性磋商文件等相关资料一经在邹城市外宣网 (http://w.mencius.gov.cn/）</w:t>
      </w:r>
      <w:bookmarkStart w:id="54" w:name="_GoBack"/>
      <w:bookmarkEnd w:id="54"/>
      <w:r>
        <w:rPr>
          <w:rFonts w:hint="eastAsia" w:ascii="宋体" w:hAnsi="宋体" w:eastAsia="宋体" w:cs="宋体"/>
          <w:color w:val="auto"/>
          <w:sz w:val="24"/>
          <w:szCs w:val="24"/>
          <w:lang w:eastAsia="zh-CN"/>
        </w:rPr>
        <w:t>发布，视作已发放给所有潜在供应商 (发布时间即为发出磋商文件的时间)，各供应商应随时关注邹城市外宣网下载电子版磋商文件，否则所造成的一切后果由供应商自负。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邹城市中心店镇人民政府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科信建设项目管理有限公司</w:t>
      </w:r>
      <w:r>
        <w:rPr>
          <w:rFonts w:hint="eastAsia" w:ascii="宋体" w:hAnsi="宋体" w:eastAsia="宋体" w:cs="宋体"/>
          <w:color w:val="auto"/>
          <w:sz w:val="24"/>
          <w:szCs w:val="24"/>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发布时间：</w:t>
      </w:r>
      <w:r>
        <w:rPr>
          <w:rFonts w:hint="eastAsia" w:ascii="宋体" w:hAnsi="宋体" w:eastAsia="宋体" w:cs="宋体"/>
          <w:color w:val="auto"/>
          <w:sz w:val="24"/>
          <w:szCs w:val="24"/>
          <w:lang w:eastAsia="zh-CN"/>
        </w:rPr>
        <w:t>2023年</w:t>
      </w:r>
      <w:r>
        <w:rPr>
          <w:rFonts w:hint="eastAsia" w:ascii="宋体" w:hAnsi="宋体" w:cs="宋体"/>
          <w:color w:val="auto"/>
          <w:sz w:val="24"/>
          <w:szCs w:val="24"/>
          <w:lang w:val="en-US" w:eastAsia="zh-CN"/>
        </w:rPr>
        <w:t>08月16日</w:t>
      </w: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360" w:lineRule="auto"/>
        <w:jc w:val="both"/>
        <w:rPr>
          <w:rFonts w:hint="eastAsia" w:ascii="宋体" w:hAnsi="宋体"/>
          <w:b/>
          <w:color w:val="auto"/>
          <w:sz w:val="28"/>
          <w:szCs w:val="32"/>
        </w:rPr>
      </w:pPr>
      <w:bookmarkStart w:id="8" w:name="_Toc474"/>
    </w:p>
    <w:p>
      <w:pPr>
        <w:widowControl/>
        <w:shd w:val="clear" w:color="auto" w:fill="FFFFFF"/>
        <w:spacing w:line="360" w:lineRule="auto"/>
        <w:jc w:val="center"/>
        <w:rPr>
          <w:rFonts w:hint="eastAsia" w:ascii="宋体" w:hAnsi="宋体"/>
          <w:b/>
          <w:color w:val="auto"/>
          <w:sz w:val="28"/>
          <w:szCs w:val="32"/>
        </w:rPr>
      </w:pPr>
    </w:p>
    <w:p>
      <w:pPr>
        <w:widowControl/>
        <w:shd w:val="clear" w:color="auto" w:fill="FFFFFF"/>
        <w:spacing w:line="360" w:lineRule="auto"/>
        <w:jc w:val="center"/>
        <w:rPr>
          <w:rFonts w:hint="eastAsia" w:ascii="宋体" w:hAnsi="宋体"/>
          <w:b/>
          <w:color w:val="auto"/>
          <w:sz w:val="28"/>
          <w:szCs w:val="32"/>
        </w:rPr>
      </w:pPr>
    </w:p>
    <w:p>
      <w:pPr>
        <w:widowControl/>
        <w:shd w:val="clear" w:color="auto" w:fill="FFFFFF"/>
        <w:spacing w:line="360" w:lineRule="auto"/>
        <w:jc w:val="center"/>
        <w:rPr>
          <w:rFonts w:hint="eastAsia" w:ascii="宋体" w:hAnsi="宋体"/>
          <w:b/>
          <w:color w:val="auto"/>
          <w:sz w:val="28"/>
          <w:szCs w:val="32"/>
        </w:rPr>
      </w:pPr>
    </w:p>
    <w:p>
      <w:pPr>
        <w:pStyle w:val="22"/>
        <w:rPr>
          <w:rFonts w:hint="eastAsia" w:ascii="宋体" w:hAnsi="宋体"/>
          <w:b/>
          <w:color w:val="auto"/>
          <w:sz w:val="28"/>
          <w:szCs w:val="32"/>
        </w:rPr>
      </w:pPr>
    </w:p>
    <w:p>
      <w:pPr>
        <w:pStyle w:val="4"/>
        <w:bidi w:val="0"/>
        <w:jc w:val="center"/>
        <w:outlineLvl w:val="0"/>
        <w:rPr>
          <w:rFonts w:hint="eastAsia" w:ascii="宋体" w:hAnsi="宋体" w:eastAsia="宋体" w:cs="宋体"/>
          <w:color w:val="auto"/>
          <w:sz w:val="24"/>
          <w:szCs w:val="24"/>
        </w:rPr>
      </w:pPr>
      <w:bookmarkStart w:id="9" w:name="_Toc30393"/>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磋商响应方须知</w:t>
      </w:r>
      <w:bookmarkEnd w:id="8"/>
      <w:bookmarkEnd w:id="9"/>
    </w:p>
    <w:p>
      <w:pPr>
        <w:pStyle w:val="2"/>
        <w:numPr>
          <w:ilvl w:val="0"/>
          <w:numId w:val="1"/>
        </w:num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响应方须知前附表</w:t>
      </w:r>
    </w:p>
    <w:tbl>
      <w:tblPr>
        <w:tblStyle w:val="39"/>
        <w:tblpPr w:leftFromText="180" w:rightFromText="180" w:vertAnchor="text" w:horzAnchor="page" w:tblpX="1369"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16"/>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753"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53" w:type="dxa"/>
            <w:noWrap w:val="0"/>
            <w:vAlign w:val="center"/>
          </w:tcPr>
          <w:p>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邹城市中心店镇乡村振兴路域(福美来内部路)环境提升工程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53" w:type="dxa"/>
            <w:noWrap w:val="0"/>
            <w:vAlign w:val="center"/>
          </w:tcPr>
          <w:p>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KXJN-2023-ZX005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项目地点</w:t>
            </w:r>
          </w:p>
        </w:tc>
        <w:tc>
          <w:tcPr>
            <w:tcW w:w="6753" w:type="dxa"/>
            <w:noWrap w:val="0"/>
            <w:vAlign w:val="center"/>
          </w:tcPr>
          <w:p>
            <w:pPr>
              <w:spacing w:line="440" w:lineRule="exact"/>
              <w:jc w:val="both"/>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rPr>
              <w:t>邹城市中心店镇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6753" w:type="dxa"/>
            <w:noWrap w:val="0"/>
            <w:vAlign w:val="center"/>
          </w:tcPr>
          <w:p>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16"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缺陷责任期</w:t>
            </w:r>
          </w:p>
        </w:tc>
        <w:tc>
          <w:tcPr>
            <w:tcW w:w="6753" w:type="dxa"/>
            <w:noWrap w:val="0"/>
            <w:vAlign w:val="center"/>
          </w:tcPr>
          <w:p>
            <w:pPr>
              <w:spacing w:line="440" w:lineRule="exact"/>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753" w:type="dxa"/>
            <w:noWrap w:val="0"/>
            <w:vAlign w:val="center"/>
          </w:tcPr>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716" w:type="dxa"/>
            <w:noWrap w:val="0"/>
            <w:vAlign w:val="center"/>
          </w:tcPr>
          <w:p>
            <w:pPr>
              <w:spacing w:line="44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6753" w:type="dxa"/>
            <w:noWrap w:val="0"/>
            <w:vAlign w:val="center"/>
          </w:tcPr>
          <w:p>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cs="宋体"/>
                <w:b/>
                <w:color w:val="auto"/>
                <w:sz w:val="24"/>
                <w:szCs w:val="24"/>
                <w:lang w:eastAsia="zh-CN"/>
              </w:rPr>
              <w:t>本项目无预付款，工程竣工验收合格后付至合同总价款的60%，结算审计完成后，付至审定价款的97%，剩余3%作为质量保证金，缺陷责任期满后无质量问题无息付清。工程最终结算造价以审计部门审计结果为准。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1716"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磋商响应方资格要求</w:t>
            </w:r>
          </w:p>
        </w:tc>
        <w:tc>
          <w:tcPr>
            <w:tcW w:w="6753" w:type="dxa"/>
            <w:noWrap w:val="0"/>
            <w:vAlign w:val="center"/>
          </w:tcPr>
          <w:p>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详见磋商响应方须知：三、</w:t>
            </w:r>
            <w:r>
              <w:rPr>
                <w:rFonts w:hint="eastAsia" w:ascii="宋体" w:hAnsi="宋体" w:cs="宋体"/>
                <w:b/>
                <w:color w:val="auto"/>
                <w:sz w:val="24"/>
                <w:szCs w:val="24"/>
                <w:lang w:eastAsia="zh-CN"/>
              </w:rPr>
              <w:t>供应商应具备的条件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753" w:type="dxa"/>
            <w:noWrap w:val="0"/>
            <w:vAlign w:val="center"/>
          </w:tcPr>
          <w:p>
            <w:pPr>
              <w:widowControl/>
              <w:numPr>
                <w:ilvl w:val="0"/>
                <w:numId w:val="0"/>
              </w:numPr>
              <w:shd w:val="clear" w:color="auto" w:fill="FFFFFF"/>
              <w:spacing w:line="360" w:lineRule="auto"/>
              <w:ind w:leftChars="0"/>
              <w:jc w:val="left"/>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有效期</w:t>
            </w:r>
          </w:p>
        </w:tc>
        <w:tc>
          <w:tcPr>
            <w:tcW w:w="6753" w:type="dxa"/>
            <w:noWrap w:val="0"/>
            <w:vAlign w:val="center"/>
          </w:tcPr>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自递交</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响应文件截止之日起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6753" w:type="dxa"/>
            <w:noWrap w:val="0"/>
            <w:vAlign w:val="center"/>
          </w:tcPr>
          <w:p>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响应文件份数</w:t>
            </w:r>
          </w:p>
        </w:tc>
        <w:tc>
          <w:tcPr>
            <w:tcW w:w="6753"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纸质版文件</w:t>
            </w:r>
            <w:r>
              <w:rPr>
                <w:rFonts w:hint="eastAsia" w:ascii="宋体" w:hAnsi="宋体" w:eastAsia="宋体" w:cs="宋体"/>
                <w:color w:val="auto"/>
                <w:sz w:val="24"/>
                <w:szCs w:val="24"/>
              </w:rPr>
              <w:t>正本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份、副本</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1716"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纸质响应文件的密封</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rPr>
              <w:t>响应供应商应将</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响应文件密封，并在封口处加盖供应商公章或由法定代表人（或授权代表）签字（或盖章），未按本条要求密封的</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响应文件采购人不予接收</w:t>
            </w:r>
            <w:r>
              <w:rPr>
                <w:rFonts w:hint="eastAsia" w:ascii="宋体" w:hAnsi="宋体" w:eastAsia="宋体" w:cs="宋体"/>
                <w:b/>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p>
        </w:tc>
        <w:tc>
          <w:tcPr>
            <w:tcW w:w="1716"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纸质响应文件装订要求</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响应文件需签字及盖章齐全并以胶装的方式装订成册；</w:t>
            </w:r>
          </w:p>
          <w:p>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2、供应商应准备</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w:t>
            </w:r>
            <w:r>
              <w:rPr>
                <w:rFonts w:hint="eastAsia" w:ascii="宋体" w:hAnsi="宋体" w:eastAsia="宋体" w:cs="宋体"/>
                <w:bCs/>
                <w:color w:val="auto"/>
                <w:sz w:val="24"/>
                <w:szCs w:val="24"/>
                <w:lang w:eastAsia="zh-CN"/>
              </w:rPr>
              <w:t>五</w:t>
            </w:r>
            <w:r>
              <w:rPr>
                <w:rFonts w:hint="eastAsia" w:ascii="宋体" w:hAnsi="宋体" w:eastAsia="宋体" w:cs="宋体"/>
                <w:bCs/>
                <w:color w:val="auto"/>
                <w:sz w:val="24"/>
                <w:szCs w:val="24"/>
              </w:rPr>
              <w:t>份，一份正本和</w:t>
            </w:r>
            <w:r>
              <w:rPr>
                <w:rFonts w:hint="eastAsia" w:ascii="宋体" w:hAnsi="宋体" w:eastAsia="宋体" w:cs="宋体"/>
                <w:bCs/>
                <w:color w:val="auto"/>
                <w:sz w:val="24"/>
                <w:szCs w:val="24"/>
                <w:lang w:eastAsia="zh-CN"/>
              </w:rPr>
              <w:t>四</w:t>
            </w:r>
            <w:r>
              <w:rPr>
                <w:rFonts w:hint="eastAsia" w:ascii="宋体" w:hAnsi="宋体" w:eastAsia="宋体" w:cs="宋体"/>
                <w:bCs/>
                <w:color w:val="auto"/>
                <w:sz w:val="24"/>
                <w:szCs w:val="24"/>
              </w:rPr>
              <w:t>份副本。在每一份</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响应文件上要明确注明“正本”或“副本”字样，一旦正本和副本有差异，以正本为准；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响应文件提交地点及截止时间</w:t>
            </w:r>
          </w:p>
        </w:tc>
        <w:tc>
          <w:tcPr>
            <w:tcW w:w="6753" w:type="dxa"/>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提交地点：</w:t>
            </w:r>
            <w:r>
              <w:rPr>
                <w:rFonts w:hint="eastAsia" w:ascii="宋体" w:hAnsi="宋体" w:cs="宋体"/>
                <w:color w:val="auto"/>
                <w:sz w:val="24"/>
                <w:szCs w:val="24"/>
                <w:highlight w:val="none"/>
                <w:lang w:eastAsia="zh-CN"/>
              </w:rPr>
              <w:t>邹城市中心店镇公共资源交易中心开标室</w:t>
            </w:r>
          </w:p>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lang w:eastAsia="zh-CN"/>
              </w:rPr>
              <w:t>2023年</w:t>
            </w:r>
            <w:r>
              <w:rPr>
                <w:rFonts w:hint="eastAsia" w:ascii="宋体" w:hAnsi="宋体" w:cs="宋体"/>
                <w:color w:val="auto"/>
                <w:sz w:val="24"/>
                <w:szCs w:val="24"/>
                <w:lang w:val="en-US" w:eastAsia="zh-CN"/>
              </w:rPr>
              <w:t>08</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28</w:t>
            </w:r>
            <w:r>
              <w:rPr>
                <w:rFonts w:hint="eastAsia" w:ascii="宋体" w:hAnsi="宋体" w:eastAsia="宋体" w:cs="宋体"/>
                <w:color w:val="auto"/>
                <w:sz w:val="24"/>
                <w:szCs w:val="24"/>
                <w:lang w:eastAsia="zh-CN"/>
              </w:rPr>
              <w:t>日上午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时间及地点</w:t>
            </w:r>
          </w:p>
        </w:tc>
        <w:tc>
          <w:tcPr>
            <w:tcW w:w="6753" w:type="dxa"/>
            <w:noWrap w:val="0"/>
            <w:vAlign w:val="center"/>
          </w:tcPr>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lang w:eastAsia="zh-CN"/>
              </w:rPr>
              <w:t>2023年</w:t>
            </w:r>
            <w:r>
              <w:rPr>
                <w:rFonts w:hint="eastAsia" w:ascii="宋体" w:hAnsi="宋体" w:cs="宋体"/>
                <w:color w:val="auto"/>
                <w:sz w:val="24"/>
                <w:szCs w:val="24"/>
                <w:lang w:val="en-US" w:eastAsia="zh-CN"/>
              </w:rPr>
              <w:t>08</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28</w:t>
            </w:r>
            <w:r>
              <w:rPr>
                <w:rFonts w:hint="eastAsia" w:ascii="宋体" w:hAnsi="宋体" w:eastAsia="宋体" w:cs="宋体"/>
                <w:color w:val="auto"/>
                <w:sz w:val="24"/>
                <w:szCs w:val="24"/>
                <w:lang w:eastAsia="zh-CN"/>
              </w:rPr>
              <w:t>日上午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分</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邹城市中心店镇公共资源交易中心开标室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成交原则</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本项目采用综合评分法，是指响应文件满足磋商文件全部实质性要求且按评审因素的量化指标评审得分，按照评审得分由高到低顺序推荐成交候选供应商的评审方法。</w:t>
            </w:r>
          </w:p>
          <w:p>
            <w:pPr>
              <w:tabs>
                <w:tab w:val="left" w:pos="31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总得分相同者，按最终报价低的名次在前；总得分相同，最终报价也相同的，技术部分总得分高者排名优先；总得分相同，最终报价、技术部分也相同的，按照资信部分得分高者排名优先。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p>
        </w:tc>
        <w:tc>
          <w:tcPr>
            <w:tcW w:w="1716"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磋商费用</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2、本次采购代理费由成交供应商支付，</w:t>
            </w:r>
            <w:r>
              <w:rPr>
                <w:rFonts w:hint="eastAsia" w:ascii="宋体" w:hAnsi="宋体" w:eastAsia="宋体" w:cs="宋体"/>
                <w:b/>
                <w:bCs/>
                <w:color w:val="auto"/>
                <w:sz w:val="24"/>
                <w:szCs w:val="24"/>
                <w:highlight w:val="none"/>
                <w:lang w:eastAsia="zh-CN"/>
              </w:rPr>
              <w:t>共计：</w:t>
            </w:r>
            <w:r>
              <w:rPr>
                <w:rFonts w:hint="eastAsia" w:ascii="宋体" w:hAnsi="宋体" w:cs="宋体"/>
                <w:b/>
                <w:bCs/>
                <w:color w:val="auto"/>
                <w:sz w:val="24"/>
                <w:szCs w:val="24"/>
                <w:highlight w:val="none"/>
                <w:lang w:val="en-US" w:eastAsia="zh-CN"/>
              </w:rPr>
              <w:t>7600.00</w:t>
            </w:r>
            <w:r>
              <w:rPr>
                <w:rFonts w:hint="eastAsia" w:ascii="宋体" w:hAnsi="宋体" w:eastAsia="宋体" w:cs="宋体"/>
                <w:b/>
                <w:bCs/>
                <w:color w:val="auto"/>
                <w:sz w:val="24"/>
                <w:szCs w:val="24"/>
                <w:highlight w:val="none"/>
                <w:lang w:val="en-US" w:eastAsia="zh-CN"/>
              </w:rPr>
              <w:t>元</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1716"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磋商采购预算</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本工程采购预算（控制价）</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599290.94</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lang w:eastAsia="zh-CN"/>
              </w:rPr>
              <w:t>；</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rPr>
              <w:t>采购预算价是采购人对采购项目期望的最高限价，供应商两次报价均不得超出采购预算（控制价）且最终报价不得超出初次报价，如若超出按无效响应处理。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Merge w:val="restart"/>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0</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质疑投诉内容</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质疑：参加磋商的供应商认为采购文件、采购过程和成交结果使自己的合法权益受到损害的，有权依法向采购人或采购代理机构提出质疑。</w:t>
            </w:r>
          </w:p>
          <w:p>
            <w:pPr>
              <w:tabs>
                <w:tab w:val="left" w:pos="315"/>
              </w:tabs>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b w:val="0"/>
                <w:bCs/>
                <w:color w:val="auto"/>
                <w:sz w:val="24"/>
                <w:szCs w:val="24"/>
                <w:lang w:val="en-US" w:eastAsia="zh-CN"/>
              </w:rPr>
              <w:t>投诉：参加磋商的供应商对采购人的质疑答复不满意，或者采购人未在规定期限内作出答复的，供应商可以在答复期满后可以向相关行政主管部门投诉。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9" w:type="dxa"/>
            <w:vMerge w:val="continue"/>
            <w:noWrap w:val="0"/>
            <w:vAlign w:val="center"/>
          </w:tcPr>
          <w:p>
            <w:pPr>
              <w:spacing w:line="440" w:lineRule="exact"/>
              <w:jc w:val="center"/>
              <w:rPr>
                <w:rFonts w:hint="eastAsia" w:ascii="宋体" w:hAnsi="宋体" w:eastAsia="宋体" w:cs="宋体"/>
                <w:color w:val="auto"/>
                <w:sz w:val="24"/>
                <w:szCs w:val="24"/>
              </w:rPr>
            </w:pP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质疑方式及电话</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质疑：参加磋商的供应商认为磋商文件、磋商过程和成交结果使自己的合法权益受到损害的，有权依法向采购人或采购代理机构提出质疑。所有质疑以书面形式递交，同时发邮件至</w:t>
            </w:r>
            <w:r>
              <w:rPr>
                <w:rFonts w:hint="eastAsia" w:ascii="宋体" w:hAnsi="宋体" w:cs="宋体"/>
                <w:color w:val="auto"/>
                <w:sz w:val="24"/>
                <w:szCs w:val="24"/>
                <w:highlight w:val="none"/>
                <w:lang w:val="en-US" w:eastAsia="zh-CN"/>
              </w:rPr>
              <w:t>kexinjining@163.com</w:t>
            </w:r>
            <w:r>
              <w:rPr>
                <w:rFonts w:hint="eastAsia" w:ascii="宋体" w:hAnsi="宋体" w:eastAsia="宋体" w:cs="宋体"/>
                <w:color w:val="auto"/>
                <w:sz w:val="24"/>
                <w:szCs w:val="24"/>
                <w:highlight w:val="none"/>
              </w:rPr>
              <w:t>。</w:t>
            </w:r>
          </w:p>
        </w:tc>
      </w:tr>
    </w:tbl>
    <w:p>
      <w:pPr>
        <w:numPr>
          <w:ilvl w:val="0"/>
          <w:numId w:val="0"/>
        </w:numPr>
        <w:jc w:val="both"/>
        <w:rPr>
          <w:rFonts w:hint="eastAsia" w:ascii="宋体" w:hAnsi="宋体" w:eastAsia="宋体" w:cs="宋体"/>
          <w:b w:val="0"/>
          <w:bCs/>
          <w:color w:val="auto"/>
          <w:kern w:val="0"/>
          <w:sz w:val="24"/>
          <w:szCs w:val="24"/>
          <w:highlight w:val="none"/>
        </w:rPr>
      </w:pPr>
    </w:p>
    <w:p>
      <w:pPr>
        <w:numPr>
          <w:ilvl w:val="0"/>
          <w:numId w:val="0"/>
        </w:numPr>
        <w:jc w:val="center"/>
        <w:rPr>
          <w:color w:val="auto"/>
        </w:rPr>
      </w:pPr>
      <w:r>
        <w:rPr>
          <w:rFonts w:hint="eastAsia" w:ascii="宋体" w:hAnsi="宋体" w:eastAsia="宋体" w:cs="宋体"/>
          <w:b/>
          <w:color w:val="auto"/>
          <w:kern w:val="0"/>
          <w:sz w:val="24"/>
          <w:szCs w:val="24"/>
          <w:highlight w:val="none"/>
        </w:rPr>
        <w:t>二、磋商响应方须知</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一、适用范围</w:t>
      </w:r>
      <w:r>
        <w:rPr>
          <w:rFonts w:hint="eastAsia" w:ascii="宋体" w:hAnsi="宋体"/>
          <w:b/>
          <w:color w:val="auto"/>
          <w:sz w:val="24"/>
        </w:rPr>
        <w:t>：</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本磋商文件仅适用于</w:t>
      </w:r>
      <w:r>
        <w:rPr>
          <w:rFonts w:hint="eastAsia" w:ascii="宋体" w:hAnsi="宋体"/>
          <w:color w:val="auto"/>
          <w:sz w:val="24"/>
          <w:lang w:eastAsia="zh-CN"/>
        </w:rPr>
        <w:t>邹城市中心店镇乡村振兴路域(福美来内部路)环境提升工程</w:t>
      </w:r>
      <w:r>
        <w:rPr>
          <w:rFonts w:hint="eastAsia" w:ascii="宋体" w:hAnsi="宋体"/>
          <w:color w:val="auto"/>
          <w:sz w:val="24"/>
        </w:rPr>
        <w:t>。</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二、定义</w:t>
      </w:r>
      <w:r>
        <w:rPr>
          <w:rFonts w:hint="eastAsia" w:ascii="宋体" w:hAnsi="宋体"/>
          <w:b/>
          <w:color w:val="auto"/>
          <w:sz w:val="24"/>
        </w:rPr>
        <w:t>：</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1、“采 购 人”系指：</w:t>
      </w:r>
      <w:r>
        <w:rPr>
          <w:rFonts w:hint="eastAsia" w:ascii="宋体" w:hAnsi="宋体" w:cs="Arial Unicode MS"/>
          <w:color w:val="auto"/>
          <w:sz w:val="24"/>
          <w:lang w:eastAsia="zh-CN"/>
        </w:rPr>
        <w:t>邹城市中心店镇人民政府</w:t>
      </w:r>
      <w:r>
        <w:rPr>
          <w:rFonts w:hint="eastAsia" w:ascii="宋体" w:hAnsi="宋体" w:cs="Arial Unicode MS"/>
          <w:color w:val="auto"/>
          <w:sz w:val="24"/>
        </w:rPr>
        <w:t>；</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2、“代理机构”系指：</w:t>
      </w:r>
      <w:r>
        <w:rPr>
          <w:rFonts w:hint="eastAsia" w:ascii="宋体" w:hAnsi="宋体" w:cs="Arial Unicode MS"/>
          <w:color w:val="auto"/>
          <w:sz w:val="24"/>
          <w:lang w:eastAsia="zh-CN"/>
        </w:rPr>
        <w:t>科信建设项目管理有限公司</w:t>
      </w:r>
      <w:r>
        <w:rPr>
          <w:rFonts w:hint="eastAsia" w:ascii="宋体" w:hAnsi="宋体" w:cs="Arial Unicode MS"/>
          <w:color w:val="auto"/>
          <w:sz w:val="24"/>
        </w:rPr>
        <w:t>；</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3、“响应供应商”系指参与</w:t>
      </w:r>
      <w:r>
        <w:rPr>
          <w:rFonts w:hint="eastAsia" w:ascii="宋体" w:hAnsi="宋体" w:cs="Courier New"/>
          <w:color w:val="auto"/>
          <w:sz w:val="24"/>
        </w:rPr>
        <w:t>磋商</w:t>
      </w:r>
      <w:r>
        <w:rPr>
          <w:rFonts w:hint="eastAsia" w:ascii="宋体" w:hAnsi="宋体" w:cs="Arial Unicode MS"/>
          <w:color w:val="auto"/>
          <w:sz w:val="24"/>
        </w:rPr>
        <w:t>并向采购人提交</w:t>
      </w:r>
      <w:r>
        <w:rPr>
          <w:rFonts w:hint="eastAsia" w:ascii="宋体" w:hAnsi="宋体" w:cs="Courier New"/>
          <w:color w:val="auto"/>
          <w:sz w:val="24"/>
        </w:rPr>
        <w:t>磋商</w:t>
      </w:r>
      <w:r>
        <w:rPr>
          <w:rFonts w:hint="eastAsia" w:ascii="宋体" w:hAnsi="宋体" w:cs="Arial Unicode MS"/>
          <w:color w:val="auto"/>
          <w:sz w:val="24"/>
        </w:rPr>
        <w:t>响应文件的单位；</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4、“成交供应商”系指经法定程序确定并授予合同的响应供应商。</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三、</w:t>
      </w:r>
      <w:r>
        <w:rPr>
          <w:rFonts w:hint="eastAsia" w:ascii="宋体" w:hAnsi="宋体"/>
          <w:b/>
          <w:color w:val="auto"/>
          <w:sz w:val="24"/>
        </w:rPr>
        <w:t>供应商</w:t>
      </w:r>
      <w:r>
        <w:rPr>
          <w:rFonts w:ascii="宋体" w:hAnsi="宋体"/>
          <w:b/>
          <w:color w:val="auto"/>
          <w:sz w:val="24"/>
        </w:rPr>
        <w:t>应具备的条件</w:t>
      </w:r>
      <w:r>
        <w:rPr>
          <w:rFonts w:hint="eastAsia" w:ascii="宋体" w:hAnsi="宋体"/>
          <w:b/>
          <w:color w:val="auto"/>
          <w:sz w:val="24"/>
        </w:rPr>
        <w:t>：</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1、具备《政府采购法》第二十二条规定的条件。</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（一）具有独立承担民事责任的能力；</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（二）具有良好的商业信誉和健全的财务会计制度；</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（三）具有履行合同所必需的货物和专业技术能力；</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（四）有依法缴纳税收和社会保障资金的良好记录；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（五）参加政府采购活动前三年内，在经营活动中没有重大违法记录；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（六）法律、行政法规规定的其他条件。</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市政公用工程施工总承包叁级及以上资质</w:t>
      </w:r>
      <w:r>
        <w:rPr>
          <w:rFonts w:hint="eastAsia" w:ascii="宋体" w:hAnsi="宋体" w:eastAsia="宋体" w:cs="宋体"/>
          <w:i w:val="0"/>
          <w:iCs w:val="0"/>
          <w:caps w:val="0"/>
          <w:color w:val="auto"/>
          <w:spacing w:val="0"/>
          <w:sz w:val="24"/>
          <w:szCs w:val="24"/>
          <w:shd w:val="clear" w:fill="FFFFFF"/>
        </w:rPr>
        <w:t>，并在人员、设备、资金等方面具有相应的施工能力，</w:t>
      </w:r>
      <w:r>
        <w:rPr>
          <w:rFonts w:hint="eastAsia" w:ascii="宋体" w:hAnsi="宋体" w:eastAsia="宋体" w:cs="宋体"/>
          <w:i w:val="0"/>
          <w:iCs w:val="0"/>
          <w:caps w:val="0"/>
          <w:color w:val="auto"/>
          <w:spacing w:val="0"/>
          <w:sz w:val="24"/>
          <w:szCs w:val="24"/>
          <w:shd w:val="clear" w:color="auto" w:fill="FFFFFF"/>
        </w:rPr>
        <w:t>无拖欠农民工工资的不良行为</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fill="FFFFFF"/>
        </w:rPr>
        <w:t>其中，供应商拟派项目经理须</w:t>
      </w:r>
      <w:r>
        <w:rPr>
          <w:rFonts w:hint="eastAsia" w:ascii="宋体" w:hAnsi="宋体" w:cs="宋体"/>
          <w:b/>
          <w:bCs/>
          <w:i w:val="0"/>
          <w:iCs w:val="0"/>
          <w:caps w:val="0"/>
          <w:color w:val="auto"/>
          <w:spacing w:val="0"/>
          <w:sz w:val="24"/>
          <w:szCs w:val="24"/>
          <w:u w:val="single"/>
          <w:shd w:val="clear" w:fill="FFFFFF"/>
          <w:lang w:eastAsia="zh-CN"/>
        </w:rPr>
        <w:t>具备本单位注册的市政工程专业贰级及以上注册建造师执业资格</w:t>
      </w:r>
      <w:r>
        <w:rPr>
          <w:rFonts w:hint="eastAsia" w:ascii="宋体" w:hAnsi="宋体" w:eastAsia="宋体" w:cs="宋体"/>
          <w:b/>
          <w:bCs/>
          <w:i w:val="0"/>
          <w:iCs w:val="0"/>
          <w:caps w:val="0"/>
          <w:color w:val="auto"/>
          <w:spacing w:val="0"/>
          <w:sz w:val="24"/>
          <w:szCs w:val="24"/>
          <w:shd w:val="clear" w:fill="FFFFFF"/>
        </w:rPr>
        <w:t>，具备</w:t>
      </w:r>
      <w:r>
        <w:rPr>
          <w:rFonts w:hint="eastAsia" w:ascii="宋体" w:hAnsi="宋体" w:eastAsia="宋体" w:cs="宋体"/>
          <w:b/>
          <w:bCs/>
          <w:i w:val="0"/>
          <w:iCs w:val="0"/>
          <w:caps w:val="0"/>
          <w:color w:val="auto"/>
          <w:spacing w:val="0"/>
          <w:sz w:val="24"/>
          <w:szCs w:val="24"/>
          <w:u w:val="single"/>
          <w:shd w:val="clear" w:fill="FFFFFF"/>
        </w:rPr>
        <w:t>有效的安全生产考核证书（B证）</w:t>
      </w:r>
      <w:r>
        <w:rPr>
          <w:rFonts w:hint="eastAsia" w:ascii="宋体" w:hAnsi="宋体" w:eastAsia="宋体" w:cs="宋体"/>
          <w:i w:val="0"/>
          <w:iCs w:val="0"/>
          <w:caps w:val="0"/>
          <w:color w:val="auto"/>
          <w:spacing w:val="0"/>
          <w:sz w:val="24"/>
          <w:szCs w:val="24"/>
          <w:shd w:val="clear" w:fill="FFFFFF"/>
        </w:rPr>
        <w:t>，且未担任其他在施建设工程项目的项目经理</w:t>
      </w:r>
      <w:r>
        <w:rPr>
          <w:rFonts w:hint="eastAsia" w:ascii="宋体" w:hAnsi="宋体" w:eastAsia="宋体" w:cs="宋体"/>
          <w:i w:val="0"/>
          <w:iCs w:val="0"/>
          <w:caps w:val="0"/>
          <w:color w:val="auto"/>
          <w:spacing w:val="0"/>
          <w:sz w:val="24"/>
          <w:szCs w:val="24"/>
          <w:shd w:val="clear" w:color="auto" w:fill="FFFFFF"/>
        </w:rPr>
        <w:t>。</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4、供应商在递交响应文件时需同时提供</w:t>
      </w:r>
      <w:r>
        <w:rPr>
          <w:rFonts w:hint="eastAsia" w:ascii="宋体" w:hAnsi="宋体" w:eastAsia="宋体" w:cs="宋体"/>
          <w:b/>
          <w:bCs/>
          <w:i w:val="0"/>
          <w:iCs w:val="0"/>
          <w:caps w:val="0"/>
          <w:color w:val="auto"/>
          <w:spacing w:val="0"/>
          <w:sz w:val="24"/>
          <w:szCs w:val="24"/>
          <w:shd w:val="clear" w:fill="FFFFFF"/>
        </w:rPr>
        <w:t>本单位营业执照(副本原件)、资质证书（原件或加盖单位公章复印件）、安全生产许可证（副本原件）、项目经理的建造师注册证（原件）及建造师安全生产考核合格证B证（原件）、法定代表人或授权委托人有效身份证原件及法人授权委托书原件以及竞争性磋商文件第三部分磋商组织、步骤与评审方法中要求的相关证件资料等。</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注：上述证件中如有电子证书的均可提供原件或加盖单位公章的电子证书打印件（打印件上注明查询网址）。</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上述材料、证件的复印件，须编制在响应文件中，是响应文件的有效组成内容。评标是对响应文件的评审，其相关原件仅作为对响应文件进行核实使用。若供应商未将复印件编制在响应文件中，则涉及资格等无效磋商响应文件情形的，将否决其磋商资格，且不因具有原件材料而改变。供应商在磋商时未按上述要求提供证明材料的，按无效响应文件处理或按评审办法规定不予认可。</w:t>
      </w:r>
    </w:p>
    <w:p>
      <w:pPr>
        <w:widowControl/>
        <w:adjustRightInd w:val="0"/>
        <w:snapToGrid w:val="0"/>
        <w:spacing w:line="360" w:lineRule="auto"/>
        <w:ind w:firstLine="480" w:firstLineChars="200"/>
        <w:jc w:val="left"/>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p>
      <w:pPr>
        <w:spacing w:line="360" w:lineRule="auto"/>
        <w:ind w:firstLine="482" w:firstLineChars="200"/>
        <w:rPr>
          <w:rFonts w:ascii="宋体" w:hAnsi="宋体" w:cs="Arial Unicode MS"/>
          <w:b/>
          <w:color w:val="auto"/>
          <w:sz w:val="24"/>
        </w:rPr>
      </w:pPr>
      <w:r>
        <w:rPr>
          <w:rFonts w:ascii="宋体" w:hAnsi="宋体" w:cs="Arial Unicode MS"/>
          <w:b/>
          <w:color w:val="auto"/>
          <w:sz w:val="24"/>
        </w:rPr>
        <w:t>四、</w:t>
      </w:r>
      <w:r>
        <w:rPr>
          <w:rFonts w:hint="eastAsia" w:ascii="宋体" w:hAnsi="宋体" w:cs="Arial Unicode MS"/>
          <w:b/>
          <w:color w:val="auto"/>
          <w:sz w:val="24"/>
        </w:rPr>
        <w:t>竞争性磋商文件：</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本竞争性</w:t>
      </w:r>
      <w:r>
        <w:rPr>
          <w:rFonts w:hint="eastAsia" w:ascii="宋体" w:hAnsi="宋体" w:cs="黑体"/>
          <w:color w:val="auto"/>
          <w:kern w:val="0"/>
          <w:sz w:val="24"/>
        </w:rPr>
        <w:t>磋商</w:t>
      </w:r>
      <w:r>
        <w:rPr>
          <w:rFonts w:hint="eastAsia" w:ascii="宋体" w:hAnsi="宋体"/>
          <w:color w:val="auto"/>
          <w:sz w:val="24"/>
        </w:rPr>
        <w:t>文件由以下内容组成：</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1、</w:t>
      </w:r>
      <w:r>
        <w:rPr>
          <w:rFonts w:hint="eastAsia" w:ascii="宋体" w:hAnsi="宋体" w:cs="黑体"/>
          <w:color w:val="auto"/>
          <w:kern w:val="0"/>
          <w:sz w:val="24"/>
        </w:rPr>
        <w:t>竞争性</w:t>
      </w:r>
      <w:r>
        <w:rPr>
          <w:rFonts w:hint="eastAsia" w:ascii="宋体" w:hAnsi="宋体"/>
          <w:color w:val="auto"/>
          <w:sz w:val="24"/>
        </w:rPr>
        <w:t>磋商公告；</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2、磋商响应方须知；</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3、磋商组织、步骤与评审方法；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4、采购内容及要求；</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5、合同授予；</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6、响应文件格式。</w:t>
      </w:r>
    </w:p>
    <w:p>
      <w:pPr>
        <w:spacing w:line="360" w:lineRule="auto"/>
        <w:ind w:firstLine="482" w:firstLineChars="200"/>
        <w:rPr>
          <w:rFonts w:ascii="宋体" w:hAnsi="宋体" w:cs="Arial Unicode MS"/>
          <w:b/>
          <w:color w:val="auto"/>
          <w:sz w:val="24"/>
        </w:rPr>
      </w:pPr>
      <w:r>
        <w:rPr>
          <w:rFonts w:hint="eastAsia" w:ascii="宋体" w:hAnsi="宋体" w:cs="Arial Unicode MS"/>
          <w:b/>
          <w:color w:val="auto"/>
          <w:sz w:val="24"/>
        </w:rPr>
        <w:t>五、磋商</w:t>
      </w:r>
      <w:r>
        <w:rPr>
          <w:rFonts w:ascii="宋体" w:hAnsi="宋体" w:cs="Arial Unicode MS"/>
          <w:b/>
          <w:color w:val="auto"/>
          <w:sz w:val="24"/>
        </w:rPr>
        <w:t>文件的质疑、澄清或修改</w:t>
      </w:r>
      <w:r>
        <w:rPr>
          <w:rFonts w:hint="eastAsia" w:ascii="宋体" w:hAnsi="宋体" w:cs="Arial Unicode MS"/>
          <w:b/>
          <w:color w:val="auto"/>
          <w:sz w:val="24"/>
        </w:rPr>
        <w:t>：</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1、各潜在供应商对磋商文件内容如有疑问，必须于磋商开始前五个日历日将疑问以书面形式送至采购人或电子邮件形式发至</w:t>
      </w:r>
      <w:r>
        <w:rPr>
          <w:rFonts w:hint="eastAsia" w:ascii="宋体" w:hAnsi="宋体" w:cs="宋体"/>
          <w:color w:val="auto"/>
          <w:sz w:val="24"/>
          <w:lang w:eastAsia="zh-CN"/>
        </w:rPr>
        <w:t>kexinjining@163.com</w:t>
      </w:r>
      <w:r>
        <w:rPr>
          <w:rFonts w:hint="eastAsia" w:ascii="宋体" w:hAnsi="宋体" w:cs="宋体"/>
          <w:color w:val="auto"/>
          <w:sz w:val="24"/>
        </w:rPr>
        <w:t>；</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4、磋商文件的澄清或修改均以最后发布的内容为准。当磋商文件的澄清、修改、补充等在同一内容的表述不一致时，以最后发布的内容为准。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8"/>
        <w:rPr>
          <w:rFonts w:ascii="宋体" w:hAnsi="宋体" w:cs="Arial Unicode MS"/>
          <w:b/>
          <w:color w:val="auto"/>
          <w:sz w:val="24"/>
        </w:rPr>
      </w:pPr>
      <w:r>
        <w:rPr>
          <w:rFonts w:hint="eastAsia" w:ascii="宋体" w:hAnsi="宋体" w:cs="Arial Unicode MS"/>
          <w:b/>
          <w:color w:val="auto"/>
          <w:sz w:val="24"/>
        </w:rPr>
        <w:t>六</w:t>
      </w:r>
      <w:r>
        <w:rPr>
          <w:rFonts w:ascii="宋体" w:hAnsi="宋体" w:cs="Arial Unicode MS"/>
          <w:b/>
          <w:color w:val="auto"/>
          <w:sz w:val="24"/>
        </w:rPr>
        <w:t>、</w:t>
      </w:r>
      <w:r>
        <w:rPr>
          <w:rFonts w:hint="eastAsia" w:ascii="宋体" w:hAnsi="宋体" w:cs="Arial Unicode MS"/>
          <w:b/>
          <w:color w:val="auto"/>
          <w:sz w:val="24"/>
        </w:rPr>
        <w:t>磋商响应</w:t>
      </w:r>
      <w:r>
        <w:rPr>
          <w:rFonts w:ascii="宋体" w:hAnsi="宋体" w:cs="Arial Unicode MS"/>
          <w:b/>
          <w:color w:val="auto"/>
          <w:sz w:val="24"/>
        </w:rPr>
        <w:t>文件的编写及递交</w:t>
      </w:r>
      <w:r>
        <w:rPr>
          <w:rFonts w:hint="eastAsia" w:ascii="宋体" w:hAnsi="宋体" w:cs="Arial Unicode MS"/>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供应商应按</w:t>
      </w:r>
      <w:r>
        <w:rPr>
          <w:rFonts w:hint="eastAsia" w:ascii="宋体" w:hAnsi="宋体" w:cs="Courier New"/>
          <w:color w:val="auto"/>
          <w:sz w:val="24"/>
        </w:rPr>
        <w:t>磋商</w:t>
      </w:r>
      <w:r>
        <w:rPr>
          <w:rFonts w:hint="eastAsia" w:ascii="宋体" w:hAnsi="宋体"/>
          <w:color w:val="auto"/>
          <w:sz w:val="24"/>
        </w:rPr>
        <w:t>文件的要求准备</w:t>
      </w:r>
      <w:r>
        <w:rPr>
          <w:rFonts w:hint="eastAsia" w:ascii="宋体" w:hAnsi="宋体" w:cs="Courier New"/>
          <w:color w:val="auto"/>
          <w:sz w:val="24"/>
        </w:rPr>
        <w:t>磋商</w:t>
      </w:r>
      <w:r>
        <w:rPr>
          <w:rFonts w:hint="eastAsia" w:ascii="宋体" w:hAnsi="宋体"/>
          <w:color w:val="auto"/>
          <w:sz w:val="24"/>
        </w:rPr>
        <w:t>响应文件，并保证所提供全部资料的真实性、准确性及完整性，并对</w:t>
      </w:r>
      <w:r>
        <w:rPr>
          <w:rFonts w:hint="eastAsia" w:ascii="宋体" w:hAnsi="宋体" w:cs="Courier New"/>
          <w:color w:val="auto"/>
          <w:sz w:val="24"/>
        </w:rPr>
        <w:t>磋商</w:t>
      </w:r>
      <w:r>
        <w:rPr>
          <w:rFonts w:hint="eastAsia" w:ascii="宋体" w:hAnsi="宋体"/>
          <w:color w:val="auto"/>
          <w:sz w:val="24"/>
        </w:rPr>
        <w:t>文件做出实质性响应。</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auto"/>
          <w:kern w:val="0"/>
          <w:sz w:val="24"/>
        </w:rPr>
      </w:pPr>
      <w:r>
        <w:rPr>
          <w:rFonts w:hint="eastAsia" w:ascii="宋体" w:hAnsi="宋体" w:cs="黑体"/>
          <w:b/>
          <w:bCs/>
          <w:color w:val="auto"/>
          <w:kern w:val="0"/>
          <w:sz w:val="24"/>
        </w:rPr>
        <w:t>磋商响应文件的组成：</w:t>
      </w:r>
    </w:p>
    <w:p>
      <w:pPr>
        <w:widowControl/>
        <w:shd w:val="clear" w:color="auto" w:fill="FFFFFF"/>
        <w:spacing w:line="360" w:lineRule="auto"/>
        <w:ind w:firstLine="600" w:firstLineChars="250"/>
        <w:jc w:val="left"/>
        <w:rPr>
          <w:rFonts w:hint="eastAsia" w:ascii="宋体" w:hAnsi="宋体" w:eastAsia="宋体" w:cs="黑体"/>
          <w:color w:val="auto"/>
          <w:kern w:val="0"/>
          <w:sz w:val="24"/>
        </w:rPr>
      </w:pPr>
      <w:r>
        <w:rPr>
          <w:rFonts w:hint="eastAsia" w:ascii="宋体" w:hAnsi="宋体" w:eastAsia="宋体" w:cs="黑体"/>
          <w:color w:val="auto"/>
          <w:kern w:val="0"/>
          <w:sz w:val="24"/>
        </w:rPr>
        <w:t>1、磋商响应函</w:t>
      </w:r>
    </w:p>
    <w:p>
      <w:pPr>
        <w:widowControl/>
        <w:shd w:val="clear" w:color="auto" w:fill="FFFFFF"/>
        <w:spacing w:line="360" w:lineRule="auto"/>
        <w:ind w:firstLine="600" w:firstLineChars="250"/>
        <w:jc w:val="left"/>
        <w:rPr>
          <w:rFonts w:hint="eastAsia" w:ascii="宋体" w:hAnsi="宋体" w:eastAsia="宋体" w:cs="黑体"/>
          <w:color w:val="auto"/>
          <w:kern w:val="0"/>
          <w:sz w:val="24"/>
        </w:rPr>
      </w:pPr>
      <w:r>
        <w:rPr>
          <w:rFonts w:hint="eastAsia" w:ascii="宋体" w:hAnsi="宋体" w:eastAsia="宋体" w:cs="黑体"/>
          <w:color w:val="auto"/>
          <w:kern w:val="0"/>
          <w:sz w:val="24"/>
        </w:rPr>
        <w:t>2、法定代表人身份证明或授权委托人身份证明及法定代表人授权委托书</w:t>
      </w:r>
    </w:p>
    <w:p>
      <w:pPr>
        <w:widowControl/>
        <w:shd w:val="clear" w:color="auto" w:fill="FFFFFF"/>
        <w:spacing w:line="360" w:lineRule="auto"/>
        <w:ind w:firstLine="600" w:firstLineChars="250"/>
        <w:jc w:val="left"/>
        <w:rPr>
          <w:rFonts w:hint="eastAsia" w:ascii="宋体" w:hAnsi="宋体" w:eastAsia="宋体" w:cs="黑体"/>
          <w:color w:val="auto"/>
          <w:kern w:val="0"/>
          <w:sz w:val="24"/>
        </w:rPr>
      </w:pPr>
      <w:r>
        <w:rPr>
          <w:rFonts w:hint="eastAsia" w:ascii="宋体" w:hAnsi="宋体" w:eastAsia="宋体" w:cs="黑体"/>
          <w:color w:val="auto"/>
          <w:kern w:val="0"/>
          <w:sz w:val="24"/>
        </w:rPr>
        <w:t>3、初次报价表</w:t>
      </w:r>
    </w:p>
    <w:p>
      <w:pPr>
        <w:widowControl/>
        <w:shd w:val="clear" w:color="auto" w:fill="FFFFFF"/>
        <w:spacing w:line="360" w:lineRule="auto"/>
        <w:ind w:firstLine="600" w:firstLineChars="250"/>
        <w:jc w:val="left"/>
        <w:rPr>
          <w:rFonts w:hint="eastAsia" w:ascii="宋体" w:hAnsi="宋体" w:eastAsia="宋体" w:cs="黑体"/>
          <w:color w:val="auto"/>
          <w:kern w:val="0"/>
          <w:sz w:val="24"/>
        </w:rPr>
      </w:pPr>
      <w:r>
        <w:rPr>
          <w:rFonts w:hint="eastAsia" w:ascii="宋体" w:hAnsi="宋体" w:eastAsia="宋体" w:cs="黑体"/>
          <w:color w:val="auto"/>
          <w:kern w:val="0"/>
          <w:sz w:val="24"/>
        </w:rPr>
        <w:t>4、初次报价的已标价工程量清单</w:t>
      </w:r>
    </w:p>
    <w:p>
      <w:pPr>
        <w:widowControl/>
        <w:shd w:val="clear" w:color="auto" w:fill="FFFFFF"/>
        <w:spacing w:line="360" w:lineRule="auto"/>
        <w:ind w:firstLine="600" w:firstLineChars="250"/>
        <w:jc w:val="left"/>
        <w:rPr>
          <w:rFonts w:hint="eastAsia" w:ascii="宋体" w:hAnsi="宋体" w:eastAsia="宋体" w:cs="黑体"/>
          <w:color w:val="auto"/>
          <w:kern w:val="0"/>
          <w:sz w:val="24"/>
        </w:rPr>
      </w:pPr>
      <w:r>
        <w:rPr>
          <w:rFonts w:hint="eastAsia" w:ascii="宋体" w:hAnsi="宋体" w:eastAsia="宋体" w:cs="黑体"/>
          <w:color w:val="auto"/>
          <w:kern w:val="0"/>
          <w:sz w:val="24"/>
        </w:rPr>
        <w:t>5、技术部分（施工组织设计）</w:t>
      </w:r>
    </w:p>
    <w:p>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eastAsia="宋体" w:cs="黑体"/>
          <w:color w:val="auto"/>
          <w:kern w:val="0"/>
          <w:sz w:val="24"/>
          <w:lang w:val="en-US" w:eastAsia="zh-CN"/>
        </w:rPr>
        <w:t>6</w:t>
      </w:r>
      <w:r>
        <w:rPr>
          <w:rFonts w:hint="eastAsia" w:ascii="宋体" w:hAnsi="宋体" w:eastAsia="宋体" w:cs="黑体"/>
          <w:color w:val="auto"/>
          <w:kern w:val="0"/>
          <w:sz w:val="24"/>
        </w:rPr>
        <w:t>、</w:t>
      </w:r>
      <w:r>
        <w:rPr>
          <w:rFonts w:hint="eastAsia" w:ascii="宋体" w:hAnsi="宋体" w:eastAsia="宋体" w:cs="黑体"/>
          <w:color w:val="auto"/>
          <w:kern w:val="0"/>
          <w:sz w:val="24"/>
          <w:lang w:eastAsia="zh-CN"/>
        </w:rPr>
        <w:t>项目管理机构</w:t>
      </w:r>
    </w:p>
    <w:p>
      <w:pPr>
        <w:widowControl/>
        <w:shd w:val="clear" w:color="auto" w:fill="FFFFFF"/>
        <w:spacing w:line="360" w:lineRule="auto"/>
        <w:ind w:firstLine="600" w:firstLineChars="250"/>
        <w:jc w:val="left"/>
        <w:rPr>
          <w:rFonts w:hint="eastAsia" w:ascii="宋体" w:hAnsi="宋体" w:eastAsia="宋体" w:cs="黑体"/>
          <w:color w:val="auto"/>
          <w:kern w:val="0"/>
          <w:sz w:val="24"/>
        </w:rPr>
      </w:pPr>
      <w:r>
        <w:rPr>
          <w:rFonts w:hint="eastAsia" w:ascii="宋体" w:hAnsi="宋体" w:eastAsia="宋体" w:cs="黑体"/>
          <w:color w:val="auto"/>
          <w:kern w:val="0"/>
          <w:sz w:val="24"/>
          <w:lang w:val="en-US" w:eastAsia="zh-CN"/>
        </w:rPr>
        <w:t>7、</w:t>
      </w:r>
      <w:r>
        <w:rPr>
          <w:rFonts w:hint="eastAsia" w:ascii="宋体" w:hAnsi="宋体" w:eastAsia="宋体" w:cs="黑体"/>
          <w:color w:val="auto"/>
          <w:kern w:val="0"/>
          <w:sz w:val="24"/>
        </w:rPr>
        <w:t>资格审查资料</w:t>
      </w:r>
    </w:p>
    <w:p>
      <w:pPr>
        <w:widowControl/>
        <w:shd w:val="clear" w:color="auto" w:fill="FFFFFF"/>
        <w:spacing w:line="360" w:lineRule="auto"/>
        <w:ind w:firstLine="600" w:firstLineChars="250"/>
        <w:jc w:val="left"/>
        <w:rPr>
          <w:rFonts w:hint="eastAsia" w:ascii="宋体" w:hAnsi="宋体" w:eastAsia="宋体" w:cs="黑体"/>
          <w:color w:val="auto"/>
          <w:kern w:val="0"/>
          <w:sz w:val="24"/>
        </w:rPr>
      </w:pPr>
      <w:r>
        <w:rPr>
          <w:rFonts w:hint="eastAsia" w:ascii="宋体" w:hAnsi="宋体" w:eastAsia="宋体" w:cs="黑体"/>
          <w:color w:val="auto"/>
          <w:kern w:val="0"/>
          <w:sz w:val="24"/>
          <w:lang w:val="en-US" w:eastAsia="zh-CN"/>
        </w:rPr>
        <w:t>8</w:t>
      </w:r>
      <w:r>
        <w:rPr>
          <w:rFonts w:hint="eastAsia" w:ascii="宋体" w:hAnsi="宋体" w:eastAsia="宋体" w:cs="黑体"/>
          <w:color w:val="auto"/>
          <w:kern w:val="0"/>
          <w:sz w:val="24"/>
        </w:rPr>
        <w:t>、建设工程扬尘治理工作承诺书</w:t>
      </w:r>
    </w:p>
    <w:p>
      <w:pPr>
        <w:widowControl/>
        <w:shd w:val="clear" w:color="auto" w:fill="FFFFFF"/>
        <w:spacing w:line="360" w:lineRule="auto"/>
        <w:ind w:firstLine="600" w:firstLineChars="250"/>
        <w:jc w:val="left"/>
        <w:rPr>
          <w:rFonts w:hint="eastAsia" w:ascii="宋体" w:hAnsi="宋体" w:eastAsia="宋体" w:cs="黑体"/>
          <w:color w:val="auto"/>
          <w:kern w:val="0"/>
          <w:sz w:val="24"/>
        </w:rPr>
      </w:pPr>
      <w:r>
        <w:rPr>
          <w:rFonts w:hint="eastAsia" w:ascii="宋体" w:hAnsi="宋体" w:eastAsia="宋体" w:cs="黑体"/>
          <w:color w:val="auto"/>
          <w:kern w:val="0"/>
          <w:sz w:val="24"/>
          <w:lang w:val="en-US" w:eastAsia="zh-CN"/>
        </w:rPr>
        <w:t>9</w:t>
      </w:r>
      <w:r>
        <w:rPr>
          <w:rFonts w:hint="eastAsia" w:ascii="宋体" w:hAnsi="宋体" w:eastAsia="宋体" w:cs="黑体"/>
          <w:color w:val="auto"/>
          <w:kern w:val="0"/>
          <w:sz w:val="24"/>
        </w:rPr>
        <w:t>、其他资料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cs="黑体"/>
          <w:b/>
          <w:color w:val="auto"/>
          <w:kern w:val="0"/>
          <w:sz w:val="24"/>
        </w:rPr>
        <w:t>（二）磋商响应文件的装订、密封和标记：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auto"/>
          <w:kern w:val="0"/>
          <w:sz w:val="24"/>
        </w:rPr>
      </w:pPr>
      <w:r>
        <w:rPr>
          <w:rFonts w:hint="eastAsia" w:ascii="宋体" w:hAnsi="宋体" w:cs="黑体"/>
          <w:b w:val="0"/>
          <w:bCs/>
          <w:color w:val="auto"/>
          <w:kern w:val="0"/>
          <w:sz w:val="24"/>
        </w:rPr>
        <w:t>1、磋商响应文件需加盖磋商响应方公章并装订成册；</w:t>
      </w:r>
    </w:p>
    <w:p>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2、供应商应准备磋商响应文件</w:t>
      </w:r>
      <w:r>
        <w:rPr>
          <w:rFonts w:hint="eastAsia" w:ascii="宋体" w:hAnsi="宋体" w:cs="黑体"/>
          <w:b w:val="0"/>
          <w:bCs/>
          <w:color w:val="auto"/>
          <w:kern w:val="0"/>
          <w:sz w:val="24"/>
          <w:lang w:eastAsia="zh-CN"/>
        </w:rPr>
        <w:t>五</w:t>
      </w:r>
      <w:r>
        <w:rPr>
          <w:rFonts w:hint="eastAsia" w:ascii="宋体" w:hAnsi="宋体" w:cs="黑体"/>
          <w:b w:val="0"/>
          <w:bCs/>
          <w:color w:val="auto"/>
          <w:kern w:val="0"/>
          <w:sz w:val="24"/>
        </w:rPr>
        <w:t>份，一份正本和</w:t>
      </w:r>
      <w:r>
        <w:rPr>
          <w:rFonts w:hint="eastAsia" w:ascii="宋体" w:hAnsi="宋体" w:cs="黑体"/>
          <w:b w:val="0"/>
          <w:bCs/>
          <w:color w:val="auto"/>
          <w:kern w:val="0"/>
          <w:sz w:val="24"/>
          <w:lang w:eastAsia="zh-CN"/>
        </w:rPr>
        <w:t>四</w:t>
      </w:r>
      <w:r>
        <w:rPr>
          <w:rFonts w:hint="eastAsia" w:ascii="宋体" w:hAnsi="宋体" w:cs="黑体"/>
          <w:b w:val="0"/>
          <w:bCs/>
          <w:color w:val="auto"/>
          <w:kern w:val="0"/>
          <w:sz w:val="24"/>
        </w:rPr>
        <w:t>份副本。在每一份磋商响应文件上要明确注明“正本”或“副本”字样，一旦正本和副本有差异，以正本为准；</w:t>
      </w:r>
    </w:p>
    <w:p>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3、响应供应商应将磋商响应文件密封，并在封口处加盖磋商响应方公章或由法定代表人（或委托代理人）签字（或签章），未按本条要求密封的磋商响应文件将有权被拒绝接收。</w:t>
      </w:r>
    </w:p>
    <w:p>
      <w:pPr>
        <w:widowControl/>
        <w:shd w:val="clear" w:color="auto" w:fill="FFFFFF"/>
        <w:spacing w:line="360" w:lineRule="auto"/>
        <w:ind w:firstLine="480"/>
        <w:jc w:val="left"/>
        <w:rPr>
          <w:rFonts w:ascii="宋体" w:hAnsi="宋体" w:cs="黑体"/>
          <w:b/>
          <w:color w:val="auto"/>
          <w:kern w:val="0"/>
          <w:sz w:val="24"/>
        </w:rPr>
      </w:pPr>
      <w:r>
        <w:rPr>
          <w:rFonts w:hint="eastAsia" w:ascii="宋体" w:hAnsi="宋体" w:cs="黑体"/>
          <w:b/>
          <w:color w:val="auto"/>
          <w:kern w:val="0"/>
          <w:sz w:val="24"/>
        </w:rPr>
        <w:t>（三）磋商响应文件的递交：</w:t>
      </w:r>
    </w:p>
    <w:p>
      <w:pPr>
        <w:widowControl/>
        <w:shd w:val="clear" w:color="auto" w:fill="FFFFFF"/>
        <w:spacing w:line="440" w:lineRule="exact"/>
        <w:ind w:firstLine="480"/>
        <w:jc w:val="left"/>
        <w:rPr>
          <w:rFonts w:ascii="宋体" w:hAnsi="宋体" w:cs="宋体"/>
          <w:b/>
          <w:color w:val="auto"/>
          <w:kern w:val="0"/>
          <w:sz w:val="24"/>
        </w:rPr>
      </w:pPr>
      <w:r>
        <w:rPr>
          <w:rFonts w:hint="eastAsia" w:ascii="宋体" w:hAnsi="宋体" w:cs="宋体"/>
          <w:b/>
          <w:color w:val="auto"/>
          <w:kern w:val="0"/>
          <w:sz w:val="24"/>
        </w:rPr>
        <w:t xml:space="preserve">1.磋商响应文件上传时间: </w:t>
      </w:r>
      <w:r>
        <w:rPr>
          <w:rFonts w:hint="eastAsia" w:ascii="宋体" w:hAnsi="宋体" w:cs="宋体"/>
          <w:b/>
          <w:color w:val="auto"/>
          <w:kern w:val="0"/>
          <w:sz w:val="24"/>
        </w:rPr>
        <w:t>2023年</w:t>
      </w:r>
      <w:r>
        <w:rPr>
          <w:rFonts w:hint="eastAsia" w:ascii="宋体" w:hAnsi="宋体" w:cs="宋体"/>
          <w:b/>
          <w:color w:val="auto"/>
          <w:kern w:val="0"/>
          <w:sz w:val="24"/>
          <w:lang w:val="en-US" w:eastAsia="zh-CN"/>
        </w:rPr>
        <w:t>08</w:t>
      </w:r>
      <w:r>
        <w:rPr>
          <w:rFonts w:hint="eastAsia" w:ascii="宋体" w:hAnsi="宋体" w:cs="宋体"/>
          <w:b/>
          <w:color w:val="auto"/>
          <w:kern w:val="0"/>
          <w:sz w:val="24"/>
        </w:rPr>
        <w:t>月</w:t>
      </w:r>
      <w:r>
        <w:rPr>
          <w:rFonts w:hint="eastAsia" w:ascii="宋体" w:hAnsi="宋体" w:cs="宋体"/>
          <w:b/>
          <w:color w:val="auto"/>
          <w:kern w:val="0"/>
          <w:sz w:val="24"/>
          <w:lang w:val="en-US" w:eastAsia="zh-CN"/>
        </w:rPr>
        <w:t>28</w:t>
      </w:r>
      <w:r>
        <w:rPr>
          <w:rFonts w:hint="eastAsia" w:ascii="宋体" w:hAnsi="宋体" w:cs="宋体"/>
          <w:b/>
          <w:color w:val="auto"/>
          <w:kern w:val="0"/>
          <w:sz w:val="24"/>
        </w:rPr>
        <w:t>日</w:t>
      </w:r>
      <w:r>
        <w:rPr>
          <w:rFonts w:hint="eastAsia" w:ascii="宋体" w:hAnsi="宋体" w:cs="宋体"/>
          <w:b/>
          <w:color w:val="auto"/>
          <w:kern w:val="0"/>
          <w:sz w:val="24"/>
        </w:rPr>
        <w:t>上午09时30分</w:t>
      </w:r>
      <w:r>
        <w:rPr>
          <w:rFonts w:hint="eastAsia" w:ascii="宋体" w:hAnsi="宋体" w:cs="宋体"/>
          <w:b/>
          <w:color w:val="auto"/>
          <w:kern w:val="0"/>
          <w:sz w:val="24"/>
          <w:highlight w:val="none"/>
        </w:rPr>
        <w:t>前递交至</w:t>
      </w:r>
      <w:r>
        <w:rPr>
          <w:rFonts w:hint="eastAsia" w:ascii="宋体" w:hAnsi="宋体" w:cs="宋体"/>
          <w:b/>
          <w:color w:val="auto"/>
          <w:kern w:val="0"/>
          <w:sz w:val="24"/>
          <w:lang w:eastAsia="zh-CN"/>
        </w:rPr>
        <w:t>邹城市中心店镇公共资源交易中心开标室</w:t>
      </w:r>
      <w:r>
        <w:rPr>
          <w:rFonts w:hint="eastAsia" w:ascii="宋体" w:hAnsi="宋体" w:cs="宋体"/>
          <w:b/>
          <w:color w:val="auto"/>
          <w:kern w:val="0"/>
          <w:sz w:val="24"/>
        </w:rPr>
        <w:t>。</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2、递交磋商响应文件时，供应商如出现以下情况，磋商响应文件将有权被拒绝。</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（1）逾期送达或未送达指定地点的磋商响应文件。</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（2）供应商以传真、电子邮件方式递交磋商响应文件。</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3、对供应商的磋商响应文件、材料不予退还。</w:t>
      </w:r>
    </w:p>
    <w:p>
      <w:pPr>
        <w:widowControl/>
        <w:shd w:val="clear" w:color="auto" w:fill="FFFFFF"/>
        <w:spacing w:line="360" w:lineRule="auto"/>
        <w:ind w:firstLine="482"/>
        <w:jc w:val="left"/>
        <w:rPr>
          <w:rFonts w:ascii="宋体" w:hAnsi="宋体" w:cs="黑体"/>
          <w:b/>
          <w:color w:val="auto"/>
          <w:kern w:val="0"/>
          <w:sz w:val="24"/>
        </w:rPr>
      </w:pPr>
      <w:r>
        <w:rPr>
          <w:rFonts w:hint="eastAsia" w:ascii="宋体" w:hAnsi="宋体" w:cs="黑体"/>
          <w:b/>
          <w:color w:val="auto"/>
          <w:kern w:val="0"/>
          <w:sz w:val="24"/>
        </w:rPr>
        <w:t>（四）报价要求：</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本采购项目采用初次报价及最终报价共二次的报价方式，供应商的报价包括人工费、材料费、机械费、安全施工费、管理费、措施费、检测试验费、环境保护及扬尘治理费、利润、规费、税金、验收、保修服务费、并考虑风险及其他一切费用。</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2、报价时考虑可调以外的材料价格上涨等一切风险因素。</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3、</w:t>
      </w:r>
      <w:r>
        <w:rPr>
          <w:rFonts w:hint="eastAsia" w:ascii="宋体" w:hAnsi="宋体" w:cs="Arial"/>
          <w:color w:val="auto"/>
          <w:kern w:val="0"/>
          <w:sz w:val="24"/>
        </w:rPr>
        <w:t>施工期间与周边地方关系的协调由成交单位自行处理，产生的任何费用自行承担</w:t>
      </w:r>
      <w:r>
        <w:rPr>
          <w:rFonts w:hint="eastAsia" w:ascii="宋体" w:hAnsi="宋体"/>
          <w:color w:val="auto"/>
          <w:sz w:val="24"/>
        </w:rPr>
        <w:t>。</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4、本次</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采用初次报价及最终报价，共二次的报价方式；初次报价按</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文件格式报价，最终报价为竞争性</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后，由法定代表人或其委托代理人在最终</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计算公式为：</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报价比率=供应商最终报价/ 初次报价</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报价的分部分项工程单价与合价=报价比率×初次报价中的分部分项工程单价与合价</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报价的措施费=报价比率×初次报价中的措施费</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报价的规费=报价比率×初次报价中的规费</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报价的税金=报价比率×初次报价中的税金</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5、报价币种为人民币，如果报价表大写金额与小写金额不一致，以大写的金额为准。</w:t>
      </w:r>
    </w:p>
    <w:p>
      <w:pPr>
        <w:widowControl/>
        <w:shd w:val="clear" w:color="auto" w:fill="FFFFFF"/>
        <w:spacing w:line="360" w:lineRule="auto"/>
        <w:ind w:firstLine="480"/>
        <w:jc w:val="left"/>
        <w:rPr>
          <w:rFonts w:hint="eastAsia" w:ascii="宋体" w:hAnsi="宋体" w:eastAsia="宋体" w:cs="黑体"/>
          <w:b/>
          <w:color w:val="auto"/>
          <w:kern w:val="0"/>
          <w:sz w:val="24"/>
          <w:u w:val="single"/>
          <w:lang w:val="en-US" w:eastAsia="zh-CN"/>
        </w:rPr>
      </w:pPr>
      <w:r>
        <w:rPr>
          <w:rFonts w:hint="eastAsia" w:ascii="宋体" w:hAnsi="宋体"/>
          <w:b/>
          <w:color w:val="auto"/>
          <w:sz w:val="24"/>
          <w:lang w:val="en-US" w:eastAsia="zh-CN"/>
        </w:rPr>
        <w:t>6</w:t>
      </w:r>
      <w:r>
        <w:rPr>
          <w:rFonts w:hint="eastAsia" w:ascii="宋体" w:hAnsi="宋体"/>
          <w:b/>
          <w:color w:val="auto"/>
          <w:sz w:val="24"/>
        </w:rPr>
        <w:t>、</w:t>
      </w:r>
      <w:r>
        <w:rPr>
          <w:rFonts w:hint="eastAsia" w:ascii="宋体" w:hAnsi="宋体" w:cs="黑体"/>
          <w:b/>
          <w:bCs/>
          <w:color w:val="auto"/>
          <w:kern w:val="0"/>
          <w:sz w:val="24"/>
        </w:rPr>
        <w:t>采购预算为</w:t>
      </w:r>
      <w:r>
        <w:rPr>
          <w:rFonts w:hint="eastAsia" w:ascii="宋体" w:hAnsi="宋体" w:cs="黑体"/>
          <w:b/>
          <w:bCs/>
          <w:color w:val="auto"/>
          <w:kern w:val="0"/>
          <w:sz w:val="24"/>
          <w:u w:val="single"/>
        </w:rPr>
        <w:t xml:space="preserve"> </w:t>
      </w:r>
      <w:r>
        <w:rPr>
          <w:rFonts w:hint="eastAsia" w:ascii="宋体" w:hAnsi="宋体" w:cs="黑体"/>
          <w:b/>
          <w:bCs/>
          <w:color w:val="auto"/>
          <w:kern w:val="0"/>
          <w:sz w:val="24"/>
          <w:u w:val="single"/>
          <w:lang w:val="en-US" w:eastAsia="zh-CN"/>
        </w:rPr>
        <w:t xml:space="preserve">599290.94 </w:t>
      </w:r>
      <w:r>
        <w:rPr>
          <w:rFonts w:hint="eastAsia" w:ascii="宋体" w:hAnsi="宋体" w:cs="黑体"/>
          <w:b/>
          <w:bCs/>
          <w:color w:val="auto"/>
          <w:kern w:val="0"/>
          <w:sz w:val="24"/>
        </w:rPr>
        <w:t>元</w:t>
      </w:r>
      <w:r>
        <w:rPr>
          <w:rFonts w:hint="eastAsia" w:ascii="宋体" w:hAnsi="宋体" w:cs="黑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val="en-US" w:eastAsia="zh-CN"/>
        </w:rPr>
        <w:t>伍拾玖万玖仟贰佰玖拾元玖角肆分</w:t>
      </w:r>
      <w:r>
        <w:rPr>
          <w:rFonts w:hint="eastAsia" w:ascii="宋体" w:hAnsi="宋体" w:cs="宋体"/>
          <w:b/>
          <w:color w:val="auto"/>
          <w:sz w:val="24"/>
          <w:szCs w:val="24"/>
          <w:highlight w:val="none"/>
          <w:u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w:t>
      </w:r>
      <w:r>
        <w:rPr>
          <w:rFonts w:hint="eastAsia" w:ascii="宋体" w:hAnsi="宋体"/>
          <w:color w:val="auto"/>
          <w:sz w:val="24"/>
        </w:rPr>
        <w:t>采购人不组织踏勘现场，供应商踏勘现场发生的费用自理，供应商自行负责在踏勘现场中所发生的人员伤亡和财产损失。</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rPr>
        <w:t>七</w:t>
      </w:r>
      <w:r>
        <w:rPr>
          <w:rFonts w:ascii="宋体" w:hAnsi="宋体"/>
          <w:b/>
          <w:bCs/>
          <w:color w:val="auto"/>
          <w:sz w:val="24"/>
        </w:rPr>
        <w:t>、</w:t>
      </w:r>
      <w:r>
        <w:rPr>
          <w:rFonts w:hint="eastAsia" w:ascii="宋体" w:hAnsi="宋体"/>
          <w:b/>
          <w:bCs/>
          <w:color w:val="auto"/>
          <w:sz w:val="24"/>
        </w:rPr>
        <w:t>磋商</w:t>
      </w:r>
      <w:r>
        <w:rPr>
          <w:rFonts w:ascii="宋体" w:hAnsi="宋体"/>
          <w:b/>
          <w:bCs/>
          <w:color w:val="auto"/>
          <w:sz w:val="24"/>
        </w:rPr>
        <w:t>有效期</w:t>
      </w:r>
      <w:r>
        <w:rPr>
          <w:rFonts w:hint="eastAsia" w:ascii="宋体" w:hAnsi="宋体"/>
          <w:b/>
          <w:bCs/>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自递交</w:t>
      </w:r>
      <w:r>
        <w:rPr>
          <w:rFonts w:hint="eastAsia" w:ascii="宋体" w:hAnsi="宋体" w:cs="Courier New"/>
          <w:color w:val="auto"/>
          <w:sz w:val="24"/>
        </w:rPr>
        <w:t>磋商</w:t>
      </w:r>
      <w:r>
        <w:rPr>
          <w:rFonts w:hint="eastAsia" w:ascii="宋体" w:hAnsi="宋体"/>
          <w:color w:val="auto"/>
          <w:sz w:val="24"/>
        </w:rPr>
        <w:t>响应文件</w:t>
      </w:r>
      <w:r>
        <w:rPr>
          <w:rFonts w:ascii="宋体" w:hAnsi="宋体"/>
          <w:color w:val="auto"/>
          <w:sz w:val="24"/>
        </w:rPr>
        <w:t>截止之日</w:t>
      </w:r>
      <w:r>
        <w:rPr>
          <w:rFonts w:hint="eastAsia" w:ascii="宋体" w:hAnsi="宋体"/>
          <w:color w:val="auto"/>
          <w:sz w:val="24"/>
        </w:rPr>
        <w:t>起60个日历日。</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八</w:t>
      </w:r>
      <w:r>
        <w:rPr>
          <w:rFonts w:ascii="宋体" w:hAnsi="宋体"/>
          <w:b/>
          <w:color w:val="auto"/>
          <w:sz w:val="24"/>
        </w:rPr>
        <w:t>、</w:t>
      </w:r>
      <w:r>
        <w:rPr>
          <w:rFonts w:hint="eastAsia" w:ascii="宋体" w:hAnsi="宋体"/>
          <w:b/>
          <w:color w:val="auto"/>
          <w:sz w:val="24"/>
        </w:rPr>
        <w:t>磋商</w:t>
      </w:r>
      <w:r>
        <w:rPr>
          <w:rFonts w:ascii="宋体" w:hAnsi="宋体"/>
          <w:b/>
          <w:color w:val="auto"/>
          <w:sz w:val="24"/>
        </w:rPr>
        <w:t>费用</w:t>
      </w:r>
      <w:r>
        <w:rPr>
          <w:rFonts w:hint="eastAsia" w:ascii="宋体" w:hAnsi="宋体"/>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1、无论</w:t>
      </w:r>
      <w:r>
        <w:rPr>
          <w:rFonts w:hint="eastAsia" w:ascii="宋体" w:hAnsi="宋体" w:cs="黑体"/>
          <w:color w:val="auto"/>
          <w:kern w:val="0"/>
          <w:sz w:val="24"/>
        </w:rPr>
        <w:t>报价</w:t>
      </w:r>
      <w:r>
        <w:rPr>
          <w:rFonts w:hint="eastAsia" w:ascii="宋体" w:hAnsi="宋体"/>
          <w:color w:val="auto"/>
          <w:sz w:val="24"/>
        </w:rPr>
        <w:t>过程中的方法和结果如何，各</w:t>
      </w:r>
      <w:r>
        <w:rPr>
          <w:rFonts w:hint="eastAsia" w:ascii="宋体" w:hAnsi="宋体" w:cs="Courier New"/>
          <w:color w:val="auto"/>
          <w:sz w:val="24"/>
        </w:rPr>
        <w:t>磋商</w:t>
      </w:r>
      <w:r>
        <w:rPr>
          <w:rFonts w:hint="eastAsia" w:ascii="宋体" w:hAnsi="宋体"/>
          <w:color w:val="auto"/>
          <w:sz w:val="24"/>
        </w:rPr>
        <w:t>响应方自行承担所有参与</w:t>
      </w:r>
      <w:r>
        <w:rPr>
          <w:rFonts w:hint="eastAsia" w:ascii="宋体" w:hAnsi="宋体" w:cs="Courier New"/>
          <w:color w:val="auto"/>
          <w:sz w:val="24"/>
        </w:rPr>
        <w:t>磋商</w:t>
      </w:r>
      <w:r>
        <w:rPr>
          <w:rFonts w:hint="eastAsia" w:ascii="宋体" w:hAnsi="宋体"/>
          <w:color w:val="auto"/>
          <w:sz w:val="24"/>
        </w:rPr>
        <w:t>的有关费用。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rPr>
        <w:t>2、</w:t>
      </w:r>
      <w:r>
        <w:rPr>
          <w:rFonts w:hint="eastAsia" w:ascii="宋体" w:hAnsi="宋体"/>
          <w:color w:val="auto"/>
          <w:sz w:val="24"/>
          <w:highlight w:val="none"/>
        </w:rPr>
        <w:t>本次采购代理服务费由成交供应商支付，费用合计如下：</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highlight w:val="none"/>
          <w:u w:val="single"/>
          <w:lang w:eastAsia="zh-CN"/>
        </w:rPr>
      </w:pPr>
      <w:r>
        <w:rPr>
          <w:rFonts w:hint="eastAsia" w:ascii="宋体" w:hAnsi="宋体"/>
          <w:color w:val="auto"/>
          <w:sz w:val="24"/>
          <w:highlight w:val="none"/>
        </w:rPr>
        <w:t>人民币（小写）</w:t>
      </w:r>
      <w:r>
        <w:rPr>
          <w:rFonts w:hint="eastAsia" w:ascii="宋体" w:hAnsi="宋体"/>
          <w:color w:val="auto"/>
          <w:sz w:val="24"/>
          <w:highlight w:val="none"/>
          <w:u w:val="single"/>
          <w:lang w:val="en-US" w:eastAsia="zh-CN"/>
        </w:rPr>
        <w:t xml:space="preserve"> 7600.00 </w:t>
      </w:r>
      <w:r>
        <w:rPr>
          <w:rFonts w:hint="eastAsia" w:ascii="宋体" w:hAnsi="宋体"/>
          <w:color w:val="auto"/>
          <w:sz w:val="24"/>
          <w:highlight w:val="none"/>
        </w:rPr>
        <w:t>元，（大写）</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柒仟陆佰元整 </w:t>
      </w:r>
      <w:r>
        <w:rPr>
          <w:rFonts w:ascii="宋体" w:hAnsi="宋体"/>
          <w:color w:val="auto"/>
          <w:sz w:val="24"/>
          <w:highlight w:val="none"/>
          <w:u w:val="single"/>
        </w:rPr>
        <w:t xml:space="preserve"> </w:t>
      </w:r>
      <w:r>
        <w:rPr>
          <w:rFonts w:hint="eastAsia" w:ascii="宋体" w:hAnsi="宋体"/>
          <w:color w:val="auto"/>
          <w:sz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auto"/>
          <w:sz w:val="24"/>
        </w:rPr>
      </w:pPr>
      <w:r>
        <w:rPr>
          <w:rFonts w:hint="eastAsia" w:ascii="宋体" w:hAnsi="宋体"/>
          <w:b/>
          <w:bCs/>
          <w:color w:val="auto"/>
          <w:sz w:val="24"/>
        </w:rPr>
        <w:t>由成交供应商在领取成交通知书前一次性缴纳至本项目代理机构。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highlight w:val="none"/>
        </w:rPr>
      </w:pPr>
      <w:r>
        <w:rPr>
          <w:rFonts w:hint="eastAsia" w:ascii="宋体" w:hAnsi="宋体" w:cs="黑体"/>
          <w:b/>
          <w:color w:val="auto"/>
          <w:kern w:val="0"/>
          <w:sz w:val="24"/>
          <w:highlight w:val="none"/>
        </w:rPr>
        <w:t>3、</w:t>
      </w:r>
      <w:r>
        <w:rPr>
          <w:rFonts w:hint="eastAsia" w:ascii="宋体" w:hAnsi="宋体" w:cs="黑体"/>
          <w:b/>
          <w:bCs/>
          <w:color w:val="auto"/>
          <w:kern w:val="0"/>
          <w:sz w:val="24"/>
          <w:highlight w:val="none"/>
        </w:rPr>
        <w:t>履约保证金：</w:t>
      </w:r>
      <w:r>
        <w:rPr>
          <w:rFonts w:hint="eastAsia" w:ascii="宋体" w:hAnsi="宋体" w:cs="黑体"/>
          <w:b/>
          <w:color w:val="auto"/>
          <w:kern w:val="0"/>
          <w:sz w:val="24"/>
          <w:highlight w:val="none"/>
        </w:rPr>
        <w:t>本项目不收取履约保证金。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本项目无预付款，工程竣工验收合格后付至合同总价款的60%，结算审计完成后，付至审定价款的97%，剩余3%作为质量保证金，缺陷责任期满后无质量问题无息付清。工程最终结算造价以审计部门审计结果为准。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黑体"/>
          <w:b/>
          <w:bCs/>
          <w:color w:val="auto"/>
          <w:sz w:val="24"/>
          <w:u w:val="single"/>
        </w:rPr>
      </w:pPr>
      <w:r>
        <w:rPr>
          <w:rFonts w:hint="eastAsia" w:ascii="宋体" w:hAnsi="宋体" w:eastAsia="宋体" w:cs="宋体"/>
          <w:b/>
          <w:color w:val="auto"/>
          <w:sz w:val="24"/>
          <w:szCs w:val="24"/>
        </w:rPr>
        <w:t>为确保</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保质保量按期完工，本项目</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必须专款专用，如发现</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挪用</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款现象，由此造成的一切损失均有</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 xml:space="preserve">承担。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b/>
          <w:color w:val="auto"/>
          <w:sz w:val="24"/>
        </w:rPr>
        <w:t>十、磋商</w:t>
      </w:r>
      <w:r>
        <w:rPr>
          <w:rFonts w:ascii="宋体" w:hAnsi="宋体"/>
          <w:b/>
          <w:color w:val="auto"/>
          <w:sz w:val="24"/>
        </w:rPr>
        <w:t>保证金</w:t>
      </w:r>
      <w:r>
        <w:rPr>
          <w:rFonts w:hint="eastAsia" w:ascii="宋体" w:hAnsi="宋体"/>
          <w:b/>
          <w:color w:val="auto"/>
          <w:sz w:val="24"/>
        </w:rPr>
        <w:t>：</w:t>
      </w:r>
      <w:r>
        <w:rPr>
          <w:rFonts w:hint="eastAsia" w:ascii="宋体" w:hAnsi="宋体" w:cs="黑体"/>
          <w:b/>
          <w:color w:val="auto"/>
          <w:kern w:val="0"/>
          <w:sz w:val="24"/>
        </w:rPr>
        <w:t>根据《山东省财政厅关于取消政府采购投标保证金等有关事项的通知》（鲁财采[2019]40号）文规定，本项目不收取磋商保证金。</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十一</w:t>
      </w:r>
      <w:r>
        <w:rPr>
          <w:rFonts w:ascii="宋体" w:hAnsi="宋体"/>
          <w:b/>
          <w:color w:val="auto"/>
          <w:sz w:val="24"/>
        </w:rPr>
        <w:t>、无效</w:t>
      </w:r>
      <w:r>
        <w:rPr>
          <w:rFonts w:hint="eastAsia" w:ascii="宋体" w:hAnsi="宋体"/>
          <w:b/>
          <w:color w:val="auto"/>
          <w:sz w:val="24"/>
        </w:rPr>
        <w:t>磋商</w:t>
      </w:r>
      <w:r>
        <w:rPr>
          <w:rFonts w:ascii="宋体" w:hAnsi="宋体"/>
          <w:b/>
          <w:color w:val="auto"/>
          <w:sz w:val="24"/>
        </w:rPr>
        <w:t>响应文件</w:t>
      </w:r>
      <w:r>
        <w:rPr>
          <w:rFonts w:hint="eastAsia" w:ascii="宋体" w:hAnsi="宋体"/>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凡具有下列情形之一的，作无效</w:t>
      </w:r>
      <w:r>
        <w:rPr>
          <w:rFonts w:hint="eastAsia" w:ascii="宋体" w:hAnsi="宋体" w:cs="Courier New"/>
          <w:color w:val="auto"/>
          <w:sz w:val="24"/>
        </w:rPr>
        <w:t>磋商</w:t>
      </w:r>
      <w:r>
        <w:rPr>
          <w:rFonts w:hint="eastAsia" w:ascii="宋体" w:hAnsi="宋体"/>
          <w:color w:val="auto"/>
          <w:sz w:val="24"/>
        </w:rPr>
        <w:t>响应文件：</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1、资格证明文件不全或无效的,或者不符合采购文件标明的资格要求的；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、提供的有关资格、资质证明文件不真实,提供虚假报价材料的；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、供应商未按磋商文件格式规定盖章、签字的；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、工期、质量等不满足磋商文件要求的；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、磋商响应方的初次报价或最终报价超过采购预算的,或者最终报价超出初次报价的；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、不响应或者擅自改变采购文件要求或者响应文件有采购人不能接受的附加条件的；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、磋商响应方串通报价的；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、磋商响应方向采购人、采购代理机构、评审专家提供不正当利益的；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、不同磋商响应方的响应文件由同一单位或者个人编制的；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、不同磋商响应方委托同一单位或者个人办理磋商事宜；</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、不同响应供应商的</w:t>
      </w:r>
      <w:r>
        <w:rPr>
          <w:rFonts w:hint="eastAsia" w:ascii="宋体" w:hAnsi="宋体" w:cs="宋体"/>
          <w:color w:val="auto"/>
          <w:sz w:val="24"/>
          <w:lang w:eastAsia="zh-CN"/>
        </w:rPr>
        <w:t>响应</w:t>
      </w:r>
      <w:r>
        <w:rPr>
          <w:rFonts w:hint="eastAsia" w:ascii="宋体" w:hAnsi="宋体" w:cs="宋体"/>
          <w:color w:val="auto"/>
          <w:sz w:val="24"/>
        </w:rPr>
        <w:t>文件载明的项目管理成员为同一人；</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、法律、法规规定的其他情况。</w:t>
      </w:r>
    </w:p>
    <w:p>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十二、建设工地扬尘污染防治</w:t>
      </w:r>
    </w:p>
    <w:p>
      <w:pPr>
        <w:tabs>
          <w:tab w:val="left" w:pos="315"/>
        </w:tabs>
        <w:spacing w:line="540" w:lineRule="exact"/>
        <w:ind w:firstLine="482" w:firstLineChars="200"/>
        <w:rPr>
          <w:rFonts w:hint="eastAsia" w:ascii="宋体" w:hAnsi="宋体" w:cs="Times New Roman"/>
          <w:b/>
          <w:color w:val="auto"/>
          <w:sz w:val="24"/>
          <w:highlight w:val="none"/>
        </w:rPr>
      </w:pPr>
      <w:r>
        <w:rPr>
          <w:rFonts w:hint="eastAsia" w:ascii="宋体" w:hAnsi="宋体" w:cs="Times New Roman"/>
          <w:b/>
          <w:color w:val="auto"/>
          <w:sz w:val="24"/>
          <w:highlight w:val="none"/>
        </w:rPr>
        <w:t>执行《济宁市建筑工地扬尘治理工作导则》（ 二〇二〇年十一月济宁市住房和城乡建筑局发布）。</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十三、严禁在施工现场搅拌砂浆、混凝土的通知</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根据济建【2007】103号及邹建字【2007】35号规定城市区内禁止现场搅拌混凝土，使用商品混凝土，本项目供应商报价时应按商品混凝土进行报价。</w:t>
      </w:r>
    </w:p>
    <w:p>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十四、质疑和投诉：</w:t>
      </w:r>
    </w:p>
    <w:p>
      <w:pPr>
        <w:widowControl/>
        <w:shd w:val="clear" w:color="auto" w:fill="FFFFFF"/>
        <w:spacing w:line="540" w:lineRule="exact"/>
        <w:ind w:firstLine="482"/>
        <w:jc w:val="left"/>
        <w:rPr>
          <w:rFonts w:ascii="宋体" w:hAnsi="宋体" w:cs="黑体"/>
          <w:color w:val="auto"/>
          <w:kern w:val="0"/>
          <w:sz w:val="24"/>
        </w:rPr>
      </w:pPr>
      <w:r>
        <w:rPr>
          <w:rFonts w:hint="eastAsia" w:ascii="宋体" w:hAnsi="宋体" w:cs="黑体"/>
          <w:color w:val="auto"/>
          <w:kern w:val="0"/>
          <w:sz w:val="24"/>
        </w:rPr>
        <w:t>质疑：参加磋商的供应商认为采购文件、采购过程和成交结果使自己的合法权益受到损害的，有权依法向采购人或采购代理机构提出质疑。</w:t>
      </w:r>
    </w:p>
    <w:p>
      <w:pPr>
        <w:spacing w:line="540" w:lineRule="exact"/>
        <w:ind w:firstLine="482"/>
        <w:rPr>
          <w:rFonts w:ascii="宋体" w:hAnsi="宋体" w:cs="黑体"/>
          <w:color w:val="auto"/>
          <w:kern w:val="0"/>
          <w:sz w:val="24"/>
        </w:rPr>
      </w:pPr>
      <w:r>
        <w:rPr>
          <w:rFonts w:hint="eastAsia" w:ascii="宋体" w:hAnsi="宋体" w:cs="黑体"/>
          <w:color w:val="auto"/>
          <w:kern w:val="0"/>
          <w:sz w:val="24"/>
        </w:rPr>
        <w:t>投诉：参加磋商的供应商对采购人的质疑答复不满意，或者采购人未在规定期限内作出答复的，供应商可以在答复期满后可以向相关行政主管部门投诉。</w:t>
      </w:r>
    </w:p>
    <w:p>
      <w:pPr>
        <w:spacing w:line="540" w:lineRule="exact"/>
        <w:ind w:firstLine="482"/>
        <w:rPr>
          <w:rFonts w:ascii="宋体" w:hAnsi="宋体" w:cs="黑体"/>
          <w:color w:val="auto"/>
          <w:kern w:val="0"/>
          <w:sz w:val="24"/>
        </w:rPr>
      </w:pPr>
    </w:p>
    <w:p>
      <w:pPr>
        <w:spacing w:line="360" w:lineRule="auto"/>
        <w:jc w:val="center"/>
        <w:outlineLvl w:val="0"/>
        <w:rPr>
          <w:rFonts w:hint="eastAsia" w:ascii="宋体" w:hAnsi="宋体" w:eastAsia="宋体" w:cs="宋体"/>
          <w:b/>
          <w:bCs/>
          <w:color w:val="auto"/>
          <w:kern w:val="2"/>
          <w:sz w:val="24"/>
          <w:szCs w:val="24"/>
          <w:lang w:val="en-US" w:eastAsia="zh-CN" w:bidi="ar-SA"/>
        </w:rPr>
      </w:pPr>
      <w:r>
        <w:rPr>
          <w:rFonts w:ascii="宋体" w:hAnsi="宋体"/>
          <w:b/>
          <w:color w:val="auto"/>
          <w:sz w:val="32"/>
          <w:szCs w:val="32"/>
        </w:rPr>
        <w:br w:type="page"/>
      </w:r>
      <w:bookmarkStart w:id="10" w:name="_Toc11977"/>
      <w:bookmarkStart w:id="11" w:name="_Toc5023"/>
      <w:bookmarkStart w:id="12" w:name="_Toc12301"/>
      <w:r>
        <w:rPr>
          <w:rFonts w:hint="eastAsia" w:ascii="宋体" w:hAnsi="宋体" w:eastAsia="宋体" w:cs="宋体"/>
          <w:b/>
          <w:bCs/>
          <w:color w:val="auto"/>
          <w:kern w:val="2"/>
          <w:sz w:val="24"/>
          <w:szCs w:val="24"/>
          <w:lang w:val="en-US" w:eastAsia="zh-CN" w:bidi="ar-SA"/>
        </w:rPr>
        <w:t>第三部分  磋商组织、步骤与评审方法</w:t>
      </w:r>
      <w:bookmarkEnd w:id="10"/>
      <w:bookmarkEnd w:id="11"/>
      <w:bookmarkEnd w:id="12"/>
    </w:p>
    <w:p>
      <w:pPr>
        <w:spacing w:line="360" w:lineRule="auto"/>
        <w:rPr>
          <w:rFonts w:ascii="宋体" w:hAnsi="宋体"/>
          <w:b/>
          <w:color w:val="auto"/>
          <w:sz w:val="24"/>
        </w:rPr>
      </w:pPr>
      <w:r>
        <w:rPr>
          <w:rFonts w:hint="eastAsia" w:ascii="宋体" w:hAnsi="宋体"/>
          <w:b/>
          <w:color w:val="auto"/>
          <w:sz w:val="24"/>
        </w:rPr>
        <w:t>一、磋商组织：</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1、采购人在磋商文件规定的时间和地点组织磋商，磋商响应方须派代表参加；</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2、磋商小组由三人（含）以上单数的人员组成，其中专家的人数不少于成员总数的三分之二，磋商小组对磋商响应文件进行审查、质疑、评估和比较。</w:t>
      </w:r>
    </w:p>
    <w:p>
      <w:pPr>
        <w:spacing w:line="360" w:lineRule="auto"/>
        <w:rPr>
          <w:rFonts w:ascii="宋体" w:hAnsi="宋体"/>
          <w:b/>
          <w:color w:val="auto"/>
          <w:sz w:val="24"/>
        </w:rPr>
      </w:pPr>
      <w:r>
        <w:rPr>
          <w:rFonts w:hint="eastAsia" w:ascii="宋体" w:hAnsi="宋体"/>
          <w:b/>
          <w:color w:val="auto"/>
          <w:sz w:val="24"/>
        </w:rPr>
        <w:t>二、磋商步骤：</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1、检查磋商响应文件密封情况：各磋商响应方对自己递交的磋商响应文件密封情况进行检查；</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2、磋商响应文件初步审核：磋商小组对磋商响应文件进行符合性审核；</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3、磋商小组所有成员集中根据磋商需要与单一供应商分别磋商；</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4、磋商结束后，所有实质性响应的供应商进行最终报价；</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5、磋商小组按照如下评审办法对最终报价后所有实质性响应的供应商进行评审，推荐3名成交候选供应商。</w:t>
      </w:r>
    </w:p>
    <w:p>
      <w:pPr>
        <w:spacing w:line="360" w:lineRule="auto"/>
        <w:rPr>
          <w:rFonts w:ascii="宋体" w:hAnsi="宋体"/>
          <w:b/>
          <w:color w:val="auto"/>
          <w:sz w:val="24"/>
        </w:rPr>
      </w:pPr>
      <w:r>
        <w:rPr>
          <w:rFonts w:hint="eastAsia" w:ascii="宋体" w:hAnsi="宋体"/>
          <w:b/>
          <w:color w:val="auto"/>
          <w:sz w:val="24"/>
        </w:rPr>
        <w:t>三、</w:t>
      </w:r>
      <w:r>
        <w:rPr>
          <w:rFonts w:ascii="宋体" w:hAnsi="宋体"/>
          <w:b/>
          <w:color w:val="auto"/>
          <w:sz w:val="24"/>
        </w:rPr>
        <w:t>评审</w:t>
      </w:r>
      <w:r>
        <w:rPr>
          <w:rFonts w:hint="eastAsia" w:ascii="宋体" w:hAnsi="宋体"/>
          <w:b/>
          <w:color w:val="auto"/>
          <w:sz w:val="24"/>
        </w:rPr>
        <w:t>方法：</w:t>
      </w:r>
    </w:p>
    <w:p>
      <w:pPr>
        <w:tabs>
          <w:tab w:val="left" w:pos="0"/>
          <w:tab w:val="left" w:pos="885"/>
          <w:tab w:val="left" w:pos="990"/>
        </w:tabs>
        <w:spacing w:line="360" w:lineRule="auto"/>
        <w:ind w:firstLine="566" w:firstLineChars="236"/>
        <w:rPr>
          <w:rFonts w:hint="eastAsia" w:ascii="宋体" w:hAnsi="宋体"/>
          <w:color w:val="auto"/>
          <w:sz w:val="24"/>
        </w:rPr>
      </w:pPr>
      <w:r>
        <w:rPr>
          <w:rFonts w:hint="eastAsia" w:ascii="宋体" w:hAnsi="宋体"/>
          <w:color w:val="auto"/>
          <w:sz w:val="24"/>
        </w:rPr>
        <w:t>本项目采用综合评分法，是指响应文件满足磋商文件全部实质性要求且按评审因素的量化指标评审得分，按照评审得分由高到低顺序推荐成交候选供应商的评审方法。</w:t>
      </w:r>
    </w:p>
    <w:tbl>
      <w:tblPr>
        <w:tblStyle w:val="39"/>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
        <w:gridCol w:w="12"/>
        <w:gridCol w:w="2538"/>
        <w:gridCol w:w="737"/>
        <w:gridCol w:w="5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3047" w:type="dxa"/>
            <w:gridSpan w:val="3"/>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条款号</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w:t>
            </w:r>
          </w:p>
          <w:p>
            <w:pPr>
              <w:adjustRightInd w:val="0"/>
              <w:snapToGri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因素</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1566" w:firstLineChars="650"/>
              <w:jc w:val="left"/>
              <w:rPr>
                <w:rFonts w:hint="eastAsia" w:ascii="宋体" w:hAnsi="宋体" w:cs="宋体"/>
                <w:color w:val="auto"/>
                <w:sz w:val="24"/>
                <w:szCs w:val="24"/>
              </w:rPr>
            </w:pPr>
            <w:r>
              <w:rPr>
                <w:rFonts w:hint="eastAsia" w:ascii="宋体" w:hAnsi="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4" w:hRule="atLeast"/>
          <w:jc w:val="center"/>
        </w:trPr>
        <w:tc>
          <w:tcPr>
            <w:tcW w:w="509" w:type="dxa"/>
            <w:gridSpan w:val="2"/>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一</w:t>
            </w:r>
          </w:p>
        </w:tc>
        <w:tc>
          <w:tcPr>
            <w:tcW w:w="2538"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报价得分</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30</w:t>
            </w:r>
            <w:r>
              <w:rPr>
                <w:rFonts w:hint="eastAsia" w:ascii="宋体" w:hAnsi="宋体" w:cs="宋体"/>
                <w:b/>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供应商的报价得分统一采用最低价优先法计算，即满足磋商文件要求且最终报价最低的供应商的价格为磋商基准价，其报价得分为满分</w:t>
            </w:r>
            <w:r>
              <w:rPr>
                <w:rFonts w:hint="eastAsia" w:ascii="宋体" w:hAnsi="宋体" w:cs="宋体"/>
                <w:color w:val="auto"/>
                <w:sz w:val="24"/>
                <w:szCs w:val="24"/>
                <w:lang w:val="en-US" w:eastAsia="zh-CN"/>
              </w:rPr>
              <w:t>30</w:t>
            </w:r>
            <w:r>
              <w:rPr>
                <w:rFonts w:hint="eastAsia" w:ascii="宋体" w:hAnsi="宋体" w:cs="宋体"/>
                <w:color w:val="auto"/>
                <w:sz w:val="24"/>
                <w:szCs w:val="24"/>
              </w:rPr>
              <w:t>分。其他供应商的报价得分统一按照下列公式计算：磋商报价得分=（磋商基准价/最终磋商报价）×</w:t>
            </w:r>
            <w:r>
              <w:rPr>
                <w:rFonts w:hint="eastAsia" w:ascii="宋体" w:hAnsi="宋体" w:cs="宋体"/>
                <w:color w:val="auto"/>
                <w:sz w:val="24"/>
                <w:szCs w:val="24"/>
                <w:lang w:val="en-US" w:eastAsia="zh-CN"/>
              </w:rPr>
              <w:t>30</w:t>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rPr>
              <w:t>二</w:t>
            </w:r>
          </w:p>
        </w:tc>
        <w:tc>
          <w:tcPr>
            <w:tcW w:w="2550" w:type="dxa"/>
            <w:gridSpan w:val="2"/>
            <w:tcBorders>
              <w:top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cs="宋体"/>
                <w:b/>
                <w:color w:val="auto"/>
                <w:sz w:val="24"/>
                <w:szCs w:val="24"/>
              </w:rPr>
            </w:pPr>
            <w:r>
              <w:rPr>
                <w:rFonts w:hint="eastAsia" w:ascii="宋体" w:hAnsi="宋体" w:cs="宋体"/>
                <w:b/>
                <w:color w:val="auto"/>
                <w:sz w:val="24"/>
                <w:szCs w:val="24"/>
              </w:rPr>
              <w:t>技术部分</w:t>
            </w:r>
          </w:p>
          <w:p>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rPr>
              <w:t>（施工组织设计）</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60</w:t>
            </w:r>
            <w:r>
              <w:rPr>
                <w:rFonts w:hint="eastAsia" w:ascii="宋体" w:hAnsi="宋体" w:cs="宋体"/>
                <w:b/>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针对项目特点内容规范完整性和整体编制水平</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根据对工程整体有深刻认识，施工组织设计内容针对项目特点完整规范、具体可行</w:t>
            </w:r>
            <w:r>
              <w:rPr>
                <w:rFonts w:hint="eastAsia" w:ascii="宋体" w:hAnsi="宋体" w:cs="宋体"/>
                <w:color w:val="auto"/>
                <w:sz w:val="24"/>
                <w:szCs w:val="24"/>
                <w:lang w:val="en-US" w:eastAsia="zh-CN"/>
              </w:rPr>
              <w:t>6</w:t>
            </w:r>
            <w:r>
              <w:rPr>
                <w:rFonts w:hint="eastAsia" w:ascii="宋体" w:hAnsi="宋体" w:cs="宋体"/>
                <w:color w:val="auto"/>
                <w:sz w:val="24"/>
                <w:szCs w:val="24"/>
              </w:rPr>
              <w:t>分，比较规范、具体得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w:t>
            </w:r>
            <w:r>
              <w:rPr>
                <w:rFonts w:hint="eastAsia" w:ascii="宋体" w:hAnsi="宋体" w:cs="宋体"/>
                <w:color w:val="auto"/>
                <w:sz w:val="24"/>
                <w:szCs w:val="24"/>
                <w:lang w:val="en-US" w:eastAsia="zh-CN"/>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施工进度计划和保证措施</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根据内容齐全、针对项目实际情况安排恰当得</w:t>
            </w:r>
            <w:r>
              <w:rPr>
                <w:rFonts w:hint="eastAsia" w:ascii="宋体" w:hAnsi="宋体" w:cs="宋体"/>
                <w:color w:val="auto"/>
                <w:sz w:val="24"/>
                <w:szCs w:val="24"/>
                <w:lang w:val="en-US" w:eastAsia="zh-CN"/>
              </w:rPr>
              <w:t>6</w:t>
            </w:r>
            <w:r>
              <w:rPr>
                <w:rFonts w:hint="eastAsia" w:ascii="宋体" w:hAnsi="宋体" w:cs="宋体"/>
                <w:color w:val="auto"/>
                <w:sz w:val="24"/>
                <w:szCs w:val="24"/>
              </w:rPr>
              <w:t>分，比较恰当得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w:t>
            </w:r>
            <w:r>
              <w:rPr>
                <w:rFonts w:hint="eastAsia" w:ascii="宋体" w:hAnsi="宋体" w:cs="宋体"/>
                <w:color w:val="auto"/>
                <w:sz w:val="24"/>
                <w:szCs w:val="24"/>
                <w:lang w:val="en-US" w:eastAsia="zh-CN"/>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质量管理体系与措施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根据体系完整、内容齐全、安排合理、针对项目特点措施先进可行、通病治理措施具体可靠得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分，较为具体可靠得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w:t>
            </w:r>
            <w:r>
              <w:rPr>
                <w:rFonts w:hint="eastAsia" w:ascii="宋体" w:hAnsi="宋体" w:cs="宋体"/>
                <w:color w:val="auto"/>
                <w:sz w:val="24"/>
                <w:szCs w:val="24"/>
                <w:lang w:val="en-US" w:eastAsia="zh-CN"/>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497" w:type="dxa"/>
            <w:tcBorders>
              <w:top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4</w:t>
            </w:r>
          </w:p>
        </w:tc>
        <w:tc>
          <w:tcPr>
            <w:tcW w:w="2550" w:type="dxa"/>
            <w:gridSpan w:val="2"/>
            <w:tcBorders>
              <w:top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安全管理体系与措施</w:t>
            </w:r>
          </w:p>
        </w:tc>
        <w:tc>
          <w:tcPr>
            <w:tcW w:w="737" w:type="dxa"/>
            <w:tcBorders>
              <w:top w:val="single" w:color="auto" w:sz="4" w:space="0"/>
              <w:left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根据体系完整、内容齐全、安排恰当、措施针对项目实际情况规范具体完整、应急救援预案可行得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分，较为完整、可行得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w:t>
            </w:r>
            <w:r>
              <w:rPr>
                <w:rFonts w:hint="eastAsia" w:ascii="宋体" w:hAnsi="宋体" w:cs="宋体"/>
                <w:color w:val="auto"/>
                <w:sz w:val="24"/>
                <w:szCs w:val="24"/>
                <w:lang w:val="en-US" w:eastAsia="zh-CN"/>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Cs/>
                <w:color w:val="auto"/>
                <w:sz w:val="24"/>
                <w:szCs w:val="24"/>
              </w:rPr>
              <w:t>5</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环保管理体系与措施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根据工程计划编排合理、可行、关键路线清晰准确、冬雨季农忙保证措施可靠、内容齐全可行得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分，较为可靠、齐全得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w:t>
            </w:r>
            <w:r>
              <w:rPr>
                <w:rFonts w:hint="eastAsia" w:ascii="宋体" w:hAnsi="宋体" w:cs="宋体"/>
                <w:color w:val="auto"/>
                <w:sz w:val="24"/>
                <w:szCs w:val="24"/>
                <w:lang w:val="en-US" w:eastAsia="zh-CN"/>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6</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文明管理体系与措施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根据体系完整、内容齐全、安排恰当、措施可行程度得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分，较为完整、齐全、恰当、可行得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w:t>
            </w:r>
            <w:r>
              <w:rPr>
                <w:rFonts w:hint="eastAsia" w:ascii="宋体" w:hAnsi="宋体" w:cs="宋体"/>
                <w:color w:val="auto"/>
                <w:sz w:val="24"/>
                <w:szCs w:val="24"/>
                <w:lang w:val="en-US" w:eastAsia="zh-CN"/>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Cs/>
                <w:color w:val="auto"/>
                <w:sz w:val="24"/>
                <w:szCs w:val="24"/>
              </w:rPr>
              <w:t>7</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劳动力、机械设备和材料投入计划</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根据体系完整、内容齐全、安排恰当、针对项目实际情况措施可行程度得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分，较为完整、齐全、恰当、可行得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w:t>
            </w:r>
            <w:r>
              <w:rPr>
                <w:rFonts w:hint="eastAsia" w:ascii="宋体" w:hAnsi="宋体" w:cs="宋体"/>
                <w:color w:val="auto"/>
                <w:sz w:val="24"/>
                <w:szCs w:val="24"/>
                <w:lang w:val="en-US" w:eastAsia="zh-CN"/>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8</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施工管理及措施</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根据对本工程项目管理的认识，内容齐全、有针对性、对工程现场管理安排合理、符合安全文明生产要求、对工程管理的配合、协调、服务措施可行得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分，较为可行得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w:t>
            </w:r>
            <w:r>
              <w:rPr>
                <w:rFonts w:hint="eastAsia" w:ascii="宋体" w:hAnsi="宋体" w:cs="宋体"/>
                <w:color w:val="auto"/>
                <w:sz w:val="24"/>
                <w:szCs w:val="24"/>
                <w:lang w:val="en-US" w:eastAsia="zh-CN"/>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9</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施工关键部位、材料采购要点的控制及措施（根据工程特点及本磋商文件要求应具有针对性）</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rPr>
              <w:t>根据内容齐全、安排合理、投入计划与进度计划相呼应、措施可行程度得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分，较为可行得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10</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扬尘治理措施</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根据针对工程特点内容齐全、安排合理、对施工关键部位及材料采购要点解决方案完整、经济、切实可行、措施得力得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分，较为完整、经济、可行、得力得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497" w:type="dxa"/>
            <w:tcBorders>
              <w:top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rPr>
              <w:t>三</w:t>
            </w:r>
          </w:p>
        </w:tc>
        <w:tc>
          <w:tcPr>
            <w:tcW w:w="2550" w:type="dxa"/>
            <w:gridSpan w:val="2"/>
            <w:tcBorders>
              <w:top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rPr>
              <w:t>商务部分</w:t>
            </w:r>
          </w:p>
        </w:tc>
        <w:tc>
          <w:tcPr>
            <w:tcW w:w="7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lang w:val="en-US" w:eastAsia="zh-CN"/>
              </w:rPr>
              <w:t>10</w:t>
            </w:r>
            <w:r>
              <w:rPr>
                <w:rFonts w:hint="eastAsia" w:ascii="宋体" w:hAnsi="宋体" w:cs="宋体"/>
                <w:b/>
                <w:bCs/>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497" w:type="dxa"/>
            <w:tcBorders>
              <w:top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lang w:val="en-US" w:eastAsia="zh-CN"/>
              </w:rPr>
              <w:t>1</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供应商类似工程业绩</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1 月</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1 日以来承担的类似工程每项得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分，本项最多得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pPr>
              <w:spacing w:line="360" w:lineRule="auto"/>
              <w:rPr>
                <w:rFonts w:hint="eastAsia" w:ascii="宋体" w:hAnsi="宋体" w:eastAsia="宋体" w:cs="宋体"/>
                <w:b/>
                <w:color w:val="auto"/>
                <w:kern w:val="2"/>
                <w:sz w:val="24"/>
                <w:szCs w:val="24"/>
                <w:lang w:val="en-US" w:eastAsia="zh-CN" w:bidi="ar-SA"/>
              </w:rPr>
            </w:pPr>
            <w:r>
              <w:rPr>
                <w:rFonts w:hint="eastAsia" w:ascii="宋体" w:hAnsi="宋体" w:eastAsia="宋体" w:cs="宋体"/>
                <w:color w:val="auto"/>
                <w:sz w:val="24"/>
                <w:szCs w:val="24"/>
              </w:rPr>
              <w:t>备注：</w:t>
            </w:r>
            <w:r>
              <w:rPr>
                <w:rFonts w:hint="eastAsia" w:ascii="宋体" w:hAnsi="宋体"/>
                <w:b/>
                <w:color w:val="auto"/>
                <w:sz w:val="24"/>
                <w:szCs w:val="24"/>
              </w:rPr>
              <w:t>①类似项目工程以施工合同</w:t>
            </w:r>
            <w:r>
              <w:rPr>
                <w:rFonts w:hint="eastAsia" w:ascii="宋体" w:hAnsi="宋体"/>
                <w:b/>
                <w:color w:val="auto"/>
                <w:sz w:val="24"/>
                <w:szCs w:val="24"/>
                <w:lang w:eastAsia="zh-CN"/>
              </w:rPr>
              <w:t>原件</w:t>
            </w:r>
            <w:r>
              <w:rPr>
                <w:rFonts w:hint="eastAsia" w:ascii="宋体" w:hAnsi="宋体"/>
                <w:b/>
                <w:color w:val="auto"/>
                <w:sz w:val="24"/>
                <w:szCs w:val="24"/>
              </w:rPr>
              <w:t>、中标（成交）通知书</w:t>
            </w:r>
            <w:r>
              <w:rPr>
                <w:rFonts w:hint="eastAsia" w:ascii="宋体" w:hAnsi="宋体"/>
                <w:b/>
                <w:color w:val="auto"/>
                <w:sz w:val="24"/>
                <w:szCs w:val="24"/>
                <w:lang w:eastAsia="zh-CN"/>
              </w:rPr>
              <w:t>原件</w:t>
            </w:r>
            <w:r>
              <w:rPr>
                <w:rFonts w:hint="eastAsia" w:ascii="宋体" w:hAnsi="宋体"/>
                <w:b/>
                <w:color w:val="auto"/>
                <w:sz w:val="24"/>
                <w:szCs w:val="24"/>
              </w:rPr>
              <w:t>为准，</w:t>
            </w:r>
            <w:r>
              <w:rPr>
                <w:rFonts w:hint="eastAsia" w:ascii="宋体" w:hAnsi="宋体"/>
                <w:b/>
                <w:color w:val="auto"/>
                <w:sz w:val="24"/>
                <w:szCs w:val="24"/>
                <w:lang w:val="en-US" w:eastAsia="zh-CN"/>
              </w:rPr>
              <w:t>两</w:t>
            </w:r>
            <w:r>
              <w:rPr>
                <w:rFonts w:hint="eastAsia" w:ascii="宋体" w:hAnsi="宋体"/>
                <w:b/>
                <w:color w:val="auto"/>
                <w:sz w:val="24"/>
                <w:szCs w:val="24"/>
              </w:rPr>
              <w:t>者缺一不可</w:t>
            </w:r>
            <w:r>
              <w:rPr>
                <w:rFonts w:hint="eastAsia" w:cs="宋体"/>
                <w:b/>
                <w:bCs/>
                <w:color w:val="auto"/>
                <w:sz w:val="24"/>
                <w:szCs w:val="24"/>
              </w:rPr>
              <w:t>，且原件的扫描件须编制在响应文件中，</w:t>
            </w:r>
            <w:r>
              <w:rPr>
                <w:rFonts w:hint="eastAsia" w:ascii="宋体" w:hAnsi="宋体" w:cs="宋体"/>
                <w:b/>
                <w:bCs/>
                <w:color w:val="auto"/>
                <w:kern w:val="0"/>
                <w:sz w:val="24"/>
                <w:szCs w:val="24"/>
              </w:rPr>
              <w:t>否则不予认可</w:t>
            </w:r>
            <w:r>
              <w:rPr>
                <w:rFonts w:hint="eastAsia" w:ascii="宋体" w:hAnsi="宋体"/>
                <w:b/>
                <w:color w:val="auto"/>
                <w:sz w:val="24"/>
                <w:szCs w:val="24"/>
              </w:rPr>
              <w:t>；②时间以</w:t>
            </w:r>
            <w:r>
              <w:rPr>
                <w:rFonts w:hint="eastAsia" w:ascii="宋体" w:hAnsi="宋体"/>
                <w:b/>
                <w:color w:val="auto"/>
                <w:sz w:val="24"/>
                <w:szCs w:val="24"/>
                <w:lang w:val="en-US" w:eastAsia="zh-CN"/>
              </w:rPr>
              <w:t>合同签订</w:t>
            </w:r>
            <w:r>
              <w:rPr>
                <w:rFonts w:hint="eastAsia" w:ascii="宋体" w:hAnsi="宋体"/>
                <w:b/>
                <w:color w:val="auto"/>
                <w:sz w:val="24"/>
                <w:szCs w:val="24"/>
              </w:rPr>
              <w:t>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497" w:type="dxa"/>
            <w:tcBorders>
              <w:top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质量、安全、环境体系认证</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供应商具有有效的质量管理体系认证证书、环境管理体系认证证书、职业健康安全管理体系认证证书，三证齐全得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分，缺项不得分。</w:t>
            </w:r>
          </w:p>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备注</w:t>
            </w:r>
            <w:r>
              <w:rPr>
                <w:rFonts w:hint="eastAsia" w:ascii="宋体" w:hAnsi="宋体" w:cs="宋体"/>
                <w:b/>
                <w:bCs/>
                <w:color w:val="auto"/>
                <w:sz w:val="24"/>
                <w:szCs w:val="24"/>
              </w:rPr>
              <w:t>:以有效期内的认证证书</w:t>
            </w:r>
            <w:r>
              <w:rPr>
                <w:rFonts w:hint="eastAsia" w:ascii="宋体" w:hAnsi="宋体" w:cs="宋体"/>
                <w:b/>
                <w:bCs/>
                <w:color w:val="auto"/>
                <w:sz w:val="24"/>
                <w:szCs w:val="24"/>
                <w:lang w:eastAsia="zh-CN"/>
              </w:rPr>
              <w:t>原件</w:t>
            </w:r>
            <w:r>
              <w:rPr>
                <w:rFonts w:hint="eastAsia" w:ascii="宋体" w:hAnsi="宋体" w:cs="宋体"/>
                <w:b/>
                <w:bCs/>
                <w:color w:val="auto"/>
                <w:sz w:val="24"/>
                <w:szCs w:val="24"/>
              </w:rPr>
              <w:t>为准且原件的扫描件须编制在响应文件中，否则不予认可。</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bCs/>
          <w:color w:val="auto"/>
          <w:sz w:val="24"/>
        </w:rPr>
      </w:pPr>
      <w:r>
        <w:rPr>
          <w:rFonts w:hint="eastAsia" w:ascii="宋体" w:hAnsi="宋体" w:cs="宋体"/>
          <w:b/>
          <w:bCs/>
          <w:color w:val="auto"/>
          <w:sz w:val="24"/>
        </w:rPr>
        <w:t>注：</w:t>
      </w:r>
      <w:bookmarkStart w:id="13" w:name="_Toc23800"/>
      <w:r>
        <w:rPr>
          <w:rFonts w:hint="eastAsia" w:ascii="宋体" w:hAnsi="宋体" w:cs="宋体"/>
          <w:b/>
          <w:bCs/>
          <w:color w:val="auto"/>
          <w:sz w:val="24"/>
        </w:rPr>
        <w:t>一、</w:t>
      </w:r>
      <w:r>
        <w:rPr>
          <w:rFonts w:hint="eastAsia" w:ascii="宋体" w:hAnsi="宋体"/>
          <w:b/>
          <w:bCs/>
          <w:color w:val="auto"/>
          <w:sz w:val="24"/>
        </w:rPr>
        <w:t>总得分相同者，按最终报价低的名次在前；最终报价也相同的，施工组织设计总得分高者排名优先；</w:t>
      </w:r>
      <w:r>
        <w:rPr>
          <w:rFonts w:hint="eastAsia" w:ascii="宋体" w:hAnsi="宋体"/>
          <w:b/>
          <w:color w:val="auto"/>
          <w:sz w:val="24"/>
        </w:rPr>
        <w:t>施工组织设计总得分也相同的，资信总得分高者排名优先；资信总得分也相同的，采购人按响应文件</w:t>
      </w:r>
      <w:r>
        <w:rPr>
          <w:rFonts w:hint="eastAsia" w:ascii="宋体" w:hAnsi="宋体"/>
          <w:b/>
          <w:color w:val="auto"/>
          <w:sz w:val="24"/>
          <w:lang w:eastAsia="zh-CN"/>
        </w:rPr>
        <w:t>递交</w:t>
      </w:r>
      <w:r>
        <w:rPr>
          <w:rFonts w:hint="eastAsia" w:ascii="宋体" w:hAnsi="宋体"/>
          <w:b/>
          <w:color w:val="auto"/>
          <w:sz w:val="24"/>
        </w:rPr>
        <w:t>顺序排名。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二、评分分值计算保留小数点后两位，小数点后第三位“四舍五入”。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三</w:t>
      </w:r>
      <w:r>
        <w:rPr>
          <w:rFonts w:hint="eastAsia" w:ascii="宋体" w:hAnsi="宋体" w:cs="Times New Roman"/>
          <w:b/>
          <w:bCs/>
          <w:color w:val="auto"/>
          <w:sz w:val="24"/>
        </w:rPr>
        <w:t>、评分办法中涉及资信按照相关要求提供，供应商应保证相关证件的真实性，成交供应商的资信验证结果将予以公示。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四</w:t>
      </w:r>
      <w:r>
        <w:rPr>
          <w:rFonts w:hint="eastAsia" w:ascii="宋体" w:hAnsi="宋体" w:cs="Times New Roman"/>
          <w:b/>
          <w:bCs/>
          <w:color w:val="auto"/>
          <w:sz w:val="24"/>
        </w:rPr>
        <w:t>、提供虚假证明材料的，取消其竞标资格；若如日后查出以虚假证明材料谋取成交的，一经查实，采购人可以随时终止采购合同，并由该单位赔偿采购人的一切损失。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五</w:t>
      </w:r>
      <w:r>
        <w:rPr>
          <w:rFonts w:hint="eastAsia" w:ascii="宋体" w:hAnsi="宋体" w:cs="Times New Roman"/>
          <w:b/>
          <w:bCs/>
          <w:color w:val="auto"/>
          <w:sz w:val="24"/>
        </w:rPr>
        <w:t>、成交通知书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rPr>
        <w:t>成交结果公示结束无异议后，采购人向成交供应商签发《成交通知书》。</w:t>
      </w:r>
    </w:p>
    <w:p>
      <w:pPr>
        <w:widowControl/>
        <w:jc w:val="left"/>
        <w:rPr>
          <w:rFonts w:ascii="宋体" w:hAnsi="宋体"/>
          <w:b/>
          <w:color w:val="auto"/>
          <w:sz w:val="24"/>
        </w:rPr>
      </w:pPr>
      <w:r>
        <w:rPr>
          <w:rFonts w:ascii="宋体" w:hAnsi="宋体"/>
          <w:b/>
          <w:color w:val="auto"/>
          <w:sz w:val="24"/>
        </w:rPr>
        <w:br w:type="page"/>
      </w:r>
    </w:p>
    <w:p>
      <w:pPr>
        <w:pStyle w:val="4"/>
        <w:bidi w:val="0"/>
        <w:jc w:val="center"/>
        <w:outlineLvl w:val="0"/>
        <w:rPr>
          <w:rFonts w:hint="eastAsia" w:ascii="宋体" w:hAnsi="宋体" w:eastAsia="宋体" w:cs="宋体"/>
          <w:color w:val="auto"/>
          <w:sz w:val="24"/>
          <w:szCs w:val="24"/>
          <w:lang w:val="en-US" w:eastAsia="zh-CN"/>
        </w:rPr>
      </w:pPr>
      <w:bookmarkStart w:id="14" w:name="_Toc12774"/>
      <w:r>
        <w:rPr>
          <w:rFonts w:hint="eastAsia" w:ascii="宋体" w:hAnsi="宋体" w:eastAsia="宋体" w:cs="宋体"/>
          <w:color w:val="auto"/>
          <w:sz w:val="24"/>
          <w:szCs w:val="24"/>
          <w:lang w:val="en-US" w:eastAsia="zh-CN"/>
        </w:rPr>
        <w:t>第四部分  采购内容</w:t>
      </w:r>
      <w:bookmarkEnd w:id="13"/>
      <w:r>
        <w:rPr>
          <w:rFonts w:hint="eastAsia" w:ascii="宋体" w:hAnsi="宋体" w:eastAsia="宋体" w:cs="宋体"/>
          <w:color w:val="auto"/>
          <w:sz w:val="24"/>
          <w:szCs w:val="24"/>
          <w:lang w:val="en-US" w:eastAsia="zh-CN"/>
        </w:rPr>
        <w:t>及要求</w:t>
      </w:r>
      <w:bookmarkEnd w:id="14"/>
    </w:p>
    <w:p>
      <w:pPr>
        <w:spacing w:line="540" w:lineRule="exact"/>
        <w:rPr>
          <w:rFonts w:ascii="宋体" w:hAnsi="宋体"/>
          <w:color w:val="auto"/>
          <w:sz w:val="24"/>
        </w:rPr>
      </w:pPr>
      <w:r>
        <w:rPr>
          <w:rFonts w:hint="eastAsia" w:ascii="宋体" w:hAnsi="宋体"/>
          <w:b/>
          <w:bCs/>
          <w:color w:val="auto"/>
          <w:sz w:val="24"/>
        </w:rPr>
        <w:t>一、项目内容及要求</w:t>
      </w:r>
    </w:p>
    <w:p>
      <w:pPr>
        <w:spacing w:line="540" w:lineRule="exact"/>
        <w:ind w:firstLine="480" w:firstLineChars="200"/>
        <w:rPr>
          <w:rFonts w:ascii="宋体" w:hAnsi="宋体" w:cs="黑体"/>
          <w:bCs/>
          <w:color w:val="auto"/>
          <w:kern w:val="0"/>
          <w:sz w:val="24"/>
          <w:highlight w:val="none"/>
        </w:rPr>
      </w:pPr>
      <w:r>
        <w:rPr>
          <w:rFonts w:hint="eastAsia" w:ascii="宋体" w:hAnsi="宋体"/>
          <w:color w:val="auto"/>
          <w:sz w:val="24"/>
        </w:rPr>
        <w:t>（一）采购内容：</w:t>
      </w:r>
      <w:r>
        <w:rPr>
          <w:rFonts w:ascii="宋体" w:hAnsi="宋体" w:cs="黑体"/>
          <w:bCs/>
          <w:color w:val="auto"/>
          <w:kern w:val="0"/>
          <w:sz w:val="24"/>
        </w:rPr>
        <w:t xml:space="preserve"> </w:t>
      </w:r>
      <w:bookmarkStart w:id="15" w:name="_Hlk62486298"/>
    </w:p>
    <w:bookmarkEnd w:id="15"/>
    <w:p>
      <w:pPr>
        <w:spacing w:line="540" w:lineRule="exact"/>
        <w:ind w:firstLine="480" w:firstLineChars="200"/>
        <w:rPr>
          <w:rFonts w:hint="default" w:ascii="宋体" w:hAnsi="宋体" w:cs="宋体"/>
          <w:color w:val="auto"/>
          <w:sz w:val="24"/>
          <w:szCs w:val="24"/>
          <w:lang w:val="en-US" w:eastAsia="zh-CN"/>
        </w:rPr>
      </w:pPr>
      <w:r>
        <w:rPr>
          <w:rFonts w:hint="eastAsia"/>
          <w:color w:val="auto"/>
          <w:sz w:val="24"/>
          <w:szCs w:val="24"/>
          <w:lang w:eastAsia="zh-CN"/>
        </w:rPr>
        <w:t>本工程为邹城市中心店镇乡村振兴路域(福美来内部路)环境提升工程，</w:t>
      </w:r>
      <w:r>
        <w:rPr>
          <w:rFonts w:hint="eastAsia" w:ascii="宋体" w:hAnsi="宋体" w:cs="宋体"/>
          <w:color w:val="auto"/>
          <w:sz w:val="24"/>
          <w:szCs w:val="24"/>
          <w:lang w:eastAsia="zh-CN"/>
        </w:rPr>
        <w:t>工程内容包括：破除原有水泥路面，新建5cm厚中粒式沥青混凝土路面，</w:t>
      </w:r>
      <w:r>
        <w:rPr>
          <w:rFonts w:hint="eastAsia" w:ascii="宋体" w:hAnsi="宋体" w:cs="宋体"/>
          <w:color w:val="auto"/>
          <w:sz w:val="24"/>
          <w:szCs w:val="24"/>
          <w:lang w:val="en-US" w:eastAsia="zh-CN"/>
        </w:rPr>
        <w:t>新建</w:t>
      </w:r>
      <w:r>
        <w:rPr>
          <w:rFonts w:hint="eastAsia" w:ascii="宋体" w:hAnsi="宋体" w:cs="宋体"/>
          <w:color w:val="auto"/>
          <w:sz w:val="24"/>
          <w:szCs w:val="24"/>
          <w:lang w:eastAsia="zh-CN"/>
        </w:rPr>
        <w:t>硬化生产路口，现有机井砌垒加固，井外缘加装防护栏杆，周围道板砖铺装，D</w:t>
      </w:r>
      <w:r>
        <w:rPr>
          <w:rFonts w:hint="eastAsia" w:ascii="宋体" w:hAnsi="宋体" w:cs="宋体"/>
          <w:color w:val="auto"/>
          <w:sz w:val="24"/>
          <w:szCs w:val="24"/>
          <w:lang w:val="en-US" w:eastAsia="zh-CN"/>
        </w:rPr>
        <w:t>N</w:t>
      </w:r>
      <w:r>
        <w:rPr>
          <w:rFonts w:hint="eastAsia" w:ascii="宋体" w:hAnsi="宋体" w:cs="宋体"/>
          <w:color w:val="auto"/>
          <w:sz w:val="24"/>
          <w:szCs w:val="24"/>
          <w:lang w:eastAsia="zh-CN"/>
        </w:rPr>
        <w:t>500生产边沟涵、标线等；砌筑景观墙，长17.6米，高度3米，台面镶嵌鹅</w:t>
      </w:r>
      <w:r>
        <w:rPr>
          <w:rFonts w:hint="eastAsia" w:ascii="宋体" w:hAnsi="宋体" w:cs="宋体"/>
          <w:color w:val="auto"/>
          <w:sz w:val="24"/>
          <w:szCs w:val="24"/>
          <w:lang w:val="en-US" w:eastAsia="zh-CN"/>
        </w:rPr>
        <w:t>卵</w:t>
      </w:r>
      <w:r>
        <w:rPr>
          <w:rFonts w:hint="eastAsia" w:ascii="宋体" w:hAnsi="宋体" w:cs="宋体"/>
          <w:color w:val="auto"/>
          <w:sz w:val="24"/>
          <w:szCs w:val="24"/>
          <w:lang w:eastAsia="zh-CN"/>
        </w:rPr>
        <w:t>石，墙面刷乳胶漆喷彩绘等工程。</w:t>
      </w:r>
    </w:p>
    <w:p>
      <w:pPr>
        <w:spacing w:line="540" w:lineRule="exact"/>
        <w:ind w:firstLine="480" w:firstLineChars="200"/>
        <w:rPr>
          <w:rFonts w:ascii="宋体" w:hAnsi="宋体"/>
          <w:bCs/>
          <w:color w:val="auto"/>
          <w:sz w:val="24"/>
          <w:highlight w:val="none"/>
        </w:rPr>
      </w:pPr>
      <w:r>
        <w:rPr>
          <w:rFonts w:hint="eastAsia" w:ascii="宋体" w:hAnsi="宋体" w:cs="黑体"/>
          <w:bCs/>
          <w:color w:val="auto"/>
          <w:kern w:val="0"/>
          <w:sz w:val="24"/>
          <w:highlight w:val="none"/>
        </w:rPr>
        <w:t>（二）</w:t>
      </w:r>
      <w:r>
        <w:rPr>
          <w:rFonts w:hint="eastAsia" w:ascii="宋体" w:hAnsi="宋体"/>
          <w:color w:val="auto"/>
          <w:sz w:val="24"/>
          <w:highlight w:val="none"/>
        </w:rPr>
        <w:t>建设地点：</w:t>
      </w:r>
      <w:r>
        <w:rPr>
          <w:rFonts w:hint="eastAsia" w:ascii="宋体" w:hAnsi="宋体" w:cs="黑体"/>
          <w:bCs/>
          <w:color w:val="auto"/>
          <w:kern w:val="0"/>
          <w:sz w:val="24"/>
          <w:highlight w:val="none"/>
          <w:lang w:eastAsia="zh-CN"/>
        </w:rPr>
        <w:t>邹城市中心店镇</w:t>
      </w:r>
      <w:r>
        <w:rPr>
          <w:rFonts w:hint="eastAsia" w:ascii="宋体" w:hAnsi="宋体" w:cs="黑体"/>
          <w:bCs/>
          <w:color w:val="auto"/>
          <w:kern w:val="0"/>
          <w:sz w:val="24"/>
          <w:highlight w:val="none"/>
        </w:rPr>
        <w:t>。</w:t>
      </w:r>
    </w:p>
    <w:p>
      <w:pPr>
        <w:shd w:val="clear" w:color="auto" w:fill="FFFFFF"/>
        <w:tabs>
          <w:tab w:val="left" w:pos="840"/>
        </w:tabs>
        <w:spacing w:line="540" w:lineRule="exact"/>
        <w:ind w:firstLine="470" w:firstLineChars="196"/>
        <w:rPr>
          <w:rFonts w:ascii="宋体" w:hAnsi="宋体" w:cs="黑体"/>
          <w:bCs/>
          <w:color w:val="auto"/>
          <w:kern w:val="0"/>
          <w:sz w:val="24"/>
          <w:highlight w:val="none"/>
          <w:u w:val="single"/>
        </w:rPr>
      </w:pPr>
      <w:r>
        <w:rPr>
          <w:rFonts w:hint="eastAsia" w:ascii="宋体" w:hAnsi="宋体"/>
          <w:color w:val="auto"/>
          <w:sz w:val="24"/>
          <w:highlight w:val="none"/>
        </w:rPr>
        <w:t>（三）建设</w:t>
      </w:r>
      <w:r>
        <w:rPr>
          <w:rFonts w:hint="eastAsia" w:ascii="宋体" w:hAnsi="宋体"/>
          <w:bCs/>
          <w:color w:val="auto"/>
          <w:sz w:val="24"/>
          <w:highlight w:val="none"/>
        </w:rPr>
        <w:t>规模：</w:t>
      </w:r>
      <w:r>
        <w:rPr>
          <w:rFonts w:hint="eastAsia" w:ascii="宋体" w:hAnsi="宋体"/>
          <w:color w:val="auto"/>
          <w:sz w:val="24"/>
          <w:highlight w:val="none"/>
        </w:rPr>
        <w:t>本项目采购预算</w:t>
      </w:r>
      <w:r>
        <w:rPr>
          <w:rFonts w:hint="eastAsia" w:ascii="宋体" w:hAnsi="宋体"/>
          <w:color w:val="auto"/>
          <w:sz w:val="24"/>
          <w:highlight w:val="none"/>
          <w:lang w:val="en-US" w:eastAsia="zh-CN"/>
        </w:rPr>
        <w:t>599290.94</w:t>
      </w:r>
      <w:r>
        <w:rPr>
          <w:rFonts w:hint="eastAsia" w:ascii="宋体" w:hAnsi="宋体"/>
          <w:color w:val="auto"/>
          <w:sz w:val="24"/>
          <w:highlight w:val="none"/>
        </w:rPr>
        <w:t>元。</w:t>
      </w:r>
    </w:p>
    <w:p>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（四）计划工期：</w:t>
      </w:r>
      <w:bookmarkStart w:id="16" w:name="_Hlk62486200"/>
      <w:r>
        <w:rPr>
          <w:rFonts w:hint="eastAsia" w:ascii="宋体" w:hAnsi="宋体" w:cs="宋体"/>
          <w:color w:val="auto"/>
          <w:sz w:val="24"/>
          <w:highlight w:val="none"/>
          <w:lang w:val="en-US" w:eastAsia="zh-CN"/>
        </w:rPr>
        <w:t>60日历天</w:t>
      </w:r>
      <w:r>
        <w:rPr>
          <w:rFonts w:hint="eastAsia" w:ascii="宋体" w:hAnsi="宋体" w:cs="宋体"/>
          <w:color w:val="auto"/>
          <w:sz w:val="24"/>
          <w:highlight w:val="none"/>
        </w:rPr>
        <w:t>。</w:t>
      </w:r>
      <w:bookmarkEnd w:id="16"/>
    </w:p>
    <w:p>
      <w:pPr>
        <w:spacing w:line="540" w:lineRule="exact"/>
        <w:ind w:firstLine="480" w:firstLineChars="200"/>
        <w:rPr>
          <w:rFonts w:ascii="宋体" w:hAnsi="宋体" w:cs="宋体"/>
          <w:color w:val="auto"/>
          <w:sz w:val="24"/>
          <w:highlight w:val="none"/>
        </w:rPr>
      </w:pPr>
      <w:r>
        <w:rPr>
          <w:rFonts w:hint="eastAsia" w:ascii="宋体" w:hAnsi="宋体"/>
          <w:color w:val="auto"/>
          <w:sz w:val="24"/>
          <w:highlight w:val="none"/>
        </w:rPr>
        <w:t>（五）质量要求：</w:t>
      </w:r>
      <w:r>
        <w:rPr>
          <w:rFonts w:hint="eastAsia" w:ascii="宋体" w:hAnsi="宋体"/>
          <w:bCs/>
          <w:color w:val="auto"/>
          <w:sz w:val="24"/>
          <w:highlight w:val="none"/>
        </w:rPr>
        <w:t>合格。</w:t>
      </w:r>
    </w:p>
    <w:p>
      <w:pPr>
        <w:spacing w:line="540" w:lineRule="exact"/>
        <w:ind w:firstLine="480" w:firstLineChars="200"/>
        <w:rPr>
          <w:rFonts w:ascii="宋体" w:hAnsi="宋体"/>
          <w:bCs/>
          <w:color w:val="auto"/>
          <w:sz w:val="24"/>
          <w:highlight w:val="none"/>
        </w:rPr>
      </w:pPr>
      <w:r>
        <w:rPr>
          <w:rFonts w:hint="eastAsia" w:ascii="宋体" w:hAnsi="宋体"/>
          <w:bCs/>
          <w:color w:val="auto"/>
          <w:sz w:val="24"/>
          <w:highlight w:val="none"/>
        </w:rPr>
        <w:t>（六）</w:t>
      </w:r>
      <w:r>
        <w:rPr>
          <w:rFonts w:hint="eastAsia" w:ascii="宋体" w:hAnsi="宋体" w:cs="宋体"/>
          <w:b w:val="0"/>
          <w:bCs/>
          <w:color w:val="auto"/>
          <w:sz w:val="24"/>
          <w:szCs w:val="24"/>
          <w:highlight w:val="none"/>
          <w:lang w:eastAsia="zh-CN"/>
        </w:rPr>
        <w:t>缺陷责任期</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两</w:t>
      </w:r>
      <w:r>
        <w:rPr>
          <w:rFonts w:hint="eastAsia" w:ascii="宋体" w:hAnsi="宋体" w:eastAsia="宋体" w:cs="宋体"/>
          <w:b w:val="0"/>
          <w:bCs/>
          <w:color w:val="auto"/>
          <w:sz w:val="24"/>
          <w:szCs w:val="24"/>
          <w:highlight w:val="none"/>
        </w:rPr>
        <w:t>年。</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二、工程量清单及采购预算（控制价）（</w:t>
      </w:r>
      <w:r>
        <w:rPr>
          <w:rFonts w:hint="eastAsia" w:ascii="宋体" w:hAnsi="宋体" w:cs="宋体"/>
          <w:b/>
          <w:color w:val="auto"/>
          <w:sz w:val="24"/>
          <w:szCs w:val="24"/>
          <w:lang w:eastAsia="zh-CN"/>
        </w:rPr>
        <w:t>另附</w:t>
      </w:r>
      <w:r>
        <w:rPr>
          <w:rFonts w:hint="eastAsia" w:ascii="宋体" w:hAnsi="宋体" w:eastAsia="宋体" w:cs="宋体"/>
          <w:b/>
          <w:color w:val="auto"/>
          <w:sz w:val="24"/>
          <w:szCs w:val="24"/>
        </w:rPr>
        <w:t>）</w:t>
      </w:r>
    </w:p>
    <w:p>
      <w:pPr>
        <w:widowControl/>
        <w:jc w:val="center"/>
        <w:outlineLvl w:val="0"/>
        <w:rPr>
          <w:rFonts w:hint="eastAsia" w:ascii="宋体" w:hAnsi="宋体" w:eastAsia="宋体" w:cs="宋体"/>
          <w:b/>
          <w:bCs/>
          <w:color w:val="auto"/>
          <w:kern w:val="2"/>
          <w:sz w:val="24"/>
          <w:szCs w:val="24"/>
          <w:lang w:val="en-US" w:eastAsia="zh-CN" w:bidi="ar-SA"/>
        </w:rPr>
      </w:pPr>
      <w:r>
        <w:rPr>
          <w:rFonts w:hint="eastAsia" w:ascii="宋体" w:hAnsi="宋体"/>
          <w:color w:val="auto"/>
          <w:sz w:val="32"/>
          <w:szCs w:val="32"/>
        </w:rPr>
        <w:br w:type="page"/>
      </w:r>
      <w:bookmarkStart w:id="17" w:name="_Toc16480"/>
      <w:bookmarkStart w:id="18" w:name="_Toc20047"/>
      <w:r>
        <w:rPr>
          <w:rFonts w:hint="eastAsia" w:ascii="宋体" w:hAnsi="宋体" w:eastAsia="宋体" w:cs="宋体"/>
          <w:b/>
          <w:bCs/>
          <w:color w:val="auto"/>
          <w:kern w:val="2"/>
          <w:sz w:val="24"/>
          <w:szCs w:val="24"/>
          <w:lang w:val="en-US" w:eastAsia="zh-CN" w:bidi="ar-SA"/>
        </w:rPr>
        <w:t>第五部分  合同授予</w:t>
      </w:r>
      <w:bookmarkEnd w:id="17"/>
      <w:bookmarkEnd w:id="18"/>
    </w:p>
    <w:p>
      <w:pPr>
        <w:widowControl/>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一、签订合同：</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采购人和成交供应商按成交通知书约定签订合同，合同签订的内容不能超出磋商文件、成交供应商的响应文件、</w:t>
      </w:r>
      <w:r>
        <w:rPr>
          <w:rFonts w:hint="eastAsia" w:ascii="宋体" w:hAnsi="宋体"/>
          <w:bCs/>
          <w:color w:val="auto"/>
          <w:sz w:val="24"/>
        </w:rPr>
        <w:t>磋商</w:t>
      </w:r>
      <w:r>
        <w:rPr>
          <w:rFonts w:hint="eastAsia" w:ascii="宋体" w:hAnsi="宋体" w:cs="宋体"/>
          <w:color w:val="auto"/>
          <w:kern w:val="0"/>
          <w:sz w:val="24"/>
        </w:rPr>
        <w:t>过程中的补充承诺、最终书面报价等的实质性内容。因供应商原因不能与采购人签订合同的，视为供应商放弃成交资格。</w:t>
      </w:r>
    </w:p>
    <w:p>
      <w:pPr>
        <w:pStyle w:val="4"/>
        <w:keepNext w:val="0"/>
        <w:keepLines w:val="0"/>
        <w:spacing w:before="0" w:after="0" w:line="540" w:lineRule="exact"/>
        <w:jc w:val="center"/>
        <w:outlineLvl w:val="9"/>
        <w:rPr>
          <w:rFonts w:ascii="宋体" w:hAnsi="宋体" w:eastAsia="宋体" w:cs="宋体"/>
          <w:color w:val="auto"/>
          <w:sz w:val="24"/>
          <w:szCs w:val="24"/>
        </w:rPr>
      </w:pPr>
      <w:bookmarkStart w:id="19" w:name="_Toc5213"/>
      <w:bookmarkStart w:id="20" w:name="_Toc457668115"/>
      <w:bookmarkStart w:id="21" w:name="_Toc17168"/>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both"/>
        <w:outlineLvl w:val="9"/>
        <w:rPr>
          <w:rFonts w:hint="eastAsia" w:ascii="宋体" w:hAnsi="宋体" w:eastAsia="宋体" w:cs="宋体"/>
          <w:color w:val="auto"/>
          <w:sz w:val="24"/>
          <w:szCs w:val="24"/>
          <w:lang w:eastAsia="zh-CN"/>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bookmarkEnd w:id="19"/>
    <w:bookmarkEnd w:id="20"/>
    <w:bookmarkEnd w:id="21"/>
    <w:p>
      <w:pPr>
        <w:rPr>
          <w:rFonts w:hint="eastAsia" w:ascii="宋体" w:hAnsi="宋体" w:eastAsia="宋体" w:cs="宋体"/>
          <w:color w:val="auto"/>
          <w:sz w:val="24"/>
          <w:szCs w:val="24"/>
        </w:rPr>
      </w:pPr>
      <w:bookmarkStart w:id="22" w:name="_Toc4535"/>
      <w:r>
        <w:rPr>
          <w:rFonts w:hint="eastAsia" w:ascii="宋体" w:hAnsi="宋体" w:eastAsia="宋体" w:cs="宋体"/>
          <w:color w:val="auto"/>
          <w:sz w:val="24"/>
          <w:szCs w:val="24"/>
        </w:rPr>
        <w:br w:type="page"/>
      </w:r>
    </w:p>
    <w:p>
      <w:pPr>
        <w:spacing w:line="520" w:lineRule="exact"/>
        <w:ind w:firstLine="480" w:firstLineChars="200"/>
        <w:jc w:val="center"/>
        <w:outlineLvl w:val="9"/>
        <w:rPr>
          <w:rFonts w:hint="eastAsia" w:ascii="宋体" w:hAnsi="宋体" w:eastAsia="宋体" w:cs="宋体"/>
          <w:b w:val="0"/>
          <w:color w:val="auto"/>
          <w:sz w:val="24"/>
          <w:szCs w:val="24"/>
        </w:rPr>
      </w:pPr>
      <w:r>
        <w:rPr>
          <w:rFonts w:hint="eastAsia" w:ascii="宋体" w:hAnsi="宋体" w:eastAsia="宋体" w:cs="宋体"/>
          <w:color w:val="auto"/>
          <w:sz w:val="24"/>
          <w:szCs w:val="24"/>
        </w:rPr>
        <w:t>第一部分 合同协议书</w:t>
      </w:r>
      <w:bookmarkEnd w:id="22"/>
    </w:p>
    <w:p>
      <w:pPr>
        <w:spacing w:line="520" w:lineRule="exact"/>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发包人（全称）：</w:t>
      </w:r>
      <w:r>
        <w:rPr>
          <w:rFonts w:hint="eastAsia" w:ascii="宋体" w:hAnsi="宋体" w:eastAsia="宋体" w:cs="宋体"/>
          <w:b/>
          <w:color w:val="auto"/>
          <w:sz w:val="24"/>
          <w:szCs w:val="24"/>
          <w:u w:val="single"/>
          <w:lang w:val="en-US" w:eastAsia="zh-CN"/>
        </w:rPr>
        <w:t xml:space="preserve">   </w:t>
      </w:r>
      <w:r>
        <w:rPr>
          <w:rFonts w:hint="eastAsia" w:ascii="宋体" w:hAnsi="宋体" w:cs="宋体"/>
          <w:b/>
          <w:color w:val="auto"/>
          <w:sz w:val="24"/>
          <w:szCs w:val="24"/>
          <w:u w:val="single"/>
          <w:lang w:eastAsia="zh-CN"/>
        </w:rPr>
        <w:t>邹城市中心店镇人民政府</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p>
    <w:p>
      <w:pPr>
        <w:spacing w:line="520" w:lineRule="exact"/>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pPr>
        <w:spacing w:line="52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》、《中华人民共和国建筑法》及有关法律规定，遵循平等、自愿、公平和诚实信用的原则，双方就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及有关事项协商一致，共同达成如下协议：</w:t>
      </w:r>
    </w:p>
    <w:p>
      <w:pPr>
        <w:spacing w:line="520" w:lineRule="exact"/>
        <w:rPr>
          <w:rFonts w:hint="eastAsia" w:ascii="宋体" w:hAnsi="宋体" w:eastAsia="宋体" w:cs="宋体"/>
          <w:color w:val="auto"/>
          <w:sz w:val="24"/>
          <w:szCs w:val="24"/>
        </w:rPr>
      </w:pPr>
      <w:bookmarkStart w:id="23" w:name="_Toc351203481"/>
      <w:r>
        <w:rPr>
          <w:rFonts w:hint="eastAsia" w:ascii="宋体" w:hAnsi="宋体" w:eastAsia="宋体" w:cs="宋体"/>
          <w:b/>
          <w:color w:val="auto"/>
          <w:sz w:val="24"/>
          <w:szCs w:val="24"/>
        </w:rPr>
        <w:t>一、工程概况</w:t>
      </w:r>
      <w:bookmarkEnd w:id="23"/>
    </w:p>
    <w:p>
      <w:pPr>
        <w:spacing w:line="5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bCs/>
          <w:color w:val="auto"/>
          <w:sz w:val="24"/>
          <w:szCs w:val="24"/>
        </w:rPr>
        <w:t>1.工程名称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bCs/>
          <w:color w:val="auto"/>
          <w:kern w:val="0"/>
          <w:sz w:val="24"/>
          <w:szCs w:val="24"/>
          <w:u w:val="single"/>
          <w:lang w:val="en-US"/>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rPr>
        <w:t>工程内容：</w:t>
      </w:r>
      <w:r>
        <w:rPr>
          <w:rFonts w:hint="eastAsia" w:ascii="宋体" w:hAnsi="宋体" w:eastAsia="宋体" w:cs="宋体"/>
          <w:color w:val="auto"/>
          <w:kern w:val="0"/>
          <w:sz w:val="24"/>
          <w:szCs w:val="24"/>
          <w:u w:val="single"/>
          <w:lang w:val="en-US" w:eastAsia="zh-CN"/>
        </w:rPr>
        <w:t xml:space="preserve">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kern w:val="0"/>
          <w:sz w:val="24"/>
          <w:szCs w:val="24"/>
        </w:rPr>
        <w:t>6.</w:t>
      </w:r>
      <w:r>
        <w:rPr>
          <w:rFonts w:hint="eastAsia" w:ascii="宋体" w:hAnsi="宋体" w:eastAsia="宋体" w:cs="宋体"/>
          <w:bCs/>
          <w:color w:val="auto"/>
          <w:sz w:val="24"/>
          <w:szCs w:val="24"/>
        </w:rPr>
        <w:t>工程承包范围：</w:t>
      </w:r>
    </w:p>
    <w:p>
      <w:pPr>
        <w:keepNext/>
        <w:keepLines/>
        <w:spacing w:line="520" w:lineRule="exact"/>
        <w:ind w:firstLine="240" w:firstLineChars="100"/>
        <w:outlineLvl w:val="9"/>
        <w:rPr>
          <w:rFonts w:hint="eastAsia" w:ascii="宋体" w:hAnsi="宋体" w:eastAsia="宋体" w:cs="宋体"/>
          <w:b/>
          <w:color w:val="auto"/>
          <w:kern w:val="0"/>
          <w:sz w:val="24"/>
          <w:szCs w:val="24"/>
        </w:rPr>
      </w:pPr>
      <w:bookmarkStart w:id="24" w:name="_Toc351203482"/>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w:t>
      </w:r>
    </w:p>
    <w:p>
      <w:pPr>
        <w:spacing w:line="5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二、合同工期</w:t>
      </w:r>
      <w:bookmarkEnd w:id="24"/>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实际开工日期以开工报告确定的日期为准。</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工期总日历天数：从实际开工之日起算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工期总日历天数与根据前述计划开工日期计算的工期天数不一致的，以工期总日历天数为准。</w:t>
      </w:r>
    </w:p>
    <w:p>
      <w:pPr>
        <w:spacing w:line="520" w:lineRule="exact"/>
        <w:rPr>
          <w:rFonts w:hint="eastAsia" w:ascii="宋体" w:hAnsi="宋体" w:eastAsia="宋体" w:cs="宋体"/>
          <w:b/>
          <w:color w:val="auto"/>
          <w:sz w:val="24"/>
          <w:szCs w:val="24"/>
        </w:rPr>
      </w:pPr>
      <w:bookmarkStart w:id="25" w:name="_Toc351203483"/>
      <w:r>
        <w:rPr>
          <w:rFonts w:hint="eastAsia" w:ascii="宋体" w:hAnsi="宋体" w:eastAsia="宋体" w:cs="宋体"/>
          <w:b/>
          <w:color w:val="auto"/>
          <w:sz w:val="24"/>
          <w:szCs w:val="24"/>
        </w:rPr>
        <w:t>三、质量标准</w:t>
      </w:r>
      <w:bookmarkEnd w:id="25"/>
    </w:p>
    <w:p>
      <w:pPr>
        <w:spacing w:line="5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工程质量达到国家验收标准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的标准。</w:t>
      </w:r>
      <w:bookmarkStart w:id="26" w:name="_Toc351203484"/>
    </w:p>
    <w:p>
      <w:pPr>
        <w:spacing w:line="5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四、签约合同价与合同价格形式</w:t>
      </w:r>
      <w:bookmarkEnd w:id="26"/>
      <w:r>
        <w:rPr>
          <w:rFonts w:hint="eastAsia" w:ascii="宋体" w:hAnsi="宋体" w:eastAsia="宋体" w:cs="宋体"/>
          <w:b/>
          <w:color w:val="auto"/>
          <w:sz w:val="24"/>
          <w:szCs w:val="24"/>
        </w:rPr>
        <w:tab/>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1.签约合同价为：人民币（大写）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520" w:lineRule="exact"/>
        <w:rPr>
          <w:rFonts w:hint="eastAsia" w:ascii="宋体" w:hAnsi="宋体" w:eastAsia="宋体" w:cs="宋体"/>
          <w:b/>
          <w:color w:val="auto"/>
          <w:sz w:val="24"/>
          <w:szCs w:val="24"/>
        </w:rPr>
      </w:pPr>
      <w:bookmarkStart w:id="27" w:name="_Toc351203485"/>
      <w:r>
        <w:rPr>
          <w:rFonts w:hint="eastAsia" w:ascii="宋体" w:hAnsi="宋体" w:eastAsia="宋体" w:cs="宋体"/>
          <w:b/>
          <w:color w:val="auto"/>
          <w:sz w:val="24"/>
          <w:szCs w:val="24"/>
        </w:rPr>
        <w:t>五、</w:t>
      </w:r>
      <w:bookmarkEnd w:id="27"/>
      <w:r>
        <w:rPr>
          <w:rFonts w:hint="eastAsia" w:ascii="宋体" w:hAnsi="宋体" w:eastAsia="宋体" w:cs="宋体"/>
          <w:b/>
          <w:color w:val="auto"/>
          <w:sz w:val="24"/>
          <w:szCs w:val="24"/>
        </w:rPr>
        <w:t>项目经理</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p>
    <w:p>
      <w:pPr>
        <w:spacing w:line="360" w:lineRule="exact"/>
        <w:ind w:firstLine="480" w:firstLineChars="200"/>
        <w:rPr>
          <w:rFonts w:hint="eastAsia" w:ascii="宋体" w:hAnsi="宋体" w:eastAsia="宋体" w:cs="宋体"/>
          <w:color w:val="auto"/>
          <w:sz w:val="24"/>
          <w:szCs w:val="24"/>
        </w:rPr>
      </w:pPr>
      <w:bookmarkStart w:id="28" w:name="_Toc351203486"/>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exact"/>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p>
    <w:p>
      <w:pPr>
        <w:spacing w:line="5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六、合同文件构成</w:t>
      </w:r>
      <w:bookmarkEnd w:id="28"/>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本协议书与下列文件一起构成合同文件：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（1）成交通知书；</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 xml:space="preserve">响应函； </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（6）已标价工程量清单</w:t>
      </w:r>
      <w:r>
        <w:rPr>
          <w:rFonts w:hint="eastAsia" w:ascii="宋体" w:hAnsi="宋体" w:eastAsia="宋体" w:cs="宋体"/>
          <w:color w:val="auto"/>
          <w:sz w:val="24"/>
          <w:szCs w:val="24"/>
          <w:u w:val="single"/>
        </w:rPr>
        <w:t>（按最终承诺报价与初次报价的调整比例同比例调整）</w:t>
      </w:r>
      <w:r>
        <w:rPr>
          <w:rFonts w:hint="eastAsia" w:ascii="宋体" w:hAnsi="宋体" w:eastAsia="宋体" w:cs="宋体"/>
          <w:color w:val="auto"/>
          <w:sz w:val="24"/>
          <w:szCs w:val="24"/>
        </w:rPr>
        <w:t>；</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（7）其他合同文件。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pPr>
        <w:spacing w:line="520" w:lineRule="exact"/>
        <w:rPr>
          <w:rFonts w:hint="eastAsia" w:ascii="宋体" w:hAnsi="宋体" w:eastAsia="宋体" w:cs="宋体"/>
          <w:b/>
          <w:color w:val="auto"/>
          <w:sz w:val="24"/>
          <w:szCs w:val="24"/>
        </w:rPr>
      </w:pPr>
      <w:bookmarkStart w:id="29" w:name="_Toc351203487"/>
      <w:r>
        <w:rPr>
          <w:rFonts w:hint="eastAsia" w:ascii="宋体" w:hAnsi="宋体" w:eastAsia="宋体" w:cs="宋体"/>
          <w:b/>
          <w:color w:val="auto"/>
          <w:sz w:val="24"/>
          <w:szCs w:val="24"/>
        </w:rPr>
        <w:t>七、承诺</w:t>
      </w:r>
      <w:bookmarkEnd w:id="29"/>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1.发包人承诺按照法律规定履行项目审批手续、筹集工程建设资金并按照合同约定的期限和方式支付合同价款。</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2.承包人承诺按照法律规定及合同约定组织完成工程施工，确保工程质量和安全，未经发包方同意不得转包及分包，并在缺陷责任期及保修期内承担相应的工程维修责任。</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pPr>
        <w:spacing w:line="520" w:lineRule="exact"/>
        <w:rPr>
          <w:rFonts w:hint="eastAsia" w:ascii="宋体" w:hAnsi="宋体" w:eastAsia="宋体" w:cs="宋体"/>
          <w:b/>
          <w:color w:val="auto"/>
          <w:sz w:val="24"/>
          <w:szCs w:val="24"/>
        </w:rPr>
      </w:pPr>
      <w:bookmarkStart w:id="30" w:name="_Toc351203488"/>
      <w:r>
        <w:rPr>
          <w:rFonts w:hint="eastAsia" w:ascii="宋体" w:hAnsi="宋体" w:eastAsia="宋体" w:cs="宋体"/>
          <w:b/>
          <w:color w:val="auto"/>
          <w:sz w:val="24"/>
          <w:szCs w:val="24"/>
        </w:rPr>
        <w:t>八、词语含义</w:t>
      </w:r>
      <w:bookmarkEnd w:id="30"/>
    </w:p>
    <w:p>
      <w:pPr>
        <w:spacing w:line="520" w:lineRule="exact"/>
        <w:ind w:firstLine="480" w:firstLineChars="200"/>
        <w:rPr>
          <w:rFonts w:hint="eastAsia" w:ascii="宋体" w:hAnsi="宋体" w:eastAsia="宋体" w:cs="宋体"/>
          <w:b/>
          <w:color w:val="auto"/>
          <w:sz w:val="24"/>
          <w:szCs w:val="24"/>
        </w:rPr>
      </w:pPr>
      <w:r>
        <w:rPr>
          <w:rFonts w:hint="eastAsia" w:ascii="宋体" w:hAnsi="宋体" w:eastAsia="宋体" w:cs="宋体"/>
          <w:bCs/>
          <w:color w:val="auto"/>
          <w:sz w:val="24"/>
          <w:szCs w:val="24"/>
        </w:rPr>
        <w:t>本协议书中词语含义与第二部分通用合同条款中赋予的含义相同。</w:t>
      </w:r>
      <w:bookmarkStart w:id="31" w:name="_Toc351203489"/>
    </w:p>
    <w:p>
      <w:pPr>
        <w:spacing w:line="5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九、签订时间</w:t>
      </w:r>
      <w:bookmarkEnd w:id="31"/>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日签订。 </w:t>
      </w:r>
      <w:bookmarkStart w:id="32" w:name="_Toc351203490"/>
    </w:p>
    <w:p>
      <w:pPr>
        <w:spacing w:line="5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十、签订地点</w:t>
      </w:r>
      <w:bookmarkEnd w:id="32"/>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签订。</w:t>
      </w:r>
    </w:p>
    <w:p>
      <w:pPr>
        <w:spacing w:line="520" w:lineRule="exact"/>
        <w:rPr>
          <w:rFonts w:hint="eastAsia" w:ascii="宋体" w:hAnsi="宋体" w:eastAsia="宋体" w:cs="宋体"/>
          <w:b/>
          <w:color w:val="auto"/>
          <w:sz w:val="24"/>
          <w:szCs w:val="24"/>
        </w:rPr>
      </w:pPr>
      <w:bookmarkStart w:id="33" w:name="_Toc351203491"/>
      <w:r>
        <w:rPr>
          <w:rFonts w:hint="eastAsia" w:ascii="宋体" w:hAnsi="宋体" w:eastAsia="宋体" w:cs="宋体"/>
          <w:b/>
          <w:color w:val="auto"/>
          <w:sz w:val="24"/>
          <w:szCs w:val="24"/>
        </w:rPr>
        <w:t>十一、补充协议</w:t>
      </w:r>
      <w:bookmarkEnd w:id="33"/>
    </w:p>
    <w:p>
      <w:pPr>
        <w:spacing w:line="520" w:lineRule="exact"/>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合同未尽事宜，合同当事人另行签订补充协议，补充协议是合同的组成部分。</w:t>
      </w:r>
    </w:p>
    <w:p>
      <w:pPr>
        <w:spacing w:line="520" w:lineRule="exact"/>
        <w:rPr>
          <w:rFonts w:hint="eastAsia" w:ascii="宋体" w:hAnsi="宋体" w:eastAsia="宋体" w:cs="宋体"/>
          <w:b/>
          <w:color w:val="auto"/>
          <w:sz w:val="24"/>
          <w:szCs w:val="24"/>
        </w:rPr>
      </w:pPr>
      <w:bookmarkStart w:id="34" w:name="_Toc351203492"/>
      <w:r>
        <w:rPr>
          <w:rFonts w:hint="eastAsia" w:ascii="宋体" w:hAnsi="宋体" w:eastAsia="宋体" w:cs="宋体"/>
          <w:b/>
          <w:color w:val="auto"/>
          <w:sz w:val="24"/>
          <w:szCs w:val="24"/>
        </w:rPr>
        <w:t>十二、合同生效</w:t>
      </w:r>
      <w:bookmarkEnd w:id="34"/>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本合同自</w:t>
      </w:r>
      <w:r>
        <w:rPr>
          <w:rFonts w:hint="eastAsia" w:ascii="宋体" w:hAnsi="宋体" w:eastAsia="宋体" w:cs="宋体"/>
          <w:bCs/>
          <w:color w:val="auto"/>
          <w:sz w:val="24"/>
          <w:szCs w:val="24"/>
          <w:u w:val="single"/>
        </w:rPr>
        <w:t>双方法定代表人或其授权委托人在合同协议书上签字并盖单位章后合同</w:t>
      </w:r>
      <w:r>
        <w:rPr>
          <w:rFonts w:hint="eastAsia" w:ascii="宋体" w:hAnsi="宋体" w:eastAsia="宋体" w:cs="宋体"/>
          <w:bCs/>
          <w:color w:val="auto"/>
          <w:sz w:val="24"/>
          <w:szCs w:val="24"/>
        </w:rPr>
        <w:t>生效。</w:t>
      </w:r>
    </w:p>
    <w:p>
      <w:pPr>
        <w:spacing w:line="520" w:lineRule="exact"/>
        <w:rPr>
          <w:rFonts w:hint="eastAsia" w:ascii="宋体" w:hAnsi="宋体" w:eastAsia="宋体" w:cs="宋体"/>
          <w:b/>
          <w:color w:val="auto"/>
          <w:sz w:val="24"/>
          <w:szCs w:val="24"/>
        </w:rPr>
      </w:pPr>
      <w:bookmarkStart w:id="35" w:name="_Toc351203493"/>
      <w:r>
        <w:rPr>
          <w:rFonts w:hint="eastAsia" w:ascii="宋体" w:hAnsi="宋体" w:eastAsia="宋体" w:cs="宋体"/>
          <w:b/>
          <w:color w:val="auto"/>
          <w:sz w:val="24"/>
          <w:szCs w:val="24"/>
        </w:rPr>
        <w:t>十三、合同份数</w:t>
      </w:r>
      <w:bookmarkEnd w:id="35"/>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本合同一式</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份，均具有同等法律效力，发包人执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份，承包人执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份，交易中心留存</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p>
    <w:p>
      <w:pPr>
        <w:spacing w:line="480" w:lineRule="exact"/>
        <w:ind w:firstLine="480" w:firstLineChars="200"/>
        <w:rPr>
          <w:rFonts w:hint="eastAsia" w:ascii="宋体" w:hAnsi="宋体" w:eastAsia="宋体" w:cs="宋体"/>
          <w:color w:val="auto"/>
          <w:sz w:val="24"/>
          <w:szCs w:val="24"/>
          <w:lang w:bidi="ar"/>
        </w:rPr>
      </w:pP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（盖单位章）     承包人：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（盖单位章） </w:t>
      </w:r>
    </w:p>
    <w:p>
      <w:pPr>
        <w:spacing w:line="480" w:lineRule="exact"/>
        <w:ind w:firstLine="240" w:firstLineChars="100"/>
        <w:rPr>
          <w:rFonts w:hint="eastAsia" w:ascii="宋体" w:hAnsi="宋体" w:eastAsia="宋体" w:cs="宋体"/>
          <w:color w:val="auto"/>
          <w:sz w:val="24"/>
          <w:szCs w:val="24"/>
        </w:rPr>
      </w:pP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法定代表人                                法定代表人          </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或其委托代理人：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    或其委托代理人：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电  话：                                  电  话：   </w:t>
      </w:r>
    </w:p>
    <w:p>
      <w:pPr>
        <w:spacing w:line="48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月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日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月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日  </w:t>
      </w:r>
    </w:p>
    <w:p>
      <w:pPr>
        <w:keepNext/>
        <w:keepLines/>
        <w:spacing w:line="520" w:lineRule="exact"/>
        <w:ind w:firstLine="2951" w:firstLineChars="1400"/>
        <w:outlineLvl w:val="9"/>
        <w:rPr>
          <w:rFonts w:ascii="宋体" w:hAnsi="宋体" w:cs="宋体"/>
          <w:b/>
          <w:bCs/>
          <w:color w:val="auto"/>
          <w:szCs w:val="21"/>
        </w:rPr>
      </w:pPr>
    </w:p>
    <w:p>
      <w:pPr>
        <w:spacing w:line="520" w:lineRule="exact"/>
        <w:jc w:val="center"/>
        <w:rPr>
          <w:rFonts w:ascii="宋体" w:hAnsi="宋体"/>
          <w:b/>
          <w:bCs/>
          <w:color w:val="auto"/>
          <w:sz w:val="24"/>
          <w:szCs w:val="24"/>
        </w:rPr>
      </w:pPr>
      <w:r>
        <w:rPr>
          <w:rFonts w:ascii="宋体" w:hAnsi="宋体"/>
          <w:color w:val="auto"/>
          <w:szCs w:val="21"/>
        </w:rPr>
        <w:br w:type="page"/>
      </w:r>
      <w:r>
        <w:rPr>
          <w:rFonts w:hint="eastAsia" w:ascii="宋体" w:hAnsi="宋体" w:cs="宋体"/>
          <w:b/>
          <w:bCs/>
          <w:color w:val="auto"/>
          <w:sz w:val="24"/>
          <w:szCs w:val="24"/>
        </w:rPr>
        <w:t>第二节    通用合同条款</w:t>
      </w:r>
    </w:p>
    <w:p>
      <w:pPr>
        <w:spacing w:line="540" w:lineRule="exact"/>
        <w:jc w:val="center"/>
        <w:rPr>
          <w:color w:val="auto"/>
          <w:sz w:val="24"/>
          <w:szCs w:val="24"/>
          <w:highlight w:val="none"/>
        </w:rPr>
        <w:sectPr>
          <w:footerReference r:id="rId8" w:type="default"/>
          <w:pgSz w:w="11906" w:h="16838"/>
          <w:pgMar w:top="1440" w:right="1080" w:bottom="1440" w:left="1080" w:header="851" w:footer="992" w:gutter="0"/>
          <w:pgNumType w:fmt="decimal"/>
          <w:cols w:space="720" w:num="1"/>
          <w:docGrid w:type="lines" w:linePitch="312" w:charSpace="0"/>
        </w:sectPr>
      </w:pPr>
      <w:bookmarkStart w:id="36" w:name="_Toc14590"/>
      <w:bookmarkStart w:id="37" w:name="_Toc22187"/>
      <w:bookmarkStart w:id="38" w:name="_Toc456966898"/>
      <w:r>
        <w:rPr>
          <w:rFonts w:hint="eastAsia" w:ascii="宋体" w:hAnsi="宋体" w:cs="宋体"/>
          <w:color w:val="auto"/>
          <w:kern w:val="0"/>
          <w:sz w:val="24"/>
          <w:szCs w:val="24"/>
          <w:highlight w:val="none"/>
        </w:rPr>
        <w:t>通用合同条款见《中华人民共和国标准施工招标文件》2007年</w:t>
      </w:r>
    </w:p>
    <w:bookmarkEnd w:id="36"/>
    <w:bookmarkEnd w:id="37"/>
    <w:bookmarkEnd w:id="38"/>
    <w:p>
      <w:pPr>
        <w:keepNext/>
        <w:keepLines/>
        <w:spacing w:line="360" w:lineRule="auto"/>
        <w:jc w:val="center"/>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第三节     专用合同条款</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1.一般约定</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1.1词语定义</w:t>
      </w:r>
    </w:p>
    <w:p>
      <w:pPr>
        <w:spacing w:before="62" w:beforeLines="20"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1.1.2合同当事人和人员</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1.1.2.2发包人：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kern w:val="0"/>
          <w:sz w:val="24"/>
          <w:szCs w:val="24"/>
          <w:u w:val="single"/>
          <w:lang w:eastAsia="zh-CN"/>
        </w:rPr>
        <w:t>邹城市中心店镇人民政府</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1.1.2.6监理人：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1.1.2.8发包人代表：指发包人指定的派驻施工场地(现场)的全权代表。</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1.1.2.9 专业分包人：指根据合同条款第15.8.1项的约定，由发包人和承包人以招标方式选择的分包人。</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1.1.2.10 专项供应商：指根据合同条款第15.8.1项的约定，由发包人和承包人以招标方式选择的供应商。</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1.1.2.11独立承包人：指与发包人直接订立工程承包合同，负责实施与工程有关的其他工作的当事人。</w:t>
      </w:r>
    </w:p>
    <w:p>
      <w:pPr>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1.1.3工程和设备</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1.1.3.2永久工程：</w:t>
      </w:r>
      <w:r>
        <w:rPr>
          <w:rFonts w:hint="eastAsia" w:ascii="宋体" w:hAnsi="宋体" w:eastAsia="宋体" w:cs="宋体"/>
          <w:color w:val="auto"/>
          <w:sz w:val="24"/>
          <w:szCs w:val="24"/>
          <w:u w:val="single"/>
        </w:rPr>
        <w:t>按合同约定建造并移交给发包人的工程，包括工程设备</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1.1.3.3临时工程：</w:t>
      </w:r>
      <w:r>
        <w:rPr>
          <w:rFonts w:hint="eastAsia" w:ascii="宋体" w:hAnsi="宋体" w:eastAsia="宋体" w:cs="宋体"/>
          <w:color w:val="auto"/>
          <w:sz w:val="24"/>
          <w:szCs w:val="24"/>
          <w:u w:val="single"/>
        </w:rPr>
        <w:t>为完成合同约定的永久工程所修建的各类临时性工程，不包括施工设备</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1.1.3.4单位工程：指具有相对独立的设计文件，能够独立组织施工并能形成独立使用功能的永久工程的组成部分。</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1.1.3.10永久占地：</w:t>
      </w:r>
      <w:r>
        <w:rPr>
          <w:rFonts w:hint="eastAsia" w:ascii="宋体" w:hAnsi="宋体" w:eastAsia="宋体" w:cs="宋体"/>
          <w:color w:val="auto"/>
          <w:sz w:val="24"/>
          <w:szCs w:val="24"/>
          <w:u w:val="single"/>
        </w:rPr>
        <w:t>指为实施本合同工程而需要的一切永久占用的土地</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1.1.3.11临时占地：</w:t>
      </w:r>
      <w:r>
        <w:rPr>
          <w:rFonts w:hint="eastAsia" w:ascii="宋体" w:hAnsi="宋体" w:eastAsia="宋体" w:cs="宋体"/>
          <w:color w:val="auto"/>
          <w:sz w:val="24"/>
          <w:szCs w:val="24"/>
          <w:u w:val="single"/>
        </w:rPr>
        <w:t>指为实施本合同工程而需要的一切临时占用的土地</w:t>
      </w:r>
      <w:r>
        <w:rPr>
          <w:rFonts w:hint="eastAsia" w:ascii="宋体" w:hAnsi="宋体" w:eastAsia="宋体" w:cs="宋体"/>
          <w:color w:val="auto"/>
          <w:sz w:val="24"/>
          <w:szCs w:val="24"/>
        </w:rPr>
        <w:t>。</w:t>
      </w:r>
    </w:p>
    <w:p>
      <w:pPr>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1.1.4日期</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1.1.4.5缺陷责任期期限：</w:t>
      </w:r>
      <w:r>
        <w:rPr>
          <w:rFonts w:hint="eastAsia" w:ascii="宋体" w:hAnsi="宋体" w:eastAsia="宋体" w:cs="宋体"/>
          <w:color w:val="auto"/>
          <w:sz w:val="24"/>
          <w:szCs w:val="24"/>
          <w:u w:val="single"/>
        </w:rPr>
        <w:t>24个月</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1.1.4.8保修期：是根据现行有关法律规定，在合同条款第19.7款中约定的由承包人负责对合同约定的保修范围内发生的质量问题履行保修义务并对造成的损失承担赔偿责任的期限。</w:t>
      </w:r>
    </w:p>
    <w:p>
      <w:pPr>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1.1.6其他</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1.1.6.2材料：指构成或将构成永久工程组成部分的各类物品(工程设备除外)，包括合同中可能约定的承包人仅负责供应的材料。</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1.1.6.4除另有特别指明外，专用合同条款中使用的措辞“合同条款”指通用合同条款和(或)专用合同条款。</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1.1.6.5合同总金额：</w:t>
      </w:r>
      <w:r>
        <w:rPr>
          <w:rFonts w:hint="eastAsia" w:ascii="宋体" w:hAnsi="宋体" w:eastAsia="宋体" w:cs="宋体"/>
          <w:color w:val="auto"/>
          <w:sz w:val="24"/>
          <w:szCs w:val="24"/>
          <w:u w:val="single"/>
        </w:rPr>
        <w:t>即为签约合同价</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1.4合同文件的优先顺序</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合同文件的优先解释顺序如下：</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(l）合同协议书；</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(2）成交通知书；</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(3）专用合同条款；</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响应函；</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(7）图纸；</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(8）已标价工程量清单</w:t>
      </w:r>
    </w:p>
    <w:p>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图纸与技术标准和要求之间有矛盾或者不一致的，以其中要求较严格的标准为准。</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合同双方在合同履行过程中签订的补充协议亦构成合同文件的组成部分，其解释顺序视其内容与其他合同文件的相互关系而定。</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1.5合同协议书</w:t>
      </w:r>
    </w:p>
    <w:p>
      <w:pPr>
        <w:spacing w:before="156" w:beforeLines="50" w:after="156" w:afterLines="5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合同生效的条件：</w:t>
      </w:r>
      <w:r>
        <w:rPr>
          <w:rFonts w:hint="eastAsia" w:ascii="宋体" w:hAnsi="宋体" w:eastAsia="宋体" w:cs="宋体"/>
          <w:color w:val="auto"/>
          <w:sz w:val="24"/>
          <w:szCs w:val="24"/>
          <w:u w:val="single"/>
        </w:rPr>
        <w:t>发包人和承包人的法定代表人或授权委托人（详见法定代表人出具的授权委托书）在合同协议书上签字并盖单位章后，合同生效</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1.6图纸和承包人文件</w:t>
      </w:r>
    </w:p>
    <w:p>
      <w:pPr>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1.6.1图纸的提供</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(1)发包人按照合同条款本项的约定向承包人提供图纸。承包人需要增加图纸套数的，发包人应代为复制，复制费用由承包人承担。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(3)发包人提供图纸的期限：</w:t>
      </w:r>
      <w:r>
        <w:rPr>
          <w:rFonts w:hint="eastAsia" w:ascii="宋体" w:hAnsi="宋体" w:eastAsia="宋体" w:cs="宋体"/>
          <w:color w:val="auto"/>
          <w:sz w:val="24"/>
          <w:szCs w:val="24"/>
          <w:u w:val="single"/>
        </w:rPr>
        <w:t>开工前六天</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(4)发包人提供图纸的数量：</w:t>
      </w:r>
      <w:r>
        <w:rPr>
          <w:rFonts w:hint="eastAsia" w:ascii="宋体" w:hAnsi="宋体" w:eastAsia="宋体" w:cs="宋体"/>
          <w:color w:val="auto"/>
          <w:sz w:val="24"/>
          <w:szCs w:val="24"/>
          <w:u w:val="single"/>
        </w:rPr>
        <w:t xml:space="preserve">  陆套     </w:t>
      </w:r>
      <w:r>
        <w:rPr>
          <w:rFonts w:hint="eastAsia" w:ascii="宋体" w:hAnsi="宋体" w:eastAsia="宋体" w:cs="宋体"/>
          <w:color w:val="auto"/>
          <w:sz w:val="24"/>
          <w:szCs w:val="24"/>
        </w:rPr>
        <w:t>。</w:t>
      </w:r>
    </w:p>
    <w:p>
      <w:pPr>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1.6.2承包人提供的文件</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color w:val="auto"/>
          <w:sz w:val="24"/>
          <w:szCs w:val="24"/>
          <w:u w:val="single"/>
        </w:rPr>
        <w:t>需要时按发包人及监理人要求</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(2)承包人提供文件的期限：</w:t>
      </w:r>
      <w:r>
        <w:rPr>
          <w:rFonts w:hint="eastAsia" w:ascii="宋体" w:hAnsi="宋体" w:eastAsia="宋体" w:cs="宋体"/>
          <w:color w:val="auto"/>
          <w:sz w:val="24"/>
          <w:szCs w:val="24"/>
          <w:u w:val="single"/>
        </w:rPr>
        <w:t>按发包人及监理人要求</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(3)承包人提供文件的数量：</w:t>
      </w:r>
      <w:r>
        <w:rPr>
          <w:rFonts w:hint="eastAsia" w:ascii="宋体" w:hAnsi="宋体" w:eastAsia="宋体" w:cs="宋体"/>
          <w:color w:val="auto"/>
          <w:sz w:val="24"/>
          <w:szCs w:val="24"/>
          <w:u w:val="single"/>
        </w:rPr>
        <w:t>按发包人及监理人要求</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(4)监理人批复承包人提供文件的期限：</w:t>
      </w:r>
      <w:r>
        <w:rPr>
          <w:rFonts w:hint="eastAsia" w:ascii="宋体" w:hAnsi="宋体" w:eastAsia="宋体" w:cs="宋体"/>
          <w:color w:val="auto"/>
          <w:sz w:val="24"/>
          <w:szCs w:val="24"/>
          <w:u w:val="single"/>
        </w:rPr>
        <w:t>收到承包人提供的文件后7天内</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(5)其他约定：</w:t>
      </w:r>
      <w:r>
        <w:rPr>
          <w:rFonts w:hint="eastAsia" w:ascii="宋体" w:hAnsi="宋体" w:eastAsia="宋体" w:cs="宋体"/>
          <w:color w:val="auto"/>
          <w:sz w:val="24"/>
          <w:szCs w:val="24"/>
          <w:u w:val="single"/>
        </w:rPr>
        <w:t xml:space="preserve">                  /                               </w:t>
      </w:r>
    </w:p>
    <w:p>
      <w:pPr>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1.6.3图纸的修改</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监理人应当按照合同条款第1.6.1(2)目约定的有合同约束力的图纸供应计划，签发图纸修改图给承包人。</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1.7联络</w:t>
      </w:r>
    </w:p>
    <w:p>
      <w:pPr>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1.7.2联络来往函件的送达和接收</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(1)联络来往信函的送达期限：合同约定了发出期限的，送达期限为合同约定的发出期限后的24小时内；合同约定了通知、提供或者报送期限的，通知、提供或者报送期限即为送达期限。</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(2)发包人指定的接收地点：</w:t>
      </w:r>
      <w:r>
        <w:rPr>
          <w:rFonts w:hint="eastAsia" w:ascii="宋体" w:hAnsi="宋体" w:eastAsia="宋体" w:cs="宋体"/>
          <w:color w:val="auto"/>
          <w:sz w:val="24"/>
          <w:szCs w:val="24"/>
          <w:u w:val="single"/>
        </w:rPr>
        <w:t>本工程现场发包人代表办公室</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(3)发包人指定的接收人为：</w:t>
      </w:r>
      <w:r>
        <w:rPr>
          <w:rFonts w:hint="eastAsia" w:ascii="宋体" w:hAnsi="宋体" w:eastAsia="宋体" w:cs="宋体"/>
          <w:color w:val="auto"/>
          <w:sz w:val="24"/>
          <w:szCs w:val="24"/>
          <w:u w:val="single"/>
        </w:rPr>
        <w:t>发包人代表</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(4)监理人指定的接收地点：</w:t>
      </w:r>
      <w:r>
        <w:rPr>
          <w:rFonts w:hint="eastAsia" w:ascii="宋体" w:hAnsi="宋体" w:eastAsia="宋体" w:cs="宋体"/>
          <w:color w:val="auto"/>
          <w:sz w:val="24"/>
          <w:szCs w:val="24"/>
          <w:u w:val="single"/>
        </w:rPr>
        <w:t>本工程现场总监代表办公室</w:t>
      </w:r>
      <w:r>
        <w:rPr>
          <w:rFonts w:hint="eastAsia" w:ascii="宋体" w:hAnsi="宋体" w:eastAsia="宋体" w:cs="宋体"/>
          <w:color w:val="auto"/>
          <w:sz w:val="24"/>
          <w:szCs w:val="24"/>
        </w:rPr>
        <w:t>。</w:t>
      </w:r>
    </w:p>
    <w:p>
      <w:pPr>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(5)监理人指定的接收人为：</w:t>
      </w:r>
      <w:r>
        <w:rPr>
          <w:rFonts w:hint="eastAsia" w:ascii="宋体" w:hAnsi="宋体" w:eastAsia="宋体" w:cs="宋体"/>
          <w:color w:val="auto"/>
          <w:sz w:val="24"/>
          <w:szCs w:val="24"/>
          <w:u w:val="single"/>
        </w:rPr>
        <w:t>总监或总监代表</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并报发包人备案。除合同另有约定外，承包人施工场地管理机构的办公地点即为承包人指定的接收地点。</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(8)发包人(包括监理人)和承包人中任何一方均应当及时签收另一方送达其指定接收地点的来往信函，拒不签收的，送达信函的一方可以采用挂号或者公证或者微信或者手机短信方式送达，由此所造成的直接的和间接的费用增加(包括被迫采用特殊送达方式所发生的费用)和(或)延误的工期由拒绝签收一方承担。</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2.发包人义务</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2.3提供施工场地</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施工场地应当在监理人发出的开工通知中载明的开工日期前</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天具备施工条件并移交给承包人，具体施工条件在 “技术标准和要求”中约定。发包人最迟应当在移交施工场地的同时向承包人提供施工场地内地下管线和地下设施等有关资料，并保证资料的真实、准确和完整。</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2.5组织设计交底</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2.8其他义务</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(1)按有关规定及时办理工程质量监督手续。</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(2)根据建设行政主管部门和(或)城市建设档案管理机构的规定，收集、整理、立卷、归档工程资料，并按规定时间向建设行政主管部门或者城市建设档案管理机构移交规定的工程档案。</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(4)发包人应当履行合同约定的其他义务以及下述义务：</w:t>
      </w:r>
      <w:r>
        <w:rPr>
          <w:rFonts w:hint="eastAsia" w:ascii="宋体" w:hAnsi="宋体" w:eastAsia="宋体" w:cs="宋体"/>
          <w:color w:val="auto"/>
          <w:sz w:val="24"/>
          <w:szCs w:val="24"/>
          <w:u w:val="single"/>
        </w:rPr>
        <w:t xml:space="preserve">            /               </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3.监理人</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3.1监理人的职责和权力</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3.1.1须经发包人批准行使的权力：</w:t>
      </w:r>
      <w:r>
        <w:rPr>
          <w:rFonts w:hint="eastAsia" w:ascii="宋体" w:hAnsi="宋体" w:eastAsia="宋体" w:cs="宋体"/>
          <w:color w:val="auto"/>
          <w:sz w:val="24"/>
          <w:szCs w:val="24"/>
          <w:u w:val="single"/>
        </w:rPr>
        <w:t>涉及本工程分包、变更、费用、质量、工期的事项及监理合同中须发包人批准才能行使的监理人的权力</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不管通用合同条款第3.1.1项如何约定，监理人履行须经发包人批准行使的权力时，应当向承包人出示其行使该权力已经取得发包人批准的书面文件或者其他合法有效的书面证明。</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3.3监理人员</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3.3.4总监理工程师不应将第3.5款约定应由总监理工程师作出确定的权力授权或者委托给其他监理人员。</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3.4监理人的指示</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3.4.4除通用合同条款已有的专门约定外，承包人只能从总监理工程师或按第3.3.1项授权的监理人员处取得指示，发包人应当通过监理人向承包人发出指示。</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3.6监理人的宽恕</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4.承包人</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4.1承包人的一般义务</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4.1.8为他人提供方便</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color w:val="auto"/>
          <w:sz w:val="24"/>
          <w:szCs w:val="24"/>
          <w:u w:val="single"/>
        </w:rPr>
        <w:t>根据施工过程中实际情况由发包人和监理人指派并审批</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(2)承包人还应按监理人指示为独立承包人以外的他人在施工场地或者附近实施与合同工程有关的其他工作提供可能的条件，可能发生费用由监理人按第3.5款商定或者确定。</w:t>
      </w:r>
    </w:p>
    <w:p>
      <w:pPr>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4.1.10其他义务</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根据发包人委托，在其设计资质等级和业务允许的范围内，完成施工图设计或与工程配套的设计，经监理人确认后使用，发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总报价)中。由承包人承担的施工图设计或与工程配套的设计工作内容：</w:t>
      </w:r>
      <w:r>
        <w:rPr>
          <w:rFonts w:hint="eastAsia" w:ascii="宋体" w:hAnsi="宋体" w:eastAsia="宋体" w:cs="宋体"/>
          <w:color w:val="auto"/>
          <w:sz w:val="24"/>
          <w:szCs w:val="24"/>
          <w:u w:val="single"/>
        </w:rPr>
        <w:t>需要时发包人与承包人另行约定</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(2)承包人应履行合同约定的其他义务以及下述义务：</w:t>
      </w:r>
      <w:r>
        <w:rPr>
          <w:rFonts w:hint="eastAsia" w:ascii="宋体" w:hAnsi="宋体" w:eastAsia="宋体" w:cs="宋体"/>
          <w:color w:val="auto"/>
          <w:sz w:val="24"/>
          <w:szCs w:val="24"/>
          <w:u w:val="single"/>
        </w:rPr>
        <w:t>需要时发包人与承包人另行约定</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4.2履约担保</w:t>
      </w:r>
      <w:r>
        <w:rPr>
          <w:rFonts w:hint="eastAsia" w:ascii="宋体" w:hAnsi="宋体" w:eastAsia="宋体" w:cs="宋体"/>
          <w:b/>
          <w:bCs/>
          <w:color w:val="auto"/>
          <w:sz w:val="24"/>
          <w:szCs w:val="24"/>
          <w:lang w:eastAsia="zh-CN"/>
        </w:rPr>
        <w:t>：无</w:t>
      </w:r>
    </w:p>
    <w:p>
      <w:pPr>
        <w:spacing w:line="360" w:lineRule="auto"/>
        <w:ind w:firstLine="482" w:firstLineChars="200"/>
        <w:jc w:val="left"/>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4.3分包（本工程不允许分包）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4.3.2发包人同意承包人分包的非主体、非关键性工作除通用合同条款第4.3款的约定外，分包还应遵循以下约定：</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除约定的分包内容外，经过发包人和监理人书面同意，承包人可以将其他非主体、非关键性工作分包给第三人，但分包人应当经过发包人和监理人审批。发包人和监理人有权拒绝承包人的分包请求和承包人选择的分包人。</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39" w:name="_Hlk40553084"/>
      <w:r>
        <w:rPr>
          <w:rFonts w:hint="eastAsia" w:ascii="宋体" w:hAnsi="宋体" w:eastAsia="宋体" w:cs="宋体"/>
          <w:color w:val="auto"/>
          <w:sz w:val="24"/>
          <w:szCs w:val="24"/>
        </w:rPr>
        <w:t xml:space="preserve"> 经发包人书面同意分包的工程项目的分包合同</w:t>
      </w:r>
      <w:bookmarkEnd w:id="39"/>
      <w:r>
        <w:rPr>
          <w:rFonts w:hint="eastAsia" w:ascii="宋体" w:hAnsi="宋体" w:eastAsia="宋体" w:cs="宋体"/>
          <w:color w:val="auto"/>
          <w:sz w:val="24"/>
          <w:szCs w:val="24"/>
        </w:rPr>
        <w:t>签订并报送有关建设行政主管部门备案后7天内，承包人应当将一份副本提交给监理人，承包人应保障分包工作不得再次分包，否则视为根本违约，发包人有权解除合同 ，将承包人清理出施工现场并要求承包人按照签约合同价的5%支付违约金及相关经济损失包括但不限于诉讼费、律师费、鉴定费、评估拍卖费等。</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承包人拟在中标后将中标项目的部分非主体、非关键性工作进行分包的，应符合规定的分包内容、分包金额和接受分包的第三人资质要求等限制性条件。</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(4)分包工程价款由承包人与分包人(包括专业分包人)结算。 发包人未经承包人同意不得向分包人(包括专业分包人)支付相关分包合同项下的工程款项（执行法院判决或仲裁裁决或政府要求除外）。因发包人未经承包人同意直接向分包人(包括专业分包人)支付相关分包合同项下的工程款项而影响承包人工作的，所造成的承包人费用增加或延误的工期由发包人承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(5)未经发包人和监理人审批同意的分包工程和分包人，发包人有权拒绝验收分包工程和支付相应款项，由此引起的发包人费用增加和(或)延误的工期由承包人承担。</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4.5承包人项目经理</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500" w:lineRule="exact"/>
        <w:ind w:firstLine="480" w:firstLineChars="200"/>
        <w:outlineLvl w:val="9"/>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4.5.2</w:t>
      </w:r>
      <w:r>
        <w:rPr>
          <w:rFonts w:hint="eastAsia" w:ascii="宋体" w:hAnsi="宋体" w:eastAsia="宋体" w:cs="宋体"/>
          <w:bCs/>
          <w:color w:val="auto"/>
          <w:sz w:val="24"/>
          <w:szCs w:val="24"/>
          <w:u w:val="single"/>
        </w:rPr>
        <w:t>项目经理及管理班子人员名单（包括项目副经理、技术负责人、预算员、施工员、安全员、材料员、质检员、资料员等）及其专业资格证书复印件作为合同附件，其组成人员在本工程实施过程中应坚守岗位，不得另外承担其它工程项目的管理工作，</w:t>
      </w:r>
      <w:r>
        <w:rPr>
          <w:rFonts w:hint="eastAsia" w:ascii="宋体" w:hAnsi="宋体" w:eastAsia="宋体" w:cs="宋体"/>
          <w:color w:val="auto"/>
          <w:sz w:val="24"/>
          <w:szCs w:val="24"/>
          <w:u w:val="single"/>
        </w:rPr>
        <w:t>发包人采用押证管理、人证合一，</w:t>
      </w:r>
      <w:r>
        <w:rPr>
          <w:rFonts w:hint="eastAsia" w:ascii="宋体" w:hAnsi="宋体" w:eastAsia="宋体" w:cs="宋体"/>
          <w:bCs/>
          <w:color w:val="auto"/>
          <w:sz w:val="24"/>
          <w:szCs w:val="24"/>
          <w:u w:val="single"/>
        </w:rPr>
        <w:t>未经发包人同意不得更换或撤回，否则视为承包人违约，发包人因此有权解除合同，并追究由此带来的发包人的一切损失包括但不限于诉讼费、律师费、鉴定费等，承包人需向发包人支付签约合同价1%的违约金。若发包人认为上述人员无法满足项目需求的，有权要求承包人更换合格的项目班子成员，承包人拒不更换的，发包人有权解除合同，承包人承担由此造成发包人的各项经济损失包括但不限于诉讼费、律师费、鉴定费等并承担签约合同价1%违约金。</w:t>
      </w:r>
    </w:p>
    <w:p>
      <w:pPr>
        <w:spacing w:line="500" w:lineRule="exact"/>
        <w:ind w:firstLine="600" w:firstLineChars="250"/>
        <w:outlineLvl w:val="9"/>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rPr>
        <w:t>本项目以上所列的现场管理人员，在施工现场工作时间每周不低于 6天，每天工作不低于 8小时，否则按照项目经理5000 元/天，其余管理人员 1000元/天进行罚款，该罚款发包人直接从应付承包人工程款中扣除。</w:t>
      </w:r>
    </w:p>
    <w:p>
      <w:pPr>
        <w:spacing w:line="500" w:lineRule="exact"/>
        <w:ind w:firstLine="602" w:firstLineChars="250"/>
        <w:outlineLvl w:val="9"/>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承包人不得擅自变更</w:t>
      </w:r>
      <w:r>
        <w:rPr>
          <w:rFonts w:hint="eastAsia" w:ascii="宋体" w:hAnsi="宋体" w:eastAsia="宋体" w:cs="宋体"/>
          <w:b/>
          <w:bCs/>
          <w:color w:val="auto"/>
          <w:sz w:val="24"/>
          <w:szCs w:val="24"/>
          <w:u w:val="single"/>
          <w:lang w:eastAsia="zh-CN"/>
        </w:rPr>
        <w:t>磋商</w:t>
      </w:r>
      <w:r>
        <w:rPr>
          <w:rFonts w:hint="eastAsia" w:ascii="宋体" w:hAnsi="宋体" w:eastAsia="宋体" w:cs="宋体"/>
          <w:b/>
          <w:bCs/>
          <w:color w:val="auto"/>
          <w:sz w:val="24"/>
          <w:szCs w:val="24"/>
          <w:u w:val="single"/>
        </w:rPr>
        <w:t xml:space="preserve">响应文件中明确的项目经理或项目管理人员。如遇不可抗力（相关法律法规约定的事件）等原因承包人项目经理确需变更的，必须报请经发包人书面同意，方可更换。未经发包人书面同意私自更换项目经理的，承包人应按照合同总额 3% 向发包人支付违约金。未经发包人书面同意私自更换其他项目管理人员的，承包人应按照签约合同价的1% 向发包人支付违约金。 </w:t>
      </w:r>
    </w:p>
    <w:p>
      <w:pPr>
        <w:spacing w:line="500" w:lineRule="exact"/>
        <w:ind w:firstLine="482" w:firstLineChars="200"/>
        <w:outlineLvl w:val="9"/>
        <w:rPr>
          <w:rFonts w:hint="eastAsia" w:ascii="宋体" w:hAnsi="宋体" w:eastAsia="宋体" w:cs="宋体"/>
          <w:bCs/>
          <w:color w:val="auto"/>
          <w:sz w:val="24"/>
          <w:szCs w:val="24"/>
          <w:u w:val="single"/>
        </w:rPr>
      </w:pPr>
      <w:r>
        <w:rPr>
          <w:rFonts w:hint="eastAsia" w:ascii="宋体" w:hAnsi="宋体" w:eastAsia="宋体" w:cs="宋体"/>
          <w:b/>
          <w:color w:val="auto"/>
          <w:kern w:val="0"/>
          <w:sz w:val="24"/>
          <w:szCs w:val="24"/>
          <w:u w:val="single"/>
        </w:rPr>
        <w:t>项目班子</w:t>
      </w:r>
      <w:r>
        <w:rPr>
          <w:rFonts w:hint="eastAsia" w:ascii="宋体" w:hAnsi="宋体" w:eastAsia="宋体" w:cs="宋体"/>
          <w:b/>
          <w:bCs/>
          <w:color w:val="auto"/>
          <w:sz w:val="24"/>
          <w:szCs w:val="24"/>
          <w:u w:val="single"/>
        </w:rPr>
        <w:t>人员到建设单位录取脸谱信息，录入信息与响应文件明确的人员不相符的，自愿放弃成交资格。</w:t>
      </w:r>
      <w:r>
        <w:rPr>
          <w:rFonts w:hint="eastAsia" w:ascii="宋体" w:hAnsi="宋体" w:eastAsia="宋体" w:cs="宋体"/>
          <w:bCs/>
          <w:color w:val="auto"/>
          <w:sz w:val="24"/>
          <w:szCs w:val="24"/>
          <w:u w:val="single"/>
        </w:rPr>
        <w:t>工程开工后，由发包人采用脸谱考勤机或其他方式对现场管理人员进行考勤，发现承包方项目管理组成人员违反本合同规定的行为，按照项目经理5000 元/天、其余管理人员 1000元/天进行罚款，计入企业不良记录，性质恶劣的，发包人有权解除合同。承包人用于本工程的所有印章必须经发包方确认并将印模在发包人处备案，使用印章产生的一切法律后果由承包人承担；承包人项目经理及项目管理人员在与发包人和监理方信函往来中的签字行为对承包人具有法律拘束力。</w:t>
      </w:r>
      <w:r>
        <w:rPr>
          <w:rFonts w:hint="eastAsia" w:ascii="宋体" w:hAnsi="宋体" w:eastAsia="宋体" w:cs="宋体"/>
          <w:color w:val="auto"/>
          <w:sz w:val="24"/>
          <w:szCs w:val="24"/>
          <w:u w:val="single"/>
        </w:rPr>
        <w:t>（后附承包人项目经理、项目管理人名单及身份证复印件、授权委托书）。</w:t>
      </w:r>
    </w:p>
    <w:p>
      <w:pPr>
        <w:spacing w:line="500" w:lineRule="exact"/>
        <w:ind w:firstLine="480" w:firstLineChars="200"/>
        <w:outlineLvl w:val="9"/>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rPr>
        <w:t>本条未提到的项目经理其它权利和义务执行合同通用条款 。</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4.6不利物质条件</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4.6.1不利物质条件的范围：</w:t>
      </w:r>
      <w:r>
        <w:rPr>
          <w:rFonts w:hint="eastAsia" w:ascii="宋体" w:hAnsi="宋体" w:eastAsia="宋体" w:cs="宋体"/>
          <w:color w:val="auto"/>
          <w:sz w:val="24"/>
          <w:szCs w:val="24"/>
          <w:u w:val="single"/>
        </w:rPr>
        <w:t>不利物质条件指承包人在施工场地遇到的不可预见的自然物质条件、非自然的物质障碍和污染物，包括地下和水文条件，但不包括气候条件。</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4.11.3</w:t>
      </w:r>
      <w:r>
        <w:rPr>
          <w:rFonts w:hint="eastAsia" w:ascii="宋体" w:hAnsi="宋体" w:eastAsia="宋体" w:cs="宋体"/>
          <w:color w:val="auto"/>
          <w:sz w:val="24"/>
          <w:szCs w:val="24"/>
          <w:u w:val="single"/>
        </w:rPr>
        <w:t>在不利物质条件发生之前，监理人已经指示承包人有可能发生，但承包人未能及时采取有效措施，而导致的损失和后果均由承包人承担。</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5.材料和工程设备</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5.1承包人提供的材料和工程设备</w:t>
      </w:r>
    </w:p>
    <w:p>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一“承包人提供的材料和工程设备一览表”。</w:t>
      </w:r>
    </w:p>
    <w:p>
      <w:pPr>
        <w:spacing w:line="500" w:lineRule="exact"/>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pPr>
        <w:spacing w:line="500" w:lineRule="exact"/>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承包人使用的主要材料不得使用贴牌产品，否则每发现一次，承包人需向发包人支付签约合同价1%的违约金，已经使用的由承包人按要求负责拆除，并重新采购，承担造成的一切损失，由此延误的工期不予顺延。</w:t>
      </w:r>
    </w:p>
    <w:p>
      <w:pPr>
        <w:spacing w:line="500" w:lineRule="exact"/>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发包人有权择优选择或调整工程中使用的主要材料，并据实调增（减）材料价格，承包人需积极配合。</w:t>
      </w:r>
    </w:p>
    <w:p>
      <w:pPr>
        <w:spacing w:line="500" w:lineRule="exact"/>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承包人采购的材料到货后必须履行样品复核报审手续，经检验合格并得到监理工程师发出的书面认定后，承包人方可投入使用，否则不能使用并不予结算。</w:t>
      </w:r>
    </w:p>
    <w:p>
      <w:pPr>
        <w:spacing w:line="500" w:lineRule="exact"/>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发包人和监理工程师对材料供应商的决定或认可并不解除承包人对工程质量、工期的责任，也不解除承包人对材料应负的责任。</w:t>
      </w:r>
    </w:p>
    <w:p>
      <w:pPr>
        <w:spacing w:line="500" w:lineRule="exact"/>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承包人负责提供的材料和工程设备，技术标准和要求中有规定的必须优于或等同于技术标准和要求中的规定。</w:t>
      </w:r>
    </w:p>
    <w:p>
      <w:pPr>
        <w:spacing w:line="500" w:lineRule="exact"/>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pPr>
        <w:spacing w:line="500" w:lineRule="exact"/>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5.1.2承包人将由其提供的材料和工程设备的供货人及品种、规格、数量和供货时间等报送监理人审批的期限：</w:t>
      </w:r>
      <w:r>
        <w:rPr>
          <w:rFonts w:hint="eastAsia" w:ascii="宋体" w:hAnsi="宋体" w:eastAsia="宋体" w:cs="宋体"/>
          <w:color w:val="auto"/>
          <w:sz w:val="24"/>
          <w:szCs w:val="24"/>
          <w:u w:val="single"/>
        </w:rPr>
        <w:t>相关分部分项工程开始施工前7天报送监理人审批</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5.2发包人提供的材料和工程设备</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5.2.1发包人负责提供的材料和工程设备的名称、规格、数量、价格、交货方式、交货地点和计划交货日期等见合同附件二“发包人提供的材料和工程设备一览表”。</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5.2.3由发包人提供的材料和工程设备验收后，由承包人负责接收、运输和保管。</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6.施工设备和临时设施</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6.1承包人提供的施工设备和临时设施</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6.1.2发包人承担修建临时设施的费用的范围：</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spacing w:line="360" w:lineRule="auto"/>
        <w:ind w:firstLine="1200" w:firstLineChars="500"/>
        <w:outlineLvl w:val="9"/>
        <w:rPr>
          <w:rFonts w:hint="eastAsia" w:ascii="宋体" w:hAnsi="宋体" w:eastAsia="宋体" w:cs="宋体"/>
          <w:color w:val="auto"/>
          <w:sz w:val="24"/>
          <w:szCs w:val="24"/>
        </w:rPr>
      </w:pPr>
      <w:r>
        <w:rPr>
          <w:rFonts w:hint="eastAsia" w:ascii="宋体" w:hAnsi="宋体" w:eastAsia="宋体" w:cs="宋体"/>
          <w:color w:val="auto"/>
          <w:sz w:val="24"/>
          <w:szCs w:val="24"/>
        </w:rPr>
        <w:t>需要发包人办理申请手续和承担相关费用的临时占地：</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6.2发包人提供的施工设备和临时设施</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发包人提供的施工设备和临时设施的运行、维护、拆除、清运费用的承担人：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6.4施工设备和临时设施专用于合同工程</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6.4.1除为专用合同条款第4.1.8项约定的其他独立承包人和监理人指示的他人提供条件外，承包人运入施工场地的所有施工设备以及在施工场地建设的临时设施仅限于用于合同工程。</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7.交通运输</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7.1道路通行权和场外设施</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取得道路通行权、场外设施修建权的办理人：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，其相关费用由承包人承担。</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7.2场内施工道路</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7.2.1施工所需的场内临时道路和交通设施的修建、维护、养护和管理人：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，相关费用由</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承担。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7.2.2发包人和监理人有权无偿使用承包人修建的临时道路和交通设施，不需要交纳任何费用。</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7.4超大件和超重件的运输</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运输超大件或超重件所需的道路和桥梁临时加固改造等费用的承担人：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8.测量放线</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8.1施工控制网</w:t>
      </w:r>
    </w:p>
    <w:p>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8.1.1发包人通过监理人提供测量基准点、基准线和水准点及其书面资料的期限：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承包人测设施工控制网的要求：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承包人将施工控制网资料报送监理人审批的期限：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9.施工安全、治安保卫和环境保护</w:t>
      </w:r>
    </w:p>
    <w:p>
      <w:pPr>
        <w:keepNext/>
        <w:keepLines/>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因承包人原因施工过程中出现的一切质量、安全、人身伤亡等一切事故，均有承包人负责处理并承担所有费用。</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9.2承包人的施工安全责任</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9.2.1承包人向监理人报送施工安全措施计划的期限：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监理人收到承包人报送的施工安全措施计划后应当在</w:t>
      </w:r>
      <w:r>
        <w:rPr>
          <w:rFonts w:hint="eastAsia" w:ascii="宋体" w:hAnsi="宋体" w:eastAsia="宋体" w:cs="宋体"/>
          <w:color w:val="auto"/>
          <w:sz w:val="24"/>
          <w:szCs w:val="24"/>
          <w:u w:val="single"/>
        </w:rPr>
        <w:t xml:space="preserve">  3</w:t>
      </w:r>
      <w:r>
        <w:rPr>
          <w:rFonts w:hint="eastAsia" w:ascii="宋体" w:hAnsi="宋体" w:eastAsia="宋体" w:cs="宋体"/>
          <w:color w:val="auto"/>
          <w:sz w:val="24"/>
          <w:szCs w:val="24"/>
        </w:rPr>
        <w:t>天内给予批复。</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9.3治安保卫</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9.3.1承包人应当负责统一管理施工场地的治安保卫事项，履行合同工程的治安保卫职责。</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9.3.3施工场地治安管理计划和突发治安事件紧急预案的编制责任人：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9.4环境保护</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9.4.2施工环保措施计划报送监理人审批的时间：</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监理人收到承包人报送的施工环保措施计划后应当在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天内给予批复。</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10.进度计划</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10.1合同进度计划</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4"/>
          <w:szCs w:val="24"/>
          <w:u w:val="single"/>
        </w:rPr>
        <w:t>承包人应按投标阶段承诺的总进度计划关键线路目标，以及施工顺序和方法要点，向监理人提交更准确更详细的施工进度计划和施工方案</w:t>
      </w:r>
      <w:r>
        <w:rPr>
          <w:rFonts w:hint="eastAsia" w:ascii="宋体" w:hAnsi="宋体" w:eastAsia="宋体" w:cs="宋体"/>
          <w:color w:val="auto"/>
          <w:sz w:val="24"/>
          <w:szCs w:val="24"/>
        </w:rPr>
        <w:t>，施工进度计划中还应载明要求发包人组织设计人进行阶段性工程设计交底的时间。</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(2)监理人批复或对施工进度计划和施工方案说明提出修改意见的期限：自监理人收到承包人报送的相关进度计划和施工方案说明后14天内。</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(3)承包人编制分阶段或分项施工进度计划和施工方案说明的内容：</w:t>
      </w:r>
      <w:r>
        <w:rPr>
          <w:rFonts w:hint="eastAsia" w:ascii="宋体" w:hAnsi="宋体" w:eastAsia="宋体" w:cs="宋体"/>
          <w:color w:val="auto"/>
          <w:sz w:val="24"/>
          <w:szCs w:val="24"/>
          <w:u w:val="single"/>
        </w:rPr>
        <w:t xml:space="preserve">  按发包人和监理人要求 。</w:t>
      </w:r>
      <w:r>
        <w:rPr>
          <w:rFonts w:hint="eastAsia" w:ascii="宋体" w:hAnsi="宋体" w:eastAsia="宋体" w:cs="宋体"/>
          <w:color w:val="auto"/>
          <w:sz w:val="24"/>
          <w:szCs w:val="24"/>
          <w:u w:val="none"/>
        </w:rPr>
        <w:t xml:space="preserve">        </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承包人报送分阶段或分项施工进度计划和施工方案说明的期限：</w:t>
      </w:r>
      <w:r>
        <w:rPr>
          <w:rFonts w:hint="eastAsia" w:ascii="宋体" w:hAnsi="宋体" w:eastAsia="宋体" w:cs="宋体"/>
          <w:color w:val="auto"/>
          <w:sz w:val="24"/>
          <w:szCs w:val="24"/>
          <w:u w:val="single"/>
        </w:rPr>
        <w:t xml:space="preserve">  按发包人和监理人要求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10.2合同进度计划的修订</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(1)承包人报送修订合同进度计划申请报告和相关资料的期限：</w:t>
      </w:r>
      <w:r>
        <w:rPr>
          <w:rFonts w:hint="eastAsia" w:ascii="宋体" w:hAnsi="宋体" w:eastAsia="宋体" w:cs="宋体"/>
          <w:color w:val="auto"/>
          <w:sz w:val="24"/>
          <w:szCs w:val="24"/>
          <w:u w:val="single"/>
        </w:rPr>
        <w:t>实际进度发生滞后的当月25日前。</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(2)监理人批复修订合同进度计划申请报告的期限：</w:t>
      </w:r>
      <w:r>
        <w:rPr>
          <w:rFonts w:hint="eastAsia" w:ascii="宋体" w:hAnsi="宋体" w:eastAsia="宋体" w:cs="宋体"/>
          <w:color w:val="auto"/>
          <w:sz w:val="24"/>
          <w:szCs w:val="24"/>
          <w:u w:val="single"/>
        </w:rPr>
        <w:t>收到修订合同进度计划申请报告后2天内。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(3)监理人批复修订合同进度计划的期限：</w:t>
      </w:r>
      <w:r>
        <w:rPr>
          <w:rFonts w:hint="eastAsia" w:ascii="宋体" w:hAnsi="宋体" w:eastAsia="宋体" w:cs="宋体"/>
          <w:color w:val="auto"/>
          <w:sz w:val="24"/>
          <w:szCs w:val="24"/>
          <w:u w:val="single"/>
        </w:rPr>
        <w:t>收到修订合同进度计划后3天内</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11.开工和竣工</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11.3发包人的工期延误</w:t>
      </w:r>
    </w:p>
    <w:p>
      <w:pPr>
        <w:spacing w:line="360" w:lineRule="auto"/>
        <w:ind w:firstLine="600" w:firstLineChars="250"/>
        <w:outlineLvl w:val="9"/>
        <w:rPr>
          <w:rFonts w:hint="eastAsia" w:ascii="宋体" w:hAnsi="宋体" w:eastAsia="宋体" w:cs="宋体"/>
          <w:color w:val="auto"/>
          <w:sz w:val="24"/>
          <w:szCs w:val="24"/>
        </w:rPr>
      </w:pPr>
      <w:r>
        <w:rPr>
          <w:rFonts w:hint="eastAsia" w:ascii="宋体" w:hAnsi="宋体" w:eastAsia="宋体" w:cs="宋体"/>
          <w:color w:val="auto"/>
          <w:sz w:val="24"/>
          <w:szCs w:val="24"/>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等延误承包人关键线路工作的情况。</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11.4异常恶劣的气候条件</w:t>
      </w:r>
    </w:p>
    <w:p>
      <w:pPr>
        <w:spacing w:line="360" w:lineRule="auto"/>
        <w:ind w:firstLine="120" w:firstLineChars="50"/>
        <w:outlineLvl w:val="9"/>
        <w:rPr>
          <w:rFonts w:hint="eastAsia" w:ascii="宋体" w:hAnsi="宋体" w:eastAsia="宋体" w:cs="宋体"/>
          <w:color w:val="auto"/>
          <w:sz w:val="24"/>
          <w:szCs w:val="24"/>
        </w:rPr>
      </w:pPr>
      <w:r>
        <w:rPr>
          <w:rFonts w:hint="eastAsia" w:ascii="宋体" w:hAnsi="宋体" w:eastAsia="宋体" w:cs="宋体"/>
          <w:color w:val="auto"/>
          <w:sz w:val="24"/>
          <w:szCs w:val="24"/>
        </w:rPr>
        <w:t>异常恶劣的气候条件的范围和标准：</w:t>
      </w:r>
      <w:r>
        <w:rPr>
          <w:rFonts w:hint="eastAsia" w:ascii="宋体" w:hAnsi="宋体" w:eastAsia="宋体" w:cs="宋体"/>
          <w:color w:val="auto"/>
          <w:sz w:val="24"/>
          <w:szCs w:val="24"/>
          <w:u w:val="single"/>
        </w:rPr>
        <w:t>项目所在地30年以上一遇的罕见气候现象（包括温度、降水、降雪、风等）</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11.5承包人的工期延误</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逾期竣工违约金的计算标准：</w:t>
      </w:r>
      <w:r>
        <w:rPr>
          <w:rFonts w:hint="eastAsia" w:ascii="宋体" w:hAnsi="宋体" w:eastAsia="宋体" w:cs="宋体"/>
          <w:bCs/>
          <w:color w:val="auto"/>
          <w:sz w:val="24"/>
          <w:szCs w:val="24"/>
          <w:u w:val="single"/>
        </w:rPr>
        <w:t>工期每逾期一天支付违约金2000元。</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逾期竣工违约金的计算方法：</w:t>
      </w:r>
      <w:r>
        <w:rPr>
          <w:rFonts w:hint="eastAsia" w:ascii="宋体" w:hAnsi="宋体" w:eastAsia="宋体" w:cs="宋体"/>
          <w:bCs/>
          <w:color w:val="auto"/>
          <w:sz w:val="24"/>
          <w:szCs w:val="24"/>
          <w:u w:val="single"/>
        </w:rPr>
        <w:t>工期每逾期一天支付违约金2000元。</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逾期竣工违约金的限额</w:t>
      </w:r>
      <w:r>
        <w:rPr>
          <w:rFonts w:hint="eastAsia" w:ascii="宋体" w:hAnsi="宋体" w:eastAsia="宋体" w:cs="宋体"/>
          <w:color w:val="auto"/>
          <w:sz w:val="24"/>
          <w:szCs w:val="24"/>
          <w:u w:val="single"/>
        </w:rPr>
        <w:t xml:space="preserve">最高赔偿金额不超过签约合同价的5%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程连续停工15天或累计停工20天及以上的，发包人发出警告通知，承包人必须48小时内恢复正常施工；如承包人拒绝恢复施工，发包人有权终止施工合同且不予退还履约保证，对已完工程进行划线并确认无异议后拨付工程款。</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11.6工期提前</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提前竣工的奖励办法：</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12.暂停施工</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12.1承包人暂停施工的责任</w:t>
      </w:r>
    </w:p>
    <w:p>
      <w:pPr>
        <w:spacing w:after="93" w:afterLines="3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(5)承包人承担暂停施工责任的其他情形：</w:t>
      </w:r>
      <w:r>
        <w:rPr>
          <w:rFonts w:hint="eastAsia" w:ascii="宋体" w:hAnsi="宋体" w:eastAsia="宋体" w:cs="宋体"/>
          <w:color w:val="auto"/>
          <w:sz w:val="24"/>
          <w:szCs w:val="24"/>
          <w:u w:val="single"/>
        </w:rPr>
        <w:t>依照通用条款确定。</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12.4暂停施工后的复工</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12.4.4暂停施工持续56天以上，按合同约定由承包人提供的材料和工程设备，由于暂停施工原因导致承包人在暂停施工前已经订购但被暂停运至施工现场的，发包人与承包人协商处理。</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13.工程质量</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13.1工程质量要求</w:t>
      </w:r>
    </w:p>
    <w:p>
      <w:pPr>
        <w:spacing w:after="93" w:afterLines="3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13.1.2</w:t>
      </w:r>
      <w:r>
        <w:rPr>
          <w:rFonts w:hint="eastAsia" w:ascii="宋体" w:hAnsi="宋体" w:eastAsia="宋体" w:cs="宋体"/>
          <w:bCs/>
          <w:color w:val="auto"/>
          <w:sz w:val="24"/>
          <w:szCs w:val="24"/>
          <w:u w:val="single"/>
        </w:rPr>
        <w:t>在工程施工过程中，承包人偷工减料、使用劣质材料、使用不合格设备，或因技术、管理等原因造成工程质量达不到合同约定验收标准的，发包人和监理人有权要求承包人返工直至符合合同要求为止，由此造成的费用增加和（或）工期延误由承包人承担，且发包人有权解除施工合同，同时要求承包人承担签约合同价5%违约金并赔偿由此造成的工程款增加、费用增加及工期延误损失等一切经济损失包括但不限于诉讼律师费、鉴定费、保全费、交通费等。</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13.2承包人的质量管理</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13.2.1承包人向监理人提交工程质量保证措施文件的期限：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监理人审批工程质量保证措施文件的期限：</w:t>
      </w:r>
      <w:r>
        <w:rPr>
          <w:rFonts w:hint="eastAsia" w:ascii="宋体" w:hAnsi="宋体" w:eastAsia="宋体" w:cs="宋体"/>
          <w:color w:val="auto"/>
          <w:sz w:val="24"/>
          <w:szCs w:val="24"/>
          <w:u w:val="single"/>
        </w:rPr>
        <w:t>收到承包人报送的工程质量保证措施文件后3天内给予批复</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13.3承包人的质量检查</w:t>
      </w:r>
    </w:p>
    <w:p>
      <w:pPr>
        <w:spacing w:before="93" w:beforeLines="3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承包人向监理人报送工程质量报表的期限：</w:t>
      </w:r>
      <w:r>
        <w:rPr>
          <w:rFonts w:hint="eastAsia" w:ascii="宋体" w:hAnsi="宋体" w:eastAsia="宋体" w:cs="宋体"/>
          <w:color w:val="auto"/>
          <w:sz w:val="24"/>
          <w:szCs w:val="24"/>
          <w:u w:val="single"/>
        </w:rPr>
        <w:t>每月25日前</w:t>
      </w:r>
      <w:r>
        <w:rPr>
          <w:rFonts w:hint="eastAsia" w:ascii="宋体" w:hAnsi="宋体" w:eastAsia="宋体" w:cs="宋体"/>
          <w:color w:val="auto"/>
          <w:sz w:val="24"/>
          <w:szCs w:val="24"/>
        </w:rPr>
        <w:t>。</w:t>
      </w:r>
    </w:p>
    <w:p>
      <w:pPr>
        <w:spacing w:before="156" w:beforeLines="5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承包人向监理人报送工程质量报表的要求：</w:t>
      </w:r>
      <w:r>
        <w:rPr>
          <w:rFonts w:hint="eastAsia" w:ascii="宋体" w:hAnsi="宋体" w:eastAsia="宋体" w:cs="宋体"/>
          <w:color w:val="auto"/>
          <w:sz w:val="24"/>
          <w:szCs w:val="24"/>
          <w:u w:val="single"/>
        </w:rPr>
        <w:t>按规范及监理人要求</w:t>
      </w:r>
      <w:r>
        <w:rPr>
          <w:rFonts w:hint="eastAsia" w:ascii="宋体" w:hAnsi="宋体" w:eastAsia="宋体" w:cs="宋体"/>
          <w:color w:val="auto"/>
          <w:sz w:val="24"/>
          <w:szCs w:val="24"/>
        </w:rPr>
        <w:t>。</w:t>
      </w:r>
    </w:p>
    <w:p>
      <w:pPr>
        <w:spacing w:before="156" w:beforeLines="5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监理人审查工程质量报表的期限：</w:t>
      </w:r>
      <w:r>
        <w:rPr>
          <w:rFonts w:hint="eastAsia" w:ascii="宋体" w:hAnsi="宋体" w:eastAsia="宋体" w:cs="宋体"/>
          <w:color w:val="auto"/>
          <w:sz w:val="24"/>
          <w:szCs w:val="24"/>
          <w:u w:val="single"/>
        </w:rPr>
        <w:t>收到承包人报送的工程质量报表后3天内</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13.4监理人的质量检查</w:t>
      </w:r>
    </w:p>
    <w:p>
      <w:pPr>
        <w:spacing w:before="93" w:beforeLines="30"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承包人应当为监理人的检查和检验提供方便，监理人可以进行察看和查阅施工原始记录的其他地方包括：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13.5工程隐蔽部位覆盖前的检查</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13.5.1监理人对工程隐蔽部位进行检查的期限：</w:t>
      </w:r>
      <w:r>
        <w:rPr>
          <w:rFonts w:hint="eastAsia" w:ascii="宋体" w:hAnsi="宋体" w:eastAsia="宋体" w:cs="宋体"/>
          <w:color w:val="auto"/>
          <w:sz w:val="24"/>
          <w:szCs w:val="24"/>
          <w:u w:val="single"/>
        </w:rPr>
        <w:t>收到承包人的通知后3天内</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13.7质量争议</w:t>
      </w:r>
    </w:p>
    <w:p>
      <w:pPr>
        <w:spacing w:before="93" w:beforeLines="3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rPr>
        <w:t>变更</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15.1变更的范围和内容</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除专用合同条款另有约定外，在履行合同中发生以下情形之一，应按照本条规定进行变更。</w:t>
      </w:r>
    </w:p>
    <w:p>
      <w:pPr>
        <w:keepNext w:val="0"/>
        <w:keepLines w:val="0"/>
        <w:pageBreakBefore w:val="0"/>
        <w:widowControl w:val="0"/>
        <w:numPr>
          <w:ilvl w:val="0"/>
          <w:numId w:val="3"/>
        </w:numPr>
        <w:kinsoku/>
        <w:wordWrap/>
        <w:overflowPunct/>
        <w:topLinePunct w:val="0"/>
        <w:autoSpaceDE/>
        <w:autoSpaceDN/>
        <w:bidi w:val="0"/>
        <w:adjustRightInd/>
        <w:snapToGrid/>
        <w:spacing w:before="93" w:beforeLines="30"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取消合同中任何一项工作；</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(2）改变合同中任何一项工作的质量或其他特性；</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(3）改变合同中任何一项工作的施工时间；</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(4）为完成工程需要追加的额外工作。应当进行变更的工程内容，发包方与承包方根据实际情况书面确定变更工程项目内容和工程量清单。</w:t>
      </w:r>
    </w:p>
    <w:p>
      <w:pPr>
        <w:numPr>
          <w:ilvl w:val="0"/>
          <w:numId w:val="0"/>
        </w:numPr>
        <w:spacing w:before="93" w:beforeLines="30"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15.2 变更权在履行合同过程中，经发包人同意，监理人可按第15.3 款约定的变更程序向承包人作出变更指示，承包人应遵照执行。没有监理人的变更指示，承包人不得擅自变更。</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15.3变更程序</w:t>
      </w:r>
    </w:p>
    <w:p>
      <w:pPr>
        <w:numPr>
          <w:ilvl w:val="0"/>
          <w:numId w:val="0"/>
        </w:numPr>
        <w:spacing w:before="93" w:beforeLines="30"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15.3.1变更的提出</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left="0" w:leftChars="0"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在合同履行过程中，发生第15.1 款约定情形的，监理人应按照第15.3.3 项约定向承包人发出变更指示。</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left="0" w:leftChars="0"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(4）若承包人收到监理人的变更意向书后认为难以实施此项变更，应立即通知监理人，说明原因并附详细依据。监理人与承包人和发包人协商后确定撤销、改变或不改变原变更意向书。</w:t>
      </w:r>
    </w:p>
    <w:p>
      <w:pPr>
        <w:spacing w:line="500" w:lineRule="exact"/>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15.3.2变更估价</w:t>
      </w:r>
    </w:p>
    <w:p>
      <w:pPr>
        <w:spacing w:line="500" w:lineRule="exact"/>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pPr>
        <w:spacing w:line="500" w:lineRule="exact"/>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(2）变更工作影响工期的，承包人应提出调整工期的具体细节。监理人认为有必要时，可要求承包人提交要求提前或延长工期的施工进度计划及相应施工措施等详细资料。</w:t>
      </w:r>
    </w:p>
    <w:p>
      <w:pPr>
        <w:spacing w:line="500" w:lineRule="exact"/>
        <w:ind w:firstLine="482" w:firstLineChars="200"/>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(3）除专用合同条款对期限另有约定外，监理人收到承包人变更报价书后的14 天内，根据第15.4 款约定的估价原则确定变更价格。</w:t>
      </w:r>
    </w:p>
    <w:p>
      <w:pPr>
        <w:spacing w:before="93" w:beforeLines="30"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(1)承包人提交变更报价书的期限：</w:t>
      </w:r>
      <w:r>
        <w:rPr>
          <w:rFonts w:hint="eastAsia" w:ascii="宋体" w:hAnsi="宋体" w:eastAsia="宋体" w:cs="宋体"/>
          <w:color w:val="auto"/>
          <w:sz w:val="24"/>
          <w:szCs w:val="24"/>
          <w:u w:val="single"/>
        </w:rPr>
        <w:t>按政府工程变更报批程序办理</w:t>
      </w:r>
      <w:r>
        <w:rPr>
          <w:rFonts w:hint="eastAsia" w:ascii="宋体" w:hAnsi="宋体" w:eastAsia="宋体" w:cs="宋体"/>
          <w:color w:val="auto"/>
          <w:sz w:val="24"/>
          <w:szCs w:val="24"/>
        </w:rPr>
        <w:t>。</w:t>
      </w:r>
    </w:p>
    <w:p>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(3)监理人商定或确定变更价格的期限：</w:t>
      </w:r>
      <w:r>
        <w:rPr>
          <w:rFonts w:hint="eastAsia" w:ascii="宋体" w:hAnsi="宋体" w:eastAsia="宋体" w:cs="宋体"/>
          <w:color w:val="auto"/>
          <w:sz w:val="24"/>
          <w:szCs w:val="24"/>
          <w:u w:val="single"/>
        </w:rPr>
        <w:t>按政府工程变更报批程序办理</w:t>
      </w:r>
      <w:r>
        <w:rPr>
          <w:rFonts w:hint="eastAsia" w:ascii="宋体" w:hAnsi="宋体" w:eastAsia="宋体" w:cs="宋体"/>
          <w:color w:val="auto"/>
          <w:sz w:val="24"/>
          <w:szCs w:val="24"/>
        </w:rPr>
        <w:t>。</w:t>
      </w:r>
    </w:p>
    <w:p>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(4)收到变更指示后，如承包人未在规定的期限内提交变更报价书的，监理人可自行决定是否调整合同价款以及如果监理人决定调整合同价款时，相应调整的具体金额，并报发包人审批后确定。</w:t>
      </w:r>
    </w:p>
    <w:p>
      <w:pPr>
        <w:spacing w:line="500" w:lineRule="exact"/>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15.3.3 变更指示</w:t>
      </w:r>
    </w:p>
    <w:p>
      <w:pPr>
        <w:spacing w:line="500" w:lineRule="exact"/>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(l）变更指示只能由监理人发出。</w:t>
      </w:r>
    </w:p>
    <w:p>
      <w:pPr>
        <w:spacing w:line="500" w:lineRule="exact"/>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(2）变更指示应说明变更的目的、范围、变更内容以及变更的工程量及其进度和技术要求，并附有关图纸和文件。承包人收到变更指示后，应按变更指示进行变更工作。</w:t>
      </w:r>
    </w:p>
    <w:p>
      <w:pPr>
        <w:spacing w:line="500" w:lineRule="exact"/>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承包人变更或增加工程量的，应向发包人提供工程量及其他材料清单，报发包人和监理人确认无异议后进行变更增加。15.4变更的估价原则除专用合同条款另有约定外，因变更引起的价格调整按照本款约定处理。</w:t>
      </w:r>
    </w:p>
    <w:p>
      <w:pPr>
        <w:spacing w:line="500" w:lineRule="exact"/>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15.4.1 已标价工程量清单中有适用于变更工作的子目的，采用该子目的单价。</w:t>
      </w:r>
    </w:p>
    <w:p>
      <w:pPr>
        <w:keepNext/>
        <w:keepLines/>
        <w:spacing w:line="500" w:lineRule="exact"/>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15.4.2 已标价工程量清单中无适用于变更工作的子目，但有类似子目的，可在合理范围内参照类似子目的单价，由监理人和发包人确定变更工作的单价。</w:t>
      </w:r>
    </w:p>
    <w:p>
      <w:pPr>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15.4.3 已标价工程量清单中无适用或类似子目的单价，可按照成本加利润的原则，由监理人和发包人确定变更工作的单价。</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3.5款商定或确定变更措施项目的费用。</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15.4.5合同协议书约定采用单价合同形式时，非承包人原因引起已标价工程量清单中列明的工程量发生增减，</w:t>
      </w:r>
      <w:r>
        <w:rPr>
          <w:rFonts w:hint="eastAsia" w:ascii="宋体" w:hAnsi="宋体" w:eastAsia="宋体" w:cs="宋体"/>
          <w:bCs/>
          <w:color w:val="auto"/>
          <w:sz w:val="24"/>
          <w:szCs w:val="24"/>
        </w:rPr>
        <w:t>按政府工程变更报批程序办理。</w:t>
      </w:r>
    </w:p>
    <w:p>
      <w:pPr>
        <w:spacing w:line="360" w:lineRule="auto"/>
        <w:ind w:firstLine="480" w:firstLineChars="200"/>
        <w:outlineLvl w:val="9"/>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15.4.6因变更引起价格调整的其他处理方式：</w:t>
      </w:r>
      <w:r>
        <w:rPr>
          <w:rFonts w:hint="eastAsia" w:ascii="宋体" w:hAnsi="宋体" w:eastAsia="宋体" w:cs="宋体"/>
          <w:b/>
          <w:bCs/>
          <w:color w:val="auto"/>
          <w:sz w:val="24"/>
          <w:szCs w:val="24"/>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15.5承包人的合理化建议</w:t>
      </w:r>
    </w:p>
    <w:p>
      <w:pPr>
        <w:keepNext/>
        <w:keepLines/>
        <w:spacing w:line="500" w:lineRule="exact"/>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15.5.2对承包人提出合理化建议的奖励方法：</w:t>
      </w:r>
      <w:r>
        <w:rPr>
          <w:rFonts w:hint="eastAsia" w:ascii="宋体" w:hAnsi="宋体" w:eastAsia="宋体" w:cs="宋体"/>
          <w:color w:val="auto"/>
          <w:sz w:val="24"/>
          <w:szCs w:val="24"/>
          <w:u w:val="single"/>
        </w:rPr>
        <w:t>无</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15.8暂估价</w:t>
      </w:r>
    </w:p>
    <w:p>
      <w:pPr>
        <w:spacing w:line="5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pPr>
        <w:spacing w:line="5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(1)在任何采购工作启动前，承包人应当提前至少</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天内给予批准或者提出修改意见。承包人应当严格按照经过发包人批准的采购工作计划开展采购工作。</w:t>
      </w:r>
    </w:p>
    <w:p>
      <w:pPr>
        <w:spacing w:line="5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(2)承包人应当在发出磋商公告(或者资格预审公告或者邀请书)、资格预审文件和磋商文件前至少</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天，分别将相关文件通过监理人报请发包人审批，发包人应当在监理人收到承包人报送的相关文件后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经发包人批准的相关文件，由承包人负责誊清整理并准备出开展实际采购工作所需要的份数，通过监理人报发包人核查并加盖发包人印章，发包人在相关文件上加盖印章只表明相关文件经过发包人审核批准。最终发出的文件应当分别报送一份给发包人和监理人备查。</w:t>
      </w:r>
    </w:p>
    <w:p>
      <w:pPr>
        <w:spacing w:line="5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5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5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(5)设有采购控制价的，承包人应当在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磋商文件。</w:t>
      </w:r>
    </w:p>
    <w:p>
      <w:pPr>
        <w:spacing w:line="5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5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(7)承包人与专业分包人或者专项供应商订立合同前</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天，应当将准备用于正式签订的合同文件通过监理人报发包人审核，发包人应当在监理人收到相关文件后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天内给予批准或者提出修改意见，承包人应当按照发包人批准的合同文件签订相关合同，合同订立后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天内，承包人应当将其中的两份副本报送监理人，其中一份由监理人报发包人留存。</w:t>
      </w:r>
    </w:p>
    <w:p>
      <w:pPr>
        <w:spacing w:line="5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(8)发包人对承包人报送文件进行审批或提出的修改意见应当合理，并符合现行有关法律法规的规定。</w:t>
      </w:r>
    </w:p>
    <w:p>
      <w:pPr>
        <w:spacing w:line="5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540" w:lineRule="exact"/>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15.8.2发包人在工程量清单中给定暂估价的材料和工程设备不属于依法必须采购的范围或未达到规定的规模标准的，按照下列约定：</w:t>
      </w:r>
      <w:r>
        <w:rPr>
          <w:rFonts w:hint="eastAsia" w:ascii="宋体" w:hAnsi="宋体" w:eastAsia="宋体" w:cs="宋体"/>
          <w:b/>
          <w:color w:val="auto"/>
          <w:sz w:val="24"/>
          <w:szCs w:val="24"/>
          <w:u w:val="single"/>
        </w:rPr>
        <w:t>磋商文件给定暂估价的材料、工程设备和暂估清单综合单价的清单项目实施时由发包方与承包方共同考察，确定材料设备品牌、规格及价格，由承包方负责采购和实施</w:t>
      </w: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结算时按发包方签证价格进行调整</w:t>
      </w:r>
      <w:r>
        <w:rPr>
          <w:rFonts w:hint="eastAsia" w:ascii="宋体" w:hAnsi="宋体" w:eastAsia="宋体" w:cs="宋体"/>
          <w:color w:val="auto"/>
          <w:sz w:val="24"/>
          <w:szCs w:val="24"/>
          <w:u w:val="single"/>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15.8.3发包人在工程量清单中给定暂估价的专业工程不属于依法必须采购的范围或者未达到依法必须采购的规模标准的，按照下列约定：</w:t>
      </w:r>
      <w:r>
        <w:rPr>
          <w:rFonts w:hint="eastAsia" w:ascii="宋体" w:hAnsi="宋体" w:eastAsia="宋体" w:cs="宋体"/>
          <w:b/>
          <w:color w:val="auto"/>
          <w:sz w:val="24"/>
          <w:szCs w:val="24"/>
          <w:u w:val="single"/>
        </w:rPr>
        <w:t xml:space="preserve">           /            </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16.价格调整</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16.1物价波动引起的价格调整</w:t>
      </w:r>
      <w:r>
        <w:rPr>
          <w:rFonts w:hint="eastAsia" w:ascii="宋体" w:hAnsi="宋体" w:eastAsia="宋体" w:cs="宋体"/>
          <w:b/>
          <w:bCs/>
          <w:color w:val="auto"/>
          <w:sz w:val="24"/>
          <w:szCs w:val="24"/>
          <w:u w:val="single"/>
          <w:lang w:val="en-US" w:eastAsia="zh-CN"/>
        </w:rPr>
        <w:t>不调整</w:t>
      </w:r>
      <w:r>
        <w:rPr>
          <w:rFonts w:hint="eastAsia" w:ascii="宋体" w:hAnsi="宋体" w:eastAsia="宋体" w:cs="宋体"/>
          <w:b/>
          <w:bCs/>
          <w:color w:val="auto"/>
          <w:sz w:val="24"/>
          <w:szCs w:val="24"/>
          <w:lang w:val="en-US" w:eastAsia="zh-CN"/>
        </w:rPr>
        <w:t xml:space="preserve">  </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17.计量与支付</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17.1计量</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17.1.2计量方法</w:t>
      </w:r>
    </w:p>
    <w:p>
      <w:pPr>
        <w:spacing w:before="62" w:beforeLines="20" w:after="62" w:afterLines="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工程量计算规则执行《建设工程工程量清单计价规范》（GB50500-2013）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《山东省建设工程工程量清单计价规则》或其适用的修订版本。除合同另有约定外，承包人实际完成的工程量按约定的工程量计算规则和发包人与承包人共同确认的图纸进行计量。</w:t>
      </w:r>
    </w:p>
    <w:p>
      <w:pPr>
        <w:spacing w:before="62" w:beforeLines="20" w:after="62" w:afterLines="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17.1.3计量周期</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(1)本合同的计量周期为月，每月</w:t>
      </w:r>
      <w:r>
        <w:rPr>
          <w:rFonts w:hint="eastAsia" w:ascii="宋体" w:hAnsi="宋体" w:eastAsia="宋体" w:cs="宋体"/>
          <w:color w:val="auto"/>
          <w:sz w:val="24"/>
          <w:szCs w:val="24"/>
          <w:u w:val="single"/>
        </w:rPr>
        <w:t xml:space="preserve"> 26 </w:t>
      </w:r>
      <w:r>
        <w:rPr>
          <w:rFonts w:hint="eastAsia" w:ascii="宋体" w:hAnsi="宋体" w:eastAsia="宋体" w:cs="宋体"/>
          <w:color w:val="auto"/>
          <w:sz w:val="24"/>
          <w:szCs w:val="24"/>
        </w:rPr>
        <w:t>日为当月计量截止日期(不含当日)和下月计量起始日期(含当日)。</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(2)本合同</w:t>
      </w:r>
      <w:r>
        <w:rPr>
          <w:rFonts w:hint="eastAsia" w:ascii="宋体" w:hAnsi="宋体" w:eastAsia="宋体" w:cs="宋体"/>
          <w:color w:val="auto"/>
          <w:sz w:val="24"/>
          <w:szCs w:val="24"/>
          <w:u w:val="single"/>
        </w:rPr>
        <w:t>执行</w:t>
      </w:r>
      <w:r>
        <w:rPr>
          <w:rFonts w:hint="eastAsia" w:ascii="宋体" w:hAnsi="宋体" w:eastAsia="宋体" w:cs="宋体"/>
          <w:color w:val="auto"/>
          <w:sz w:val="24"/>
          <w:szCs w:val="24"/>
        </w:rPr>
        <w:t>通用合同条款本项约定的单价子目计量。总价子目计量方法按专用合同条款第17.1.5项总价子目的计量——</w:t>
      </w:r>
      <w:r>
        <w:rPr>
          <w:rFonts w:hint="eastAsia" w:ascii="宋体" w:hAnsi="宋体" w:eastAsia="宋体" w:cs="宋体"/>
          <w:color w:val="auto"/>
          <w:sz w:val="24"/>
          <w:szCs w:val="24"/>
          <w:u w:val="single"/>
        </w:rPr>
        <w:t>按实际完成工程量计量</w:t>
      </w:r>
      <w:r>
        <w:rPr>
          <w:rFonts w:hint="eastAsia" w:ascii="宋体" w:hAnsi="宋体" w:eastAsia="宋体" w:cs="宋体"/>
          <w:color w:val="auto"/>
          <w:sz w:val="24"/>
          <w:szCs w:val="24"/>
        </w:rPr>
        <w:t>。</w:t>
      </w:r>
    </w:p>
    <w:p>
      <w:pPr>
        <w:spacing w:before="62" w:beforeLines="20" w:after="62" w:afterLines="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17.1.5总价子目的计量一按实际完成工程量计量</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(1)总价子目的价格调整方法：</w:t>
      </w:r>
      <w:r>
        <w:rPr>
          <w:rFonts w:hint="eastAsia" w:ascii="宋体" w:hAnsi="宋体" w:eastAsia="宋体" w:cs="宋体"/>
          <w:color w:val="auto"/>
          <w:sz w:val="24"/>
          <w:szCs w:val="24"/>
          <w:u w:val="single"/>
        </w:rPr>
        <w:t>执行通用条款</w:t>
      </w:r>
      <w:r>
        <w:rPr>
          <w:rFonts w:hint="eastAsia" w:ascii="宋体" w:hAnsi="宋体" w:eastAsia="宋体" w:cs="宋体"/>
          <w:color w:val="auto"/>
          <w:sz w:val="24"/>
          <w:szCs w:val="24"/>
        </w:rPr>
        <w:t>。总价子目的计量和支付应以总价为基础，对承包人实际完成的工程量进行计量，是进行工程目标管理和控制进度款支付的依据。</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监理人应在收到承包人提交的工程量报表后的7天内进行复核，除不可抗力外，监理人未在约定时间内复核的，承包人提交的工程量报表中的工程量经发包人确认无异议后视为承包人实际完成的工程量，可据此计算工程价款。</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(5)除按照第15条约定的变更外，在竣工结算时总价子目的工程量不应当重新计量，签约合同价所基于的工程量即是用于竣工结算的最终工程量。</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17.2预付款</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本项目无预付款。</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17.3工程进度付款</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17.3.2进度付款申请单</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进度付款申请单的内容：</w:t>
      </w:r>
      <w:r>
        <w:rPr>
          <w:rFonts w:hint="eastAsia" w:ascii="宋体" w:hAnsi="宋体" w:eastAsia="宋体" w:cs="宋体"/>
          <w:color w:val="auto"/>
          <w:sz w:val="24"/>
          <w:szCs w:val="24"/>
          <w:u w:val="single"/>
        </w:rPr>
        <w:t>按监理人统一要求办理</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17.3.3进度付款证书和支付时间</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(2)承包人应当按通用合同条款第23.1(1)目的约定，在最终付款期限到期后28天内，向监理人递交索赔意向通知书，说明有权按本款约定的下列标准和方法计算的逾期付款违约金。</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逾期付款违约金的计算标准为</w:t>
      </w:r>
      <w:r>
        <w:rPr>
          <w:rFonts w:hint="eastAsia" w:ascii="宋体" w:hAnsi="宋体" w:eastAsia="宋体" w:cs="宋体"/>
          <w:color w:val="auto"/>
          <w:sz w:val="24"/>
          <w:szCs w:val="24"/>
          <w:u w:val="single"/>
        </w:rPr>
        <w:t>无逾期付款违约金</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逾期付款违约金的计算方法为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60" w:lineRule="auto"/>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（4）进度付款涉及政府性资金的支付方法：</w:t>
      </w:r>
    </w:p>
    <w:p>
      <w:pPr>
        <w:spacing w:line="540" w:lineRule="exact"/>
        <w:ind w:firstLine="482" w:firstLineChars="200"/>
        <w:outlineLvl w:val="9"/>
        <w:rPr>
          <w:rFonts w:hint="eastAsia" w:ascii="宋体" w:hAnsi="宋体" w:eastAsia="宋体" w:cs="宋体"/>
          <w:b/>
          <w:bCs/>
          <w:color w:val="auto"/>
          <w:sz w:val="24"/>
          <w:szCs w:val="24"/>
          <w:u w:val="single"/>
          <w:lang w:val="en-US" w:eastAsia="zh-CN"/>
        </w:rPr>
      </w:pPr>
      <w:r>
        <w:rPr>
          <w:rFonts w:hint="eastAsia" w:ascii="宋体" w:hAnsi="宋体" w:cs="宋体"/>
          <w:b/>
          <w:bCs/>
          <w:color w:val="auto"/>
          <w:sz w:val="24"/>
          <w:szCs w:val="24"/>
          <w:u w:val="single"/>
          <w:lang w:eastAsia="zh-CN"/>
        </w:rPr>
        <w:t>本项目无预付款，工程竣工验收合格后付至合同总价款的60%，结算审计完成后，付至审定价款的97%，剩余3%作为质量保证金，缺陷责任期满后无质量问题无息付清。工程最终结算造价以审计部门审计结果为准。</w:t>
      </w:r>
    </w:p>
    <w:p>
      <w:pPr>
        <w:spacing w:line="540" w:lineRule="exact"/>
        <w:ind w:firstLine="482" w:firstLineChars="200"/>
        <w:outlineLvl w:val="9"/>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为确保工程保质保量按期完工，本项目工程款承包人必须专款专用，如发现承包人挪用工程款现象， 由此造成的一切损失均有承包人承担。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17.3.5临时付款证书</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确认无异议后，由监理人向承包人出具临时付款证书。发包人应当在监理人出具临时付款证书后28天内，将临时付款证书中确定的应付金额支付给承包人。</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二期进度付款证书中。经过进一步努力，承包人仍有异议的，按合同条款第24条的约定办理。</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17.4质量保证金</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17.4.1质量保证金金额：</w:t>
      </w:r>
      <w:r>
        <w:rPr>
          <w:rFonts w:hint="eastAsia" w:ascii="宋体" w:hAnsi="宋体" w:eastAsia="宋体" w:cs="宋体"/>
          <w:color w:val="auto"/>
          <w:sz w:val="24"/>
          <w:szCs w:val="24"/>
          <w:u w:val="single"/>
        </w:rPr>
        <w:t>审定价款的3%</w:t>
      </w:r>
      <w:r>
        <w:rPr>
          <w:rFonts w:hint="eastAsia" w:ascii="宋体" w:hAnsi="宋体" w:eastAsia="宋体" w:cs="宋体"/>
          <w:b/>
          <w:bCs/>
          <w:color w:val="auto"/>
          <w:sz w:val="24"/>
          <w:szCs w:val="24"/>
          <w:u w:val="single"/>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17.4.2质量保证金的扣除方法：</w:t>
      </w:r>
      <w:r>
        <w:rPr>
          <w:rFonts w:hint="eastAsia" w:ascii="宋体" w:hAnsi="宋体" w:eastAsia="宋体" w:cs="宋体"/>
          <w:color w:val="auto"/>
          <w:sz w:val="24"/>
          <w:szCs w:val="24"/>
          <w:u w:val="single"/>
        </w:rPr>
        <w:t>结算审核完成后扣留审定价款的3%</w:t>
      </w:r>
      <w:r>
        <w:rPr>
          <w:rFonts w:hint="eastAsia" w:ascii="宋体" w:hAnsi="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17.5竣工结算</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17.5.1竣工付款申请单</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承包人提交竣工付款申请单的期限：</w:t>
      </w:r>
      <w:r>
        <w:rPr>
          <w:rFonts w:hint="eastAsia" w:ascii="宋体" w:hAnsi="宋体" w:eastAsia="宋体" w:cs="宋体"/>
          <w:color w:val="auto"/>
          <w:sz w:val="24"/>
          <w:szCs w:val="24"/>
          <w:u w:val="single"/>
        </w:rPr>
        <w:t>竣工验收合格后28天内</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竣工付款申请单的内容：</w:t>
      </w:r>
      <w:r>
        <w:rPr>
          <w:rFonts w:hint="eastAsia" w:ascii="宋体" w:hAnsi="宋体" w:eastAsia="宋体" w:cs="宋体"/>
          <w:color w:val="auto"/>
          <w:sz w:val="24"/>
          <w:szCs w:val="24"/>
          <w:u w:val="single"/>
        </w:rPr>
        <w:t>竣工结算合同总价、已支付的工程价款、应扣留的质量保证金、应支付的竣工付款金额等</w:t>
      </w:r>
      <w:r>
        <w:rPr>
          <w:rFonts w:hint="eastAsia" w:ascii="宋体" w:hAnsi="宋体" w:eastAsia="宋体" w:cs="宋体"/>
          <w:color w:val="auto"/>
          <w:sz w:val="24"/>
          <w:szCs w:val="24"/>
        </w:rPr>
        <w:t>。</w:t>
      </w:r>
    </w:p>
    <w:p>
      <w:pPr>
        <w:spacing w:line="360" w:lineRule="auto"/>
        <w:ind w:left="239" w:leftChars="114"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不管通用合同条款17.5.2项如何约定，除承包人存在违约事实外，发包人和承包人应当在监理人颁发(出具)工程接收证书后56天内办理竣工结算和竣工付款手续。</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17.6最终结清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17.6.1最终结清申请单</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承包人提交最终结清申请单的期限：</w:t>
      </w:r>
      <w:r>
        <w:rPr>
          <w:rFonts w:hint="eastAsia" w:ascii="宋体" w:hAnsi="宋体" w:eastAsia="宋体" w:cs="宋体"/>
          <w:color w:val="auto"/>
          <w:sz w:val="24"/>
          <w:szCs w:val="24"/>
          <w:u w:val="single"/>
        </w:rPr>
        <w:t>缺陷责任期终止证书签发后14天内</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18.竣工验收</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18.2竣工验收申请报告</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4"/>
          <w:szCs w:val="24"/>
          <w:u w:val="single"/>
        </w:rPr>
        <w:t>按工程所在地建设行政主管部门和(或)城市建设档案管理机构对竣工验收资料内容的规定</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份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竣工验收资料的费用支付方式：</w:t>
      </w:r>
      <w:r>
        <w:rPr>
          <w:rFonts w:hint="eastAsia" w:ascii="宋体" w:hAnsi="宋体" w:eastAsia="宋体" w:cs="宋体"/>
          <w:color w:val="auto"/>
          <w:sz w:val="24"/>
          <w:szCs w:val="24"/>
          <w:u w:val="single"/>
        </w:rPr>
        <w:t>由承包人自行承担</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18.3验收</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18.3.5经验收合格的工程，实际竣工日期为承包人按照第18.2款提交竣工验收申请报告或按照本款重新提交竣工验收申请报告的日期(以两者中时间在后者为准)。</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18.5施工期运行</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18.5.1需要施工期运行的单位工程或设备安装工程：</w:t>
      </w:r>
      <w:r>
        <w:rPr>
          <w:rFonts w:hint="eastAsia" w:ascii="宋体" w:hAnsi="宋体" w:eastAsia="宋体" w:cs="宋体"/>
          <w:color w:val="auto"/>
          <w:sz w:val="24"/>
          <w:szCs w:val="24"/>
          <w:u w:val="single"/>
        </w:rPr>
        <w:t>根据实际情况按发包人要求</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18.6试运行</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18.6.1工程及工程设备试运行的组织与费用承担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（1）工程设备安装具备单机无负荷试运行条件，由承包人组织试运行，费用由承包人承担。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（2）工程设备安装具备无负荷联动试运行条件，由发包人组织试运行，费用由发包人承担。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（3）投料试运行应在工程竣工验收后由发包人负责，如发包人要求在工程竣工验收前进行或需要承包人配合时，承包人应予配合。</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18.7竣工清场</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18.7.1监理人颁发(出具)工程接收证书后，承包人负责按照通用合同条款本项约定的要求对施工场地进行清理并承担相关费用，直至监理人检验合格为止。</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18.8施工队伍的撤离</w:t>
      </w:r>
    </w:p>
    <w:p>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承包人按照通用合同条款第18.8款约定撤离施工场地(现场)时，监理人和承包人应当办理永久工程和施工场地移交手续，移交手续以书面方式出具，发包人、监理人和承包人共同签认。</w:t>
      </w:r>
    </w:p>
    <w:p>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缺陷责任期满时，承包人可以继续在施工场地保留的人员和施工设备以及最终撤离的期限：</w:t>
      </w:r>
      <w:r>
        <w:rPr>
          <w:rFonts w:hint="eastAsia" w:ascii="宋体" w:hAnsi="宋体" w:eastAsia="宋体" w:cs="宋体"/>
          <w:color w:val="auto"/>
          <w:sz w:val="24"/>
          <w:szCs w:val="24"/>
          <w:u w:val="single"/>
        </w:rPr>
        <w:t>工程竣工并经发包人组织验收合格后，大型施工设备应撤离施工场地；缺陷责任期满时，承包人的人员和施工设备应全部撤离施工场地</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18.9中间验收</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本工程需要进行中间验收的部位如下：</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4"/>
          <w:szCs w:val="24"/>
          <w:u w:val="single"/>
        </w:rPr>
        <w:t>监理人要求的</w:t>
      </w:r>
      <w:r>
        <w:rPr>
          <w:rFonts w:hint="eastAsia" w:ascii="宋体" w:hAnsi="宋体" w:eastAsia="宋体" w:cs="宋体"/>
          <w:color w:val="auto"/>
          <w:sz w:val="24"/>
          <w:szCs w:val="24"/>
        </w:rPr>
        <w:t>期限内进行修改后重新验收。</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经监理人验收后工程质量符合约定的验收标准，但验收24小时后监理人仍不在验收记录上签字的，视为监理人已经认可验收记录，承包人可继续施工。</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19.缺陷责任与保修责任</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19.7保修责任</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(1)工程质量保修范围：</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(2)工程质量保修期限：</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(3)工程质量保修责任：</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20.保险</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20.1工程保险</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本工程</w:t>
      </w:r>
      <w:r>
        <w:rPr>
          <w:rFonts w:hint="eastAsia" w:ascii="宋体" w:hAnsi="宋体" w:eastAsia="宋体" w:cs="宋体"/>
          <w:color w:val="auto"/>
          <w:sz w:val="24"/>
          <w:szCs w:val="24"/>
          <w:u w:val="single"/>
        </w:rPr>
        <w:t xml:space="preserve"> 必须办理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工程保险。投保工程保险时，险种为：</w:t>
      </w:r>
      <w:r>
        <w:rPr>
          <w:rFonts w:hint="eastAsia" w:ascii="宋体" w:hAnsi="宋体" w:eastAsia="宋体" w:cs="宋体"/>
          <w:color w:val="auto"/>
          <w:sz w:val="24"/>
          <w:szCs w:val="24"/>
          <w:u w:val="single"/>
        </w:rPr>
        <w:t>建设工程保险</w:t>
      </w:r>
      <w:r>
        <w:rPr>
          <w:rFonts w:hint="eastAsia" w:ascii="宋体" w:hAnsi="宋体" w:eastAsia="宋体" w:cs="宋体"/>
          <w:color w:val="auto"/>
          <w:sz w:val="24"/>
          <w:szCs w:val="24"/>
        </w:rPr>
        <w:t>，并符合以下约定。</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(1)投保人：</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(2)投保内容：</w:t>
      </w:r>
      <w:r>
        <w:rPr>
          <w:rFonts w:hint="eastAsia" w:ascii="宋体" w:hAnsi="宋体" w:eastAsia="宋体" w:cs="宋体"/>
          <w:color w:val="auto"/>
          <w:sz w:val="24"/>
          <w:szCs w:val="24"/>
          <w:u w:val="single"/>
        </w:rPr>
        <w:t xml:space="preserve">     建设工程保险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(3)保险费率：</w:t>
      </w:r>
      <w:r>
        <w:rPr>
          <w:rFonts w:hint="eastAsia" w:ascii="宋体" w:hAnsi="宋体" w:eastAsia="宋体" w:cs="宋体"/>
          <w:color w:val="auto"/>
          <w:sz w:val="24"/>
          <w:szCs w:val="24"/>
          <w:u w:val="single"/>
        </w:rPr>
        <w:t>由投保人与合同双方同意的保险人商定</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(4)保险金额：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(5)保险期限：</w:t>
      </w:r>
      <w:r>
        <w:rPr>
          <w:rFonts w:hint="eastAsia" w:ascii="宋体" w:hAnsi="宋体" w:eastAsia="宋体" w:cs="宋体"/>
          <w:color w:val="auto"/>
          <w:sz w:val="24"/>
          <w:szCs w:val="24"/>
          <w:u w:val="single"/>
        </w:rPr>
        <w:t xml:space="preserve">   全部施工周期内        </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20.4第三者责任险</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20.4.2保险金额：</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，保险费率由承包人与发包人同意的保险人商定，相关保险费由</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承担。</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20.5其他保险</w:t>
      </w:r>
    </w:p>
    <w:p>
      <w:pPr>
        <w:spacing w:line="500" w:lineRule="exact"/>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承包人应为其施工设备、进场材料和工程设备等办理的保险，险种：</w:t>
      </w:r>
      <w:r>
        <w:rPr>
          <w:rFonts w:hint="eastAsia" w:ascii="宋体" w:hAnsi="宋体" w:eastAsia="宋体" w:cs="宋体"/>
          <w:color w:val="auto"/>
          <w:sz w:val="24"/>
          <w:szCs w:val="24"/>
          <w:u w:val="single"/>
        </w:rPr>
        <w:t xml:space="preserve"> 执行通用条款   </w:t>
      </w:r>
      <w:r>
        <w:rPr>
          <w:rFonts w:hint="eastAsia" w:ascii="宋体" w:hAnsi="宋体" w:eastAsia="宋体" w:cs="宋体"/>
          <w:color w:val="auto"/>
          <w:sz w:val="24"/>
          <w:szCs w:val="24"/>
        </w:rPr>
        <w:t>，保险金额：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。承包人应为施工现场施工人员办理人身意外险，并将保险人员花名单报送发包人备案。</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20.6对各项保险的一般要求</w:t>
      </w:r>
    </w:p>
    <w:p>
      <w:pPr>
        <w:spacing w:before="93" w:beforeLines="30" w:after="93" w:afterLines="30"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20.6.1保险凭证</w:t>
      </w:r>
    </w:p>
    <w:p>
      <w:pPr>
        <w:spacing w:line="360" w:lineRule="auto"/>
        <w:ind w:firstLine="240" w:firstLineChars="1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承包人向发包人提交各项保险生效的证据和保险单副本的期限：</w:t>
      </w:r>
      <w:r>
        <w:rPr>
          <w:rFonts w:hint="eastAsia" w:ascii="宋体" w:hAnsi="宋体" w:eastAsia="宋体" w:cs="宋体"/>
          <w:color w:val="auto"/>
          <w:sz w:val="24"/>
          <w:szCs w:val="24"/>
          <w:u w:val="single"/>
        </w:rPr>
        <w:t>投保后3日内。并且将保险凭据复印件加盖公章报送发包人。</w:t>
      </w:r>
    </w:p>
    <w:p>
      <w:pPr>
        <w:spacing w:before="93" w:beforeLines="30" w:after="93" w:afterLines="30"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20.6.4保险金不足的补偿</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保险金不足以补偿损失时，承包人和发包人负责补偿的责任分摊：</w:t>
      </w:r>
      <w:r>
        <w:rPr>
          <w:rFonts w:hint="eastAsia" w:ascii="宋体" w:hAnsi="宋体" w:eastAsia="宋体" w:cs="宋体"/>
          <w:color w:val="auto"/>
          <w:sz w:val="24"/>
          <w:szCs w:val="24"/>
          <w:u w:val="single"/>
        </w:rPr>
        <w:t xml:space="preserve"> 全部由责任方承担   </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21.不可抗力</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21.1不可抗力的确认</w:t>
      </w:r>
    </w:p>
    <w:p>
      <w:pPr>
        <w:spacing w:line="360" w:lineRule="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21.1.1通用合同条款第21.1.1项约定的不可抗力以外的其他情形：</w:t>
      </w:r>
      <w:r>
        <w:rPr>
          <w:rFonts w:hint="eastAsia" w:ascii="宋体" w:hAnsi="宋体" w:eastAsia="宋体" w:cs="宋体"/>
          <w:color w:val="auto"/>
          <w:sz w:val="24"/>
          <w:szCs w:val="24"/>
          <w:u w:val="single"/>
        </w:rPr>
        <w:t>按国家有关部门认定的标准及政策性停工（如重污染、环保部门下达的正式通知及文件等）</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不可抗力的等级范围约定：</w:t>
      </w:r>
      <w:r>
        <w:rPr>
          <w:rFonts w:hint="eastAsia" w:ascii="宋体" w:hAnsi="宋体" w:eastAsia="宋体" w:cs="宋体"/>
          <w:color w:val="auto"/>
          <w:sz w:val="24"/>
          <w:szCs w:val="24"/>
          <w:u w:val="single"/>
        </w:rPr>
        <w:t>发包人与承包人另行协商约定。</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21.3不可抗力后果及其处理</w:t>
      </w:r>
    </w:p>
    <w:p>
      <w:pPr>
        <w:spacing w:before="93" w:beforeLines="30" w:after="93" w:afterLines="30"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21.3.1不可抗力造成损害的责任</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不可抗力导致的人员伤亡、财产损失、费用增加和(或)工期延误等后果，由合同双方按通用合同条款第21.3.1项约定的原则承担。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因不可抗力及政策性停工影响承包人履行合同约定的义务，已经引起或将引起工期延误的，可顺延工期。不可抗力或政策性停工，发包方不承担任何费用。</w:t>
      </w:r>
    </w:p>
    <w:p>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21.3.2违约责任</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24.争议的解决</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24.1争议的解决方式</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4"/>
          <w:szCs w:val="24"/>
          <w:u w:val="single"/>
        </w:rPr>
        <w:t>贰</w:t>
      </w:r>
      <w:r>
        <w:rPr>
          <w:rFonts w:hint="eastAsia" w:ascii="宋体" w:hAnsi="宋体" w:eastAsia="宋体" w:cs="宋体"/>
          <w:color w:val="auto"/>
          <w:sz w:val="24"/>
          <w:szCs w:val="24"/>
        </w:rPr>
        <w:t>种方式解决：</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（壹）</w:t>
      </w:r>
      <w:r>
        <w:rPr>
          <w:rFonts w:hint="eastAsia" w:ascii="宋体" w:hAnsi="宋体" w:eastAsia="宋体" w:cs="宋体"/>
          <w:color w:val="auto"/>
          <w:sz w:val="24"/>
          <w:szCs w:val="24"/>
        </w:rPr>
        <w:t>提请仲裁委员会按照该会仲裁规则进行仲裁，仲裁裁决是终局的，对合同双方均有约束力。</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（贰）</w:t>
      </w:r>
      <w:r>
        <w:rPr>
          <w:rFonts w:hint="eastAsia" w:ascii="宋体" w:hAnsi="宋体" w:eastAsia="宋体" w:cs="宋体"/>
          <w:color w:val="auto"/>
          <w:sz w:val="24"/>
          <w:szCs w:val="24"/>
        </w:rPr>
        <w:t>向工程所在地人民法院提起诉讼。由此产生的诉讼费、律师费、鉴定费、审计费或评估费、调查取证费等由违约方承担。</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24.3争议评审</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24.3.4争议评审组邀请合同双方代表人和有关人员举行调查会的期限：</w:t>
      </w:r>
      <w:r>
        <w:rPr>
          <w:rFonts w:hint="eastAsia" w:ascii="宋体" w:hAnsi="宋体" w:eastAsia="宋体" w:cs="宋体"/>
          <w:color w:val="auto"/>
          <w:sz w:val="24"/>
          <w:szCs w:val="24"/>
          <w:u w:val="single"/>
        </w:rPr>
        <w:t>争议评审组在收到合同双方报告后的14天内。</w:t>
      </w:r>
    </w:p>
    <w:p>
      <w:pPr>
        <w:spacing w:line="360" w:lineRule="auto"/>
        <w:ind w:firstLine="480" w:firstLineChars="200"/>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24.3.5争议评审组在调查会后作出争议评审意见的期限：</w:t>
      </w:r>
      <w:r>
        <w:rPr>
          <w:rFonts w:hint="eastAsia" w:ascii="宋体" w:hAnsi="宋体" w:eastAsia="宋体" w:cs="宋体"/>
          <w:color w:val="auto"/>
          <w:sz w:val="24"/>
          <w:szCs w:val="24"/>
          <w:highlight w:val="none"/>
          <w:u w:val="single"/>
        </w:rPr>
        <w:t>在调查会结束后的14天内</w:t>
      </w:r>
      <w:r>
        <w:rPr>
          <w:rFonts w:hint="eastAsia" w:ascii="宋体" w:hAnsi="宋体" w:eastAsia="宋体" w:cs="宋体"/>
          <w:color w:val="auto"/>
          <w:sz w:val="24"/>
          <w:szCs w:val="24"/>
          <w:highlight w:val="none"/>
        </w:rPr>
        <w:t>。</w:t>
      </w:r>
      <w:bookmarkStart w:id="40" w:name="_Toc20772"/>
      <w:bookmarkStart w:id="41" w:name="_Toc456966899"/>
      <w:bookmarkStart w:id="42" w:name="_Toc1538"/>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25. 补充条款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rPr>
      </w:pPr>
      <w:r>
        <w:rPr>
          <w:rFonts w:hint="eastAsia"/>
          <w:color w:val="auto"/>
          <w:sz w:val="24"/>
          <w:szCs w:val="24"/>
        </w:rPr>
        <w:t>25.1施工期间的安全问题、地方关系或个体关系由施工单位自行解决。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rPr>
      </w:pPr>
      <w:r>
        <w:rPr>
          <w:rFonts w:hint="eastAsia"/>
          <w:color w:val="auto"/>
          <w:sz w:val="24"/>
          <w:szCs w:val="24"/>
        </w:rPr>
        <w:t>25.2承包人产生违约行为时除按照通用条款22.1条规定处理外，由承包人向发包人全额支付缴纳的履约保证金。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rPr>
      </w:pPr>
      <w:r>
        <w:rPr>
          <w:rFonts w:hint="eastAsia"/>
          <w:color w:val="auto"/>
          <w:sz w:val="24"/>
          <w:szCs w:val="24"/>
        </w:rPr>
        <w:t>25.3承包人应无条件接受发包人及监理单位的现场领导，并保持与工程其他专业队伍的严密配合对接，因拒绝现场领导，配合不足造成其他专业进度延误以及经济损失等情况，一切责任及损失概由承包人承担。</w:t>
      </w: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附件一：承包人提供的材料和工程设备一览表</w:t>
      </w:r>
    </w:p>
    <w:bookmarkEnd w:id="40"/>
    <w:bookmarkEnd w:id="41"/>
    <w:bookmarkEnd w:id="42"/>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承包人提供的材料和工程设备一览表</w:t>
      </w:r>
    </w:p>
    <w:p>
      <w:pPr>
        <w:spacing w:line="360" w:lineRule="auto"/>
        <w:rPr>
          <w:rFonts w:hint="eastAsia" w:ascii="宋体" w:hAnsi="宋体" w:eastAsia="宋体" w:cs="宋体"/>
          <w:color w:val="auto"/>
          <w:sz w:val="24"/>
          <w:szCs w:val="24"/>
        </w:rPr>
      </w:pPr>
    </w:p>
    <w:tbl>
      <w:tblPr>
        <w:tblStyle w:val="39"/>
        <w:tblW w:w="94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71"/>
        <w:gridCol w:w="1205"/>
        <w:gridCol w:w="716"/>
        <w:gridCol w:w="716"/>
        <w:gridCol w:w="716"/>
        <w:gridCol w:w="1050"/>
        <w:gridCol w:w="809"/>
        <w:gridCol w:w="1412"/>
        <w:gridCol w:w="9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97"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71"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20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1050"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809"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1412"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计划</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929"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371"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205"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050"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809"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412"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929"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r>
    </w:tbl>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附件二：发包人提供的材料和工程设备一览表</w:t>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发包人提供的材料和工程设备一览表</w:t>
      </w:r>
    </w:p>
    <w:p>
      <w:pPr>
        <w:spacing w:line="360" w:lineRule="auto"/>
        <w:jc w:val="center"/>
        <w:rPr>
          <w:rFonts w:hint="eastAsia" w:ascii="宋体" w:hAnsi="宋体" w:eastAsia="宋体" w:cs="宋体"/>
          <w:b/>
          <w:bCs/>
          <w:color w:val="auto"/>
          <w:sz w:val="24"/>
          <w:szCs w:val="24"/>
        </w:rPr>
      </w:pPr>
    </w:p>
    <w:tbl>
      <w:tblPr>
        <w:tblStyle w:val="39"/>
        <w:tblW w:w="102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485"/>
        <w:gridCol w:w="1303"/>
        <w:gridCol w:w="775"/>
        <w:gridCol w:w="775"/>
        <w:gridCol w:w="775"/>
        <w:gridCol w:w="1138"/>
        <w:gridCol w:w="1138"/>
        <w:gridCol w:w="1138"/>
        <w:gridCol w:w="1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8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303"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计划</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bl>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备注：除合同另有约定外，本表所列发包人供应材料和工程设备的数量不考虑施工损耗，施工损耗被认为已经包括在承包人的报价中。</w:t>
      </w:r>
    </w:p>
    <w:p>
      <w:pPr>
        <w:keepNext/>
        <w:keepLines/>
        <w:spacing w:line="360" w:lineRule="auto"/>
        <w:jc w:val="left"/>
        <w:outlineLvl w:val="9"/>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附件三：质量保修书格式</w:t>
      </w:r>
    </w:p>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工程质量保修书</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cs="宋体"/>
          <w:color w:val="auto"/>
          <w:sz w:val="24"/>
          <w:szCs w:val="24"/>
          <w:u w:val="single"/>
          <w:lang w:eastAsia="zh-CN"/>
        </w:rPr>
        <w:t>邹城市中心店镇人民政府</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发包人、承包人根据《中华人民共和国建筑法》、《建设工程质量管理条例》，经协商一致，对</w:t>
      </w:r>
      <w:r>
        <w:rPr>
          <w:rFonts w:hint="eastAsia" w:ascii="宋体" w:hAnsi="宋体" w:cs="宋体"/>
          <w:color w:val="auto"/>
          <w:sz w:val="24"/>
          <w:szCs w:val="24"/>
          <w:u w:val="single"/>
          <w:lang w:eastAsia="zh-CN"/>
        </w:rPr>
        <w:t>邹城市中心店镇乡村振兴路域(福美来内部路)环境提升工程</w:t>
      </w:r>
      <w:r>
        <w:rPr>
          <w:rFonts w:hint="eastAsia" w:ascii="宋体" w:hAnsi="宋体" w:eastAsia="宋体" w:cs="宋体"/>
          <w:color w:val="auto"/>
          <w:sz w:val="24"/>
          <w:szCs w:val="24"/>
        </w:rPr>
        <w:t>签订保修书。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一、工程保修范围和内容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承包人在保修期内，按照有关法律、法规、规章的管理规定和双方约定，承担本工程保修责任。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具体保修的内容，双方约定如下：</w:t>
      </w:r>
      <w:r>
        <w:rPr>
          <w:rFonts w:hint="eastAsia" w:ascii="宋体" w:hAnsi="宋体" w:eastAsia="宋体" w:cs="宋体"/>
          <w:color w:val="auto"/>
          <w:sz w:val="24"/>
          <w:szCs w:val="24"/>
          <w:highlight w:val="none"/>
          <w:u w:val="single"/>
        </w:rPr>
        <w:t>承包范围内的所有工程内容</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二、保修期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双方根据《建设工程质量管理条例》及有关规定，约定本工程的保修期如下：</w:t>
      </w:r>
      <w:r>
        <w:rPr>
          <w:rFonts w:hint="eastAsia" w:ascii="宋体" w:hAnsi="宋体" w:eastAsia="宋体" w:cs="宋体"/>
          <w:color w:val="auto"/>
          <w:sz w:val="24"/>
          <w:szCs w:val="24"/>
          <w:highlight w:val="none"/>
        </w:rPr>
        <w:t>全部工程施工为</w:t>
      </w:r>
      <w:r>
        <w:rPr>
          <w:rFonts w:hint="eastAsia" w:ascii="宋体" w:hAnsi="宋体" w:eastAsia="宋体" w:cs="宋体"/>
          <w:color w:val="auto"/>
          <w:sz w:val="24"/>
          <w:szCs w:val="24"/>
          <w:highlight w:val="none"/>
          <w:u w:val="single"/>
        </w:rPr>
        <w:t xml:space="preserve"> 二 </w:t>
      </w:r>
      <w:r>
        <w:rPr>
          <w:rFonts w:hint="eastAsia" w:ascii="宋体" w:hAnsi="宋体" w:eastAsia="宋体" w:cs="宋体"/>
          <w:color w:val="auto"/>
          <w:sz w:val="24"/>
          <w:szCs w:val="24"/>
          <w:highlight w:val="none"/>
        </w:rPr>
        <w:t>年；</w:t>
      </w:r>
    </w:p>
    <w:p>
      <w:pPr>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其他项目保修期限约定如下：</w:t>
      </w:r>
      <w:r>
        <w:rPr>
          <w:rFonts w:hint="eastAsia" w:ascii="宋体" w:hAnsi="宋体" w:eastAsia="宋体" w:cs="宋体"/>
          <w:color w:val="auto"/>
          <w:sz w:val="24"/>
          <w:szCs w:val="24"/>
          <w:u w:val="single"/>
        </w:rPr>
        <w:t xml:space="preserve">  其他未尽事项执行国家相关规定。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三、保修责任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1、属于责任范围、内容的项目，承包人应当在接到保修通知之日起7天内派人保修。承包人不在约定期限内派人保修的，发包人可以委托他人修理。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2、发生紧急抢修事故的，承包人在接到事故通知后，应当立即到达事故现场抢修。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四、保修费用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保修费用由造成质量缺陷的责任方承担。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五、其他</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双方约定的其他工程保修责任事项：</w:t>
      </w:r>
    </w:p>
    <w:p>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本工程保修书，由施工合同发包人、承包人双方在竣工验收前共同签署，作为施工合同附件，其有效期限至保修期满。</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发包人：(公章)                                   承包人： (公章)</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                                       法定地址：</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 (签字)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电子邮箱和微信：                                 电子邮箱和微信：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                                       邮政编码：</w:t>
      </w:r>
      <w:r>
        <w:rPr>
          <w:rFonts w:hint="eastAsia" w:ascii="宋体" w:hAnsi="宋体" w:eastAsia="宋体" w:cs="宋体"/>
          <w:color w:val="auto"/>
          <w:sz w:val="24"/>
          <w:szCs w:val="24"/>
        </w:rPr>
        <w:br w:type="page"/>
      </w:r>
    </w:p>
    <w:p>
      <w:pPr>
        <w:keepNext/>
        <w:keepLines/>
        <w:spacing w:line="360" w:lineRule="auto"/>
        <w:jc w:val="left"/>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附件四：廉政责任书格式</w:t>
      </w:r>
    </w:p>
    <w:p>
      <w:pPr>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建设工程廉政责任书</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eastAsia="zh-CN"/>
        </w:rPr>
        <w:t>邹城市中心店镇人民政府</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一、双方的责任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1.1应严格遵守国家关于建设工程的有关法律、法规，相关政策，以及廉政建设的各项规定。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1.2严格执行建设工程合同文件，自觉按合同办事。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1.4发现对方在业务活动中有违规、违纪、违法行为的，应及时提醒对方，情节严重的，应向其上级主管部门或纪检监察、司法等有关机关举报。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二、发包人责任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发包人的领导和从事该建设工程项目的工作人员，在工程建设的事前、事中、事后应遵守以下规定：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2.1不得向承包人和相关单位索要或接受回扣、礼金、有价证券、贵重物品和好处费、感谢费等。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2.2不得在承包人和相关单位报销任何应由发包人或个人支付的费用。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2.3不得要求、暗示或接受承包人和相关单位为个人装修住房、婚丧嫁娶、配偶子女的工作安排以及出国(境)、旅游等提供方便。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2.4不得参加有可能影响公正执行公务的承包人和相关单位的宴请、健身、娱乐等活动。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三、承包人责任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应与发包人保持正常的业务交往，按照有关法律法规和程序开展业务工作，严格执行工程建设的有关方针、政策，执行工程建设强制性标准，并遵守以下规定：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3.1不得以任何理由向发包人及其工作人员索要、接受或赠送礼金、有价证券、贵重物品及回扣、好处费、感谢费等。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3.2不得以任何理由为发包人和相关单位报销应由对方或个人支付的费用。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3.3不得接受或暗示为发包人、相关单位或个人装修住房、婚丧嫁娶、配偶子女的工作安排以及出国(境)、旅游等提供方便。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3.4不得以任何理由为发包人、相关单位或个人组织有可能影响公正执行公务的宴请、健身、娱乐等活动。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四、违约责任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4.2承包人工作人员有违反本责任书第一、三条责任行为的，依据有关法律法规处理；涉嫌犯罪的，移交司法机关追究刑事责任；给发包人单位造成经济损失的，应予以赔偿。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4.3本责任书作为建设工程合同的组成部分，与建设工程合同具有同等法律效力。经双方签署后立即生效。</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五、责任书有效期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本责任书的有效期为双方签署之日起至该工程项目竣工验收合格时止。</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六、责任书份数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本责任书一式二份，发包人承包人各执一份，具有同等效力。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发包人：(公章)                                   承包人： (公章)</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                                       法定地址：</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 (签字)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电子邮箱和微信：                                 电子邮箱和微信：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邮政编码：                                       邮政编码：</w:t>
      </w: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4"/>
        <w:bidi w:val="0"/>
        <w:jc w:val="center"/>
        <w:outlineLvl w:val="0"/>
        <w:rPr>
          <w:rFonts w:hint="eastAsia" w:ascii="宋体" w:hAnsi="宋体" w:eastAsia="宋体" w:cs="宋体"/>
          <w:color w:val="auto"/>
          <w:sz w:val="24"/>
          <w:szCs w:val="24"/>
        </w:rPr>
      </w:pPr>
      <w:bookmarkStart w:id="43" w:name="_Toc20712"/>
      <w:r>
        <w:rPr>
          <w:rFonts w:hint="eastAsia" w:ascii="宋体" w:hAnsi="宋体" w:eastAsia="宋体" w:cs="宋体"/>
          <w:color w:val="auto"/>
          <w:sz w:val="24"/>
          <w:szCs w:val="24"/>
        </w:rPr>
        <w:t>第六部分  响应文件格式</w:t>
      </w:r>
      <w:bookmarkEnd w:id="43"/>
    </w:p>
    <w:tbl>
      <w:tblPr>
        <w:tblStyle w:val="40"/>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pPr>
              <w:spacing w:line="560" w:lineRule="exact"/>
              <w:jc w:val="left"/>
              <w:rPr>
                <w:rFonts w:hint="default" w:ascii="宋体" w:hAnsi="宋体" w:eastAsia="宋体"/>
                <w:color w:val="auto"/>
                <w:vertAlign w:val="baseline"/>
                <w:lang w:val="en-US" w:eastAsia="zh-CN"/>
              </w:rPr>
            </w:pPr>
            <w:r>
              <w:rPr>
                <w:rFonts w:hint="eastAsia" w:ascii="宋体" w:hAnsi="宋体"/>
                <w:b/>
                <w:bCs/>
                <w:color w:val="auto"/>
                <w:sz w:val="44"/>
                <w:szCs w:val="44"/>
                <w:vertAlign w:val="baseline"/>
                <w:lang w:eastAsia="zh-CN"/>
              </w:rPr>
              <w:t>正</w:t>
            </w:r>
            <w:r>
              <w:rPr>
                <w:rFonts w:hint="eastAsia" w:ascii="宋体" w:hAnsi="宋体"/>
                <w:b/>
                <w:bCs/>
                <w:color w:val="auto"/>
                <w:sz w:val="44"/>
                <w:szCs w:val="44"/>
                <w:vertAlign w:val="baseline"/>
                <w:lang w:val="en-US" w:eastAsia="zh-CN"/>
              </w:rPr>
              <w:t>/副本</w:t>
            </w:r>
          </w:p>
        </w:tc>
      </w:tr>
    </w:tbl>
    <w:p>
      <w:pPr>
        <w:spacing w:line="560" w:lineRule="exact"/>
        <w:jc w:val="left"/>
        <w:rPr>
          <w:rFonts w:hint="eastAsia" w:ascii="宋体" w:hAnsi="宋体" w:eastAsia="宋体"/>
          <w:color w:val="auto"/>
          <w:lang w:eastAsia="zh-CN"/>
        </w:rPr>
      </w:pPr>
    </w:p>
    <w:p>
      <w:pPr>
        <w:spacing w:line="360" w:lineRule="auto"/>
        <w:ind w:firstLine="1205" w:firstLineChars="300"/>
        <w:rPr>
          <w:rFonts w:hint="eastAsia" w:ascii="宋体" w:hAnsi="宋体"/>
          <w:b/>
          <w:color w:val="auto"/>
          <w:sz w:val="40"/>
          <w:u w:val="single"/>
        </w:rPr>
      </w:pPr>
    </w:p>
    <w:p>
      <w:pPr>
        <w:spacing w:line="360" w:lineRule="auto"/>
        <w:ind w:firstLine="1205" w:firstLineChars="300"/>
        <w:rPr>
          <w:rFonts w:ascii="宋体" w:hAnsi="宋体"/>
          <w:b/>
          <w:color w:val="auto"/>
          <w:sz w:val="40"/>
        </w:rPr>
      </w:pPr>
      <w:r>
        <w:rPr>
          <w:rFonts w:hint="eastAsia" w:ascii="宋体" w:hAnsi="宋体"/>
          <w:b/>
          <w:color w:val="auto"/>
          <w:sz w:val="40"/>
          <w:u w:val="single"/>
        </w:rPr>
        <w:t xml:space="preserve">                 </w:t>
      </w:r>
      <w:r>
        <w:rPr>
          <w:rFonts w:hint="eastAsia" w:ascii="宋体" w:hAnsi="宋体"/>
          <w:b/>
          <w:color w:val="auto"/>
          <w:sz w:val="40"/>
        </w:rPr>
        <w:t>（项目名称）竞争性磋商</w:t>
      </w:r>
    </w:p>
    <w:p>
      <w:pPr>
        <w:spacing w:line="360" w:lineRule="auto"/>
        <w:ind w:firstLine="480" w:firstLineChars="200"/>
        <w:rPr>
          <w:rFonts w:ascii="宋体" w:hAnsi="宋体"/>
          <w:color w:val="auto"/>
          <w:sz w:val="24"/>
        </w:rPr>
      </w:pPr>
    </w:p>
    <w:p>
      <w:pPr>
        <w:spacing w:line="360" w:lineRule="auto"/>
        <w:ind w:firstLine="482" w:firstLineChars="200"/>
        <w:rPr>
          <w:rFonts w:ascii="宋体" w:hAnsi="宋体"/>
          <w:b/>
          <w:bCs/>
          <w:color w:val="auto"/>
          <w:sz w:val="24"/>
        </w:rPr>
      </w:pPr>
    </w:p>
    <w:p>
      <w:pPr>
        <w:spacing w:line="360" w:lineRule="auto"/>
        <w:jc w:val="center"/>
        <w:rPr>
          <w:rFonts w:ascii="宋体" w:hAnsi="宋体"/>
          <w:b/>
          <w:color w:val="auto"/>
          <w:sz w:val="56"/>
        </w:rPr>
      </w:pPr>
      <w:r>
        <w:rPr>
          <w:rFonts w:hint="eastAsia" w:ascii="宋体" w:hAnsi="宋体"/>
          <w:b/>
          <w:bCs/>
          <w:color w:val="auto"/>
          <w:sz w:val="56"/>
        </w:rPr>
        <w:t>响应文件</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pStyle w:val="2"/>
        <w:rPr>
          <w:rFonts w:ascii="宋体" w:hAnsi="宋体"/>
          <w:color w:val="auto"/>
          <w:szCs w:val="21"/>
        </w:rPr>
      </w:pPr>
    </w:p>
    <w:p>
      <w:pPr>
        <w:rPr>
          <w:rFonts w:ascii="宋体" w:hAnsi="宋体"/>
          <w:color w:val="auto"/>
          <w:szCs w:val="21"/>
        </w:rPr>
      </w:pPr>
    </w:p>
    <w:p>
      <w:pPr>
        <w:rPr>
          <w:rFonts w:ascii="宋体" w:hAnsi="宋体"/>
          <w:color w:val="auto"/>
          <w:szCs w:val="21"/>
        </w:rPr>
      </w:pPr>
    </w:p>
    <w:p>
      <w:pPr>
        <w:spacing w:line="360" w:lineRule="auto"/>
        <w:rPr>
          <w:rFonts w:ascii="宋体" w:hAnsi="宋体"/>
          <w:color w:val="auto"/>
          <w:sz w:val="24"/>
        </w:rPr>
      </w:pPr>
    </w:p>
    <w:p>
      <w:pPr>
        <w:spacing w:line="720" w:lineRule="auto"/>
        <w:jc w:val="center"/>
        <w:rPr>
          <w:rFonts w:ascii="宋体" w:hAnsi="宋体"/>
          <w:color w:val="auto"/>
          <w:sz w:val="32"/>
        </w:rPr>
      </w:pPr>
      <w:r>
        <w:rPr>
          <w:rFonts w:hint="eastAsia" w:ascii="宋体" w:hAnsi="宋体"/>
          <w:color w:val="auto"/>
          <w:sz w:val="32"/>
        </w:rPr>
        <w:t>供应商：</w:t>
      </w:r>
      <w:r>
        <w:rPr>
          <w:rFonts w:hint="eastAsia" w:ascii="宋体" w:hAnsi="宋体"/>
          <w:color w:val="auto"/>
          <w:sz w:val="32"/>
          <w:u w:val="single"/>
        </w:rPr>
        <w:t xml:space="preserve">                               </w:t>
      </w:r>
      <w:r>
        <w:rPr>
          <w:rFonts w:hint="eastAsia" w:ascii="宋体" w:hAnsi="宋体"/>
          <w:color w:val="auto"/>
          <w:sz w:val="32"/>
        </w:rPr>
        <w:t>（单位公章）</w:t>
      </w:r>
    </w:p>
    <w:p>
      <w:pPr>
        <w:spacing w:line="720" w:lineRule="auto"/>
        <w:jc w:val="center"/>
        <w:rPr>
          <w:rFonts w:ascii="宋体" w:hAnsi="宋体"/>
          <w:color w:val="auto"/>
          <w:sz w:val="32"/>
        </w:rPr>
      </w:pPr>
      <w:r>
        <w:rPr>
          <w:rFonts w:hint="eastAsia" w:ascii="宋体" w:hAnsi="宋体"/>
          <w:color w:val="auto"/>
          <w:sz w:val="32"/>
        </w:rPr>
        <w:t>法定代表人或其委托代理人：</w:t>
      </w:r>
      <w:r>
        <w:rPr>
          <w:rFonts w:hint="eastAsia" w:ascii="宋体" w:hAnsi="宋体"/>
          <w:color w:val="auto"/>
          <w:sz w:val="32"/>
          <w:u w:val="single"/>
        </w:rPr>
        <w:t xml:space="preserve">                 </w:t>
      </w:r>
      <w:r>
        <w:rPr>
          <w:rFonts w:hint="eastAsia" w:ascii="宋体" w:hAnsi="宋体"/>
          <w:color w:val="auto"/>
          <w:sz w:val="32"/>
        </w:rPr>
        <w:t>（签名或盖章）</w:t>
      </w:r>
    </w:p>
    <w:p>
      <w:pPr>
        <w:tabs>
          <w:tab w:val="left" w:pos="0"/>
          <w:tab w:val="left" w:pos="720"/>
          <w:tab w:val="left" w:pos="1440"/>
          <w:tab w:val="left" w:pos="2160"/>
          <w:tab w:val="left" w:pos="2880"/>
          <w:tab w:val="left" w:pos="3600"/>
          <w:tab w:val="left" w:pos="4320"/>
        </w:tabs>
        <w:autoSpaceDE w:val="0"/>
        <w:autoSpaceDN w:val="0"/>
        <w:adjustRightInd w:val="0"/>
        <w:spacing w:line="720" w:lineRule="auto"/>
        <w:jc w:val="center"/>
        <w:rPr>
          <w:rFonts w:ascii="宋体" w:hAnsi="宋体"/>
          <w:color w:val="auto"/>
          <w:sz w:val="32"/>
        </w:rPr>
      </w:pPr>
      <w:r>
        <w:rPr>
          <w:rFonts w:hint="eastAsia" w:ascii="宋体" w:hAnsi="宋体"/>
          <w:color w:val="auto"/>
          <w:sz w:val="32"/>
        </w:rPr>
        <w:t>日  期：</w:t>
      </w:r>
      <w:r>
        <w:rPr>
          <w:rFonts w:hint="eastAsia" w:ascii="宋体" w:hAnsi="宋体"/>
          <w:color w:val="auto"/>
          <w:sz w:val="32"/>
          <w:u w:val="single"/>
        </w:rPr>
        <w:t xml:space="preserve">         </w:t>
      </w:r>
      <w:r>
        <w:rPr>
          <w:rFonts w:hint="eastAsia" w:ascii="宋体" w:hAnsi="宋体"/>
          <w:color w:val="auto"/>
          <w:sz w:val="32"/>
        </w:rPr>
        <w:t>年</w:t>
      </w:r>
      <w:r>
        <w:rPr>
          <w:rFonts w:hint="eastAsia" w:ascii="宋体" w:hAnsi="宋体"/>
          <w:color w:val="auto"/>
          <w:sz w:val="32"/>
          <w:u w:val="single"/>
        </w:rPr>
        <w:t xml:space="preserve">    </w:t>
      </w:r>
      <w:r>
        <w:rPr>
          <w:rFonts w:hint="eastAsia" w:ascii="宋体" w:hAnsi="宋体"/>
          <w:color w:val="auto"/>
          <w:sz w:val="32"/>
        </w:rPr>
        <w:t>月</w:t>
      </w:r>
      <w:r>
        <w:rPr>
          <w:rFonts w:hint="eastAsia" w:ascii="宋体" w:hAnsi="宋体"/>
          <w:color w:val="auto"/>
          <w:sz w:val="32"/>
          <w:u w:val="single"/>
        </w:rPr>
        <w:t xml:space="preserve">    </w:t>
      </w:r>
      <w:r>
        <w:rPr>
          <w:rFonts w:hint="eastAsia" w:ascii="宋体" w:hAnsi="宋体"/>
          <w:color w:val="auto"/>
          <w:sz w:val="32"/>
        </w:rPr>
        <w:t>日</w:t>
      </w:r>
    </w:p>
    <w:p>
      <w:pPr>
        <w:pStyle w:val="36"/>
        <w:snapToGrid w:val="0"/>
        <w:spacing w:line="360" w:lineRule="auto"/>
        <w:ind w:left="578"/>
        <w:jc w:val="left"/>
        <w:rPr>
          <w:rFonts w:ascii="宋体" w:hAnsi="宋体" w:cs="宋体"/>
          <w:b/>
          <w:color w:val="auto"/>
          <w:sz w:val="30"/>
          <w:szCs w:val="30"/>
        </w:rPr>
        <w:sectPr>
          <w:headerReference r:id="rId9" w:type="first"/>
          <w:footerReference r:id="rId11" w:type="first"/>
          <w:footerReference r:id="rId10" w:type="default"/>
          <w:pgSz w:w="11906" w:h="16838"/>
          <w:pgMar w:top="1440" w:right="1080" w:bottom="1440" w:left="1080" w:header="851" w:footer="992" w:gutter="0"/>
          <w:pgNumType w:fmt="decimal"/>
          <w:cols w:space="720" w:num="1"/>
          <w:titlePg/>
          <w:docGrid w:type="lines" w:linePitch="286" w:charSpace="0"/>
        </w:sectPr>
      </w:pPr>
    </w:p>
    <w:p>
      <w:pPr>
        <w:pStyle w:val="36"/>
        <w:snapToGrid w:val="0"/>
        <w:spacing w:line="360" w:lineRule="auto"/>
        <w:ind w:left="578"/>
        <w:jc w:val="center"/>
        <w:rPr>
          <w:rFonts w:ascii="宋体" w:hAnsi="宋体" w:cs="宋体"/>
          <w:b/>
          <w:color w:val="auto"/>
          <w:sz w:val="30"/>
          <w:szCs w:val="30"/>
        </w:rPr>
      </w:pPr>
      <w:r>
        <w:rPr>
          <w:rFonts w:hint="eastAsia" w:ascii="宋体" w:hAnsi="宋体" w:cs="宋体"/>
          <w:b/>
          <w:color w:val="auto"/>
          <w:sz w:val="30"/>
          <w:szCs w:val="30"/>
        </w:rPr>
        <w:t>目    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黑体"/>
          <w:color w:val="auto"/>
          <w:kern w:val="0"/>
          <w:sz w:val="24"/>
        </w:rPr>
      </w:pPr>
      <w:r>
        <w:rPr>
          <w:rFonts w:hint="eastAsia" w:ascii="宋体" w:hAnsi="宋体" w:cs="黑体"/>
          <w:color w:val="auto"/>
          <w:kern w:val="0"/>
          <w:sz w:val="24"/>
        </w:rPr>
        <w:t>1、磋商响应函</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黑体"/>
          <w:color w:val="auto"/>
          <w:kern w:val="0"/>
          <w:sz w:val="24"/>
        </w:rPr>
      </w:pPr>
      <w:r>
        <w:rPr>
          <w:rFonts w:hint="eastAsia" w:ascii="宋体" w:hAnsi="宋体" w:cs="黑体"/>
          <w:color w:val="auto"/>
          <w:kern w:val="0"/>
          <w:sz w:val="24"/>
        </w:rPr>
        <w:t>2、法定代表人身份证明或授权委托人身份证明及法定代表人授权委托书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黑体"/>
          <w:color w:val="auto"/>
          <w:kern w:val="0"/>
          <w:sz w:val="24"/>
        </w:rPr>
      </w:pPr>
      <w:r>
        <w:rPr>
          <w:rFonts w:hint="eastAsia" w:ascii="宋体" w:hAnsi="宋体" w:cs="黑体"/>
          <w:color w:val="auto"/>
          <w:kern w:val="0"/>
          <w:sz w:val="24"/>
        </w:rPr>
        <w:t>3、初次报价表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黑体"/>
          <w:color w:val="auto"/>
          <w:kern w:val="0"/>
          <w:sz w:val="24"/>
        </w:rPr>
      </w:pPr>
      <w:r>
        <w:rPr>
          <w:rFonts w:hint="eastAsia" w:ascii="宋体" w:hAnsi="宋体" w:cs="黑体"/>
          <w:color w:val="auto"/>
          <w:kern w:val="0"/>
          <w:sz w:val="24"/>
        </w:rPr>
        <w:t>4、初次报价的已标价工程量清单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黑体"/>
          <w:color w:val="auto"/>
          <w:kern w:val="0"/>
          <w:sz w:val="24"/>
        </w:rPr>
      </w:pPr>
      <w:r>
        <w:rPr>
          <w:rFonts w:hint="eastAsia" w:ascii="宋体" w:hAnsi="宋体" w:cs="黑体"/>
          <w:color w:val="auto"/>
          <w:kern w:val="0"/>
          <w:sz w:val="24"/>
        </w:rPr>
        <w:t>5、技术部分（施工组织设计）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pPr>
        <w:spacing w:line="360" w:lineRule="auto"/>
        <w:jc w:val="left"/>
        <w:outlineLvl w:val="9"/>
        <w:rPr>
          <w:rFonts w:ascii="宋体" w:hAnsi="宋体"/>
          <w:b/>
          <w:color w:val="auto"/>
          <w:sz w:val="24"/>
        </w:rPr>
      </w:pPr>
    </w:p>
    <w:p>
      <w:pPr>
        <w:spacing w:line="360" w:lineRule="auto"/>
        <w:jc w:val="left"/>
        <w:outlineLvl w:val="9"/>
        <w:rPr>
          <w:rFonts w:ascii="宋体" w:hAnsi="宋体"/>
          <w:b/>
          <w:color w:val="auto"/>
          <w:sz w:val="24"/>
        </w:rPr>
      </w:pPr>
    </w:p>
    <w:p>
      <w:pPr>
        <w:widowControl/>
        <w:shd w:val="clear" w:color="auto" w:fill="FFFFFF"/>
        <w:spacing w:line="560" w:lineRule="exact"/>
        <w:jc w:val="left"/>
        <w:rPr>
          <w:rFonts w:hint="eastAsia" w:ascii="宋体" w:hAnsi="宋体"/>
          <w:color w:val="auto"/>
          <w:sz w:val="24"/>
        </w:rPr>
      </w:pPr>
      <w:bookmarkStart w:id="44" w:name="_Toc323641999"/>
      <w:bookmarkStart w:id="45" w:name="_Toc374107067"/>
      <w:bookmarkStart w:id="46" w:name="_Toc300901193"/>
    </w:p>
    <w:p>
      <w:pPr>
        <w:widowControl/>
        <w:shd w:val="clear" w:color="auto" w:fill="FFFFFF"/>
        <w:spacing w:line="560" w:lineRule="exact"/>
        <w:jc w:val="left"/>
        <w:rPr>
          <w:rFonts w:hint="eastAsia" w:ascii="宋体" w:hAnsi="宋体"/>
          <w:color w:val="auto"/>
          <w:sz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pStyle w:val="54"/>
        <w:rPr>
          <w:rFonts w:hint="eastAsia" w:ascii="宋体" w:hAnsi="宋体" w:eastAsia="宋体"/>
          <w:color w:val="auto"/>
          <w:sz w:val="24"/>
          <w:szCs w:val="24"/>
        </w:rPr>
      </w:pPr>
    </w:p>
    <w:p>
      <w:pPr>
        <w:pStyle w:val="54"/>
        <w:rPr>
          <w:rFonts w:hint="eastAsia" w:ascii="宋体" w:hAnsi="宋体" w:eastAsia="宋体"/>
          <w:color w:val="auto"/>
          <w:sz w:val="24"/>
          <w:szCs w:val="24"/>
        </w:rPr>
      </w:pPr>
    </w:p>
    <w:p>
      <w:pPr>
        <w:spacing w:line="360" w:lineRule="auto"/>
        <w:jc w:val="both"/>
        <w:rPr>
          <w:rFonts w:hint="eastAsia" w:ascii="宋体" w:hAnsi="宋体" w:cs="宋体"/>
          <w:b/>
          <w:color w:val="auto"/>
          <w:kern w:val="0"/>
          <w:sz w:val="24"/>
        </w:rPr>
      </w:pPr>
    </w:p>
    <w:p>
      <w:pPr>
        <w:pStyle w:val="2"/>
        <w:rPr>
          <w:rFonts w:hint="eastAsia"/>
          <w:color w:val="auto"/>
        </w:rPr>
      </w:pPr>
    </w:p>
    <w:p>
      <w:pPr>
        <w:rPr>
          <w:rFonts w:hint="eastAsia" w:ascii="宋体" w:hAnsi="宋体" w:cs="宋体"/>
          <w:b/>
          <w:color w:val="auto"/>
          <w:kern w:val="0"/>
          <w:sz w:val="24"/>
          <w:szCs w:val="24"/>
        </w:rPr>
      </w:pPr>
      <w:r>
        <w:rPr>
          <w:rFonts w:hint="eastAsia" w:ascii="宋体" w:hAnsi="宋体" w:cs="宋体"/>
          <w:b/>
          <w:color w:val="auto"/>
          <w:kern w:val="0"/>
          <w:sz w:val="24"/>
          <w:szCs w:val="24"/>
        </w:rPr>
        <w:br w:type="page"/>
      </w:r>
    </w:p>
    <w:p>
      <w:pPr>
        <w:spacing w:line="360" w:lineRule="auto"/>
        <w:jc w:val="center"/>
        <w:rPr>
          <w:rFonts w:ascii="宋体" w:hAnsi="宋体"/>
          <w:b/>
          <w:bCs/>
          <w:color w:val="auto"/>
          <w:sz w:val="24"/>
          <w:szCs w:val="24"/>
        </w:rPr>
      </w:pPr>
      <w:r>
        <w:rPr>
          <w:rFonts w:hint="eastAsia" w:ascii="宋体" w:hAnsi="宋体" w:cs="宋体"/>
          <w:b/>
          <w:color w:val="auto"/>
          <w:kern w:val="0"/>
          <w:sz w:val="24"/>
          <w:szCs w:val="24"/>
        </w:rPr>
        <w:t>一、磋商</w:t>
      </w:r>
      <w:r>
        <w:rPr>
          <w:rFonts w:hint="eastAsia" w:ascii="宋体" w:hAnsi="宋体"/>
          <w:b/>
          <w:bCs/>
          <w:color w:val="auto"/>
          <w:sz w:val="24"/>
          <w:szCs w:val="24"/>
        </w:rPr>
        <w:t>响应函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经研究，我方决定参加项目编号为</w:t>
      </w:r>
      <w:r>
        <w:rPr>
          <w:rFonts w:hint="eastAsia" w:ascii="宋体" w:hAnsi="宋体" w:cs="宋体"/>
          <w:color w:val="auto"/>
          <w:kern w:val="0"/>
          <w:sz w:val="24"/>
          <w:szCs w:val="24"/>
          <w:u w:val="single"/>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的政府采购活动并提交磋商响应文件。为此，我方郑重声明如下:</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1、我方提交的磋商响应文件，正本一份，副本</w:t>
      </w:r>
      <w:r>
        <w:rPr>
          <w:rFonts w:hint="eastAsia" w:ascii="宋体" w:hAnsi="宋体" w:cs="宋体"/>
          <w:color w:val="auto"/>
          <w:kern w:val="0"/>
          <w:sz w:val="24"/>
          <w:szCs w:val="24"/>
          <w:lang w:eastAsia="zh-CN"/>
        </w:rPr>
        <w:t>四</w:t>
      </w:r>
      <w:r>
        <w:rPr>
          <w:rFonts w:hint="eastAsia" w:ascii="宋体" w:hAnsi="宋体" w:cs="宋体"/>
          <w:color w:val="auto"/>
          <w:kern w:val="0"/>
          <w:sz w:val="24"/>
          <w:szCs w:val="24"/>
        </w:rPr>
        <w:t>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2、如果我方的磋商响应文件被接受，我方将履行磋商文件中规定的每一项要求，并按我方磋商响应文件中的承诺按期、保质、保量完成项目的实施。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3、我方理解，最低报价不是入选成交候选人的唯一条件。</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4、我方愿按《中华人民共和国</w:t>
      </w:r>
      <w:r>
        <w:rPr>
          <w:rFonts w:hint="eastAsia" w:ascii="宋体" w:hAnsi="宋体" w:cs="宋体"/>
          <w:color w:val="auto"/>
          <w:kern w:val="0"/>
          <w:sz w:val="24"/>
          <w:szCs w:val="24"/>
          <w:lang w:eastAsia="zh-CN"/>
        </w:rPr>
        <w:t>民法典</w:t>
      </w:r>
      <w:r>
        <w:rPr>
          <w:rFonts w:hint="eastAsia" w:ascii="宋体" w:hAnsi="宋体" w:cs="宋体"/>
          <w:color w:val="auto"/>
          <w:kern w:val="0"/>
          <w:sz w:val="24"/>
          <w:szCs w:val="24"/>
        </w:rPr>
        <w:t>》履行自己的全部责任。</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5、我方已详细检查所有磋商文件、附件以及所提供的参考文件，因模糊和误解产生的一切后果，由我方自负。</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6、我方的磋商响应文件自递交截止之日起60个日历日内有效。</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7、我方同意按文件要求，提交与递交磋商响应文件有关的数据和资料。</w:t>
      </w:r>
    </w:p>
    <w:p>
      <w:pPr>
        <w:widowControl/>
        <w:spacing w:line="480" w:lineRule="auto"/>
        <w:ind w:firstLine="480" w:firstLineChars="200"/>
        <w:rPr>
          <w:rFonts w:hint="eastAsia" w:ascii="宋体" w:hAnsi="宋体" w:cs="宋体"/>
          <w:color w:val="auto"/>
          <w:kern w:val="0"/>
          <w:sz w:val="24"/>
          <w:szCs w:val="24"/>
        </w:rPr>
      </w:pPr>
    </w:p>
    <w:p>
      <w:pPr>
        <w:widowControl/>
        <w:spacing w:line="360" w:lineRule="auto"/>
        <w:ind w:firstLine="480" w:firstLineChars="200"/>
        <w:rPr>
          <w:rFonts w:hint="eastAsia" w:ascii="宋体" w:hAnsi="宋体" w:cs="宋体"/>
          <w:color w:val="auto"/>
          <w:kern w:val="0"/>
          <w:sz w:val="24"/>
          <w:szCs w:val="24"/>
        </w:rPr>
      </w:pP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供应商（盖章）：</w:t>
      </w: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法人代表或委托代理人（签字或盖章）：</w:t>
      </w:r>
    </w:p>
    <w:p>
      <w:pPr>
        <w:spacing w:line="480" w:lineRule="auto"/>
        <w:ind w:firstLine="480" w:firstLineChars="200"/>
        <w:rPr>
          <w:rFonts w:hint="eastAsia" w:ascii="宋体" w:hAnsi="宋体" w:cs="宋体"/>
          <w:bCs/>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pPr>
        <w:widowControl/>
        <w:jc w:val="left"/>
        <w:rPr>
          <w:rFonts w:ascii="宋体" w:hAnsi="宋体"/>
          <w:b/>
          <w:bCs/>
          <w:color w:val="auto"/>
          <w:sz w:val="24"/>
        </w:rPr>
      </w:pPr>
      <w:r>
        <w:rPr>
          <w:rFonts w:ascii="宋体" w:hAnsi="宋体"/>
          <w:color w:val="auto"/>
          <w:sz w:val="24"/>
        </w:rPr>
        <w:br w:type="page"/>
      </w:r>
    </w:p>
    <w:p>
      <w:pPr>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rPr>
        <w:t>二、法定代表人身份证明</w:t>
      </w:r>
      <w:bookmarkEnd w:id="44"/>
      <w:bookmarkEnd w:id="45"/>
      <w:bookmarkEnd w:id="46"/>
    </w:p>
    <w:p>
      <w:pPr>
        <w:spacing w:line="360" w:lineRule="auto"/>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（供应商名称）的法定代表人。</w:t>
      </w:r>
    </w:p>
    <w:p>
      <w:pPr>
        <w:spacing w:line="360" w:lineRule="auto"/>
        <w:rPr>
          <w:rFonts w:ascii="宋体" w:hAnsi="宋体"/>
          <w:color w:val="auto"/>
          <w:sz w:val="24"/>
        </w:rPr>
      </w:pPr>
      <w:r>
        <w:rPr>
          <w:rFonts w:hint="eastAsia" w:ascii="宋体" w:hAnsi="宋体"/>
          <w:color w:val="auto"/>
          <w:sz w:val="24"/>
        </w:rPr>
        <w:t>特此证明。</w:t>
      </w:r>
    </w:p>
    <w:p>
      <w:pPr>
        <w:spacing w:line="500" w:lineRule="exact"/>
        <w:jc w:val="left"/>
        <w:rPr>
          <w:rFonts w:ascii="宋体" w:hAnsi="宋体"/>
          <w:color w:val="auto"/>
          <w:sz w:val="24"/>
        </w:rPr>
      </w:pPr>
      <w:r>
        <w:rPr>
          <w:rFonts w:hint="eastAsia" w:ascii="宋体" w:hAnsi="宋体"/>
          <w:color w:val="auto"/>
          <w:sz w:val="24"/>
        </w:rPr>
        <w:t>附：法定代表人身份证明</w:t>
      </w:r>
    </w:p>
    <w:p>
      <w:pPr>
        <w:spacing w:line="500" w:lineRule="exact"/>
        <w:jc w:val="right"/>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color w:val="auto"/>
        </w:rPr>
      </w:pPr>
    </w:p>
    <w:p>
      <w:pPr>
        <w:spacing w:line="500" w:lineRule="exact"/>
        <w:jc w:val="right"/>
        <w:rPr>
          <w:rFonts w:ascii="宋体" w:hAnsi="宋体"/>
          <w:color w:val="auto"/>
          <w:sz w:val="24"/>
        </w:rPr>
      </w:pPr>
      <w:r>
        <w:rPr>
          <w:rFonts w:hint="eastAsia" w:ascii="宋体" w:hAnsi="宋体"/>
          <w:color w:val="auto"/>
          <w:sz w:val="24"/>
        </w:rPr>
        <w:t>供应商</w:t>
      </w:r>
      <w:r>
        <w:rPr>
          <w:rFonts w:hint="eastAsia" w:ascii="宋体" w:hAnsi="宋体"/>
          <w:color w:val="auto"/>
          <w:sz w:val="24"/>
          <w:lang w:eastAsia="zh-CN"/>
        </w:rPr>
        <w:t>名称</w:t>
      </w:r>
      <w:r>
        <w:rPr>
          <w:rFonts w:hint="eastAsia"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（盖单位章）</w:t>
      </w:r>
    </w:p>
    <w:p>
      <w:pPr>
        <w:widowControl/>
        <w:jc w:val="right"/>
        <w:rPr>
          <w:rFonts w:ascii="宋体" w:hAnsi="宋体"/>
          <w:color w:val="auto"/>
          <w:sz w:val="24"/>
        </w:rPr>
      </w:pPr>
      <w:r>
        <w:rPr>
          <w:rFonts w:hint="eastAsia" w:ascii="宋体" w:hAnsi="宋体"/>
          <w:color w:val="auto"/>
          <w:sz w:val="24"/>
        </w:rPr>
        <w:t xml:space="preserve">         </w:t>
      </w:r>
    </w:p>
    <w:p>
      <w:pPr>
        <w:widowControl/>
        <w:jc w:val="right"/>
        <w:rPr>
          <w:rFonts w:ascii="宋体" w:hAnsi="宋体"/>
          <w:color w:val="auto"/>
          <w:sz w:val="24"/>
        </w:rPr>
      </w:pPr>
      <w:r>
        <w:rPr>
          <w:rFonts w:hint="eastAsia" w:ascii="宋体" w:hAnsi="宋体"/>
          <w:color w:val="auto"/>
          <w:sz w:val="24"/>
        </w:rPr>
        <w:t xml:space="preserve">年        月       日  </w:t>
      </w:r>
    </w:p>
    <w:p>
      <w:pPr>
        <w:spacing w:line="360" w:lineRule="auto"/>
        <w:jc w:val="right"/>
        <w:rPr>
          <w:rFonts w:ascii="宋体" w:hAnsi="宋体"/>
          <w:color w:val="auto"/>
          <w:sz w:val="24"/>
        </w:rPr>
      </w:pPr>
    </w:p>
    <w:p>
      <w:pPr>
        <w:wordWrap w:val="0"/>
        <w:spacing w:line="500" w:lineRule="exact"/>
        <w:jc w:val="right"/>
        <w:rPr>
          <w:rFonts w:ascii="宋体" w:hAnsi="宋体" w:cs="黑体"/>
          <w:b/>
          <w:color w:val="auto"/>
          <w:kern w:val="0"/>
          <w:sz w:val="24"/>
        </w:rPr>
      </w:pPr>
      <w:r>
        <w:rPr>
          <w:rFonts w:ascii="宋体" w:hAnsi="宋体" w:cs="黑体"/>
          <w:b/>
          <w:color w:val="auto"/>
          <w:kern w:val="0"/>
          <w:sz w:val="24"/>
        </w:rPr>
        <w:br w:type="page"/>
      </w:r>
    </w:p>
    <w:p>
      <w:pPr>
        <w:widowControl/>
        <w:shd w:val="clear" w:color="auto" w:fill="FFFFFF"/>
        <w:spacing w:line="360" w:lineRule="auto"/>
        <w:ind w:firstLine="480"/>
        <w:jc w:val="center"/>
        <w:rPr>
          <w:rFonts w:ascii="宋体" w:hAnsi="宋体" w:cs="黑体"/>
          <w:b/>
          <w:color w:val="auto"/>
          <w:kern w:val="0"/>
          <w:sz w:val="24"/>
        </w:rPr>
      </w:pPr>
      <w:r>
        <w:rPr>
          <w:rFonts w:hint="eastAsia" w:ascii="宋体" w:hAnsi="宋体" w:cs="黑体"/>
          <w:b/>
          <w:color w:val="auto"/>
          <w:kern w:val="0"/>
          <w:sz w:val="24"/>
        </w:rPr>
        <w:t>授权委托人身份证明及法定代表人授权委托书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auto"/>
          <w:sz w:val="24"/>
        </w:rPr>
      </w:pPr>
    </w:p>
    <w:p>
      <w:pPr>
        <w:widowControl/>
        <w:spacing w:line="360" w:lineRule="auto"/>
        <w:ind w:left="315" w:leftChars="150" w:firstLine="120" w:firstLineChars="50"/>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（供应商名称）法定代表人</w:t>
      </w:r>
      <w:r>
        <w:rPr>
          <w:rFonts w:hint="eastAsia" w:ascii="宋体" w:hAnsi="宋体" w:cs="宋体"/>
          <w:color w:val="auto"/>
          <w:kern w:val="0"/>
          <w:sz w:val="24"/>
          <w:u w:val="single"/>
        </w:rPr>
        <w:t xml:space="preserve">            </w:t>
      </w:r>
      <w:r>
        <w:rPr>
          <w:rFonts w:hint="eastAsia" w:ascii="宋体" w:hAnsi="宋体" w:cs="宋体"/>
          <w:color w:val="auto"/>
          <w:kern w:val="0"/>
          <w:sz w:val="24"/>
        </w:rPr>
        <w:t>，现授权委托</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 xml:space="preserve">的 </w:t>
      </w:r>
      <w:r>
        <w:rPr>
          <w:rFonts w:hint="eastAsia" w:ascii="宋体" w:hAnsi="宋体" w:cs="宋体"/>
          <w:color w:val="auto"/>
          <w:kern w:val="0"/>
          <w:sz w:val="24"/>
          <w:u w:val="single"/>
        </w:rPr>
        <w:t xml:space="preserve">             </w:t>
      </w:r>
      <w:r>
        <w:rPr>
          <w:rFonts w:hint="eastAsia" w:ascii="宋体" w:hAnsi="宋体" w:cs="宋体"/>
          <w:color w:val="auto"/>
          <w:kern w:val="0"/>
          <w:sz w:val="24"/>
        </w:rPr>
        <w:t>（姓名、职务或职称）为我单位本次项目的全权代表，以本公司的名义参加</w:t>
      </w:r>
      <w:r>
        <w:rPr>
          <w:rFonts w:hint="eastAsia" w:ascii="宋体" w:hAnsi="宋体" w:cs="宋体"/>
          <w:color w:val="auto"/>
          <w:kern w:val="0"/>
          <w:sz w:val="24"/>
          <w:u w:val="single"/>
        </w:rPr>
        <w:t xml:space="preserve">         </w:t>
      </w:r>
      <w:r>
        <w:rPr>
          <w:rFonts w:hint="eastAsia" w:ascii="宋体" w:hAnsi="宋体" w:cs="宋体"/>
          <w:color w:val="auto"/>
          <w:kern w:val="0"/>
          <w:sz w:val="24"/>
        </w:rPr>
        <w:t>项目竞争性磋商，全权处理磋商过程中所签署的一切文件和有关的一切事务。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特此授权。</w:t>
      </w:r>
    </w:p>
    <w:p>
      <w:pPr>
        <w:spacing w:line="560" w:lineRule="exact"/>
        <w:ind w:firstLine="480" w:firstLineChars="200"/>
        <w:rPr>
          <w:rFonts w:hint="eastAsia" w:ascii="宋体" w:hAnsi="宋体"/>
          <w:color w:val="auto"/>
          <w:sz w:val="24"/>
        </w:rPr>
      </w:pPr>
      <w:r>
        <w:rPr>
          <w:rFonts w:hint="eastAsia" w:ascii="宋体" w:hAnsi="宋体"/>
          <w:color w:val="auto"/>
          <w:sz w:val="24"/>
        </w:rPr>
        <w:t>附：授权委托人身份证明</w:t>
      </w:r>
    </w:p>
    <w:p>
      <w:pPr>
        <w:pStyle w:val="2"/>
        <w:rPr>
          <w:rFonts w:hint="eastAsia" w:ascii="宋体" w:hAnsi="宋体"/>
          <w:color w:val="auto"/>
          <w:sz w:val="24"/>
        </w:rPr>
      </w:pPr>
    </w:p>
    <w:p>
      <w:pPr>
        <w:rPr>
          <w:rFonts w:hint="eastAsia" w:ascii="宋体" w:hAnsi="宋体"/>
          <w:color w:val="auto"/>
          <w:sz w:val="24"/>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spacing w:line="560" w:lineRule="exact"/>
        <w:rPr>
          <w:rFonts w:ascii="宋体" w:hAnsi="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400" w:lineRule="exact"/>
        <w:ind w:firstLine="4080" w:firstLineChars="1700"/>
        <w:jc w:val="left"/>
        <w:rPr>
          <w:rFonts w:ascii="宋体" w:hAnsi="宋体" w:cs="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400" w:lineRule="exact"/>
        <w:ind w:firstLine="4080" w:firstLineChars="1700"/>
        <w:jc w:val="left"/>
        <w:rPr>
          <w:rFonts w:ascii="宋体" w:hAnsi="宋体" w:cs="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400" w:lineRule="exact"/>
        <w:ind w:firstLine="4080" w:firstLineChars="1700"/>
        <w:jc w:val="left"/>
        <w:rPr>
          <w:rFonts w:ascii="宋体" w:hAnsi="宋体" w:cs="宋体"/>
          <w:color w:val="auto"/>
          <w:sz w:val="24"/>
          <w:u w:val="single"/>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400" w:lineRule="exact"/>
        <w:ind w:firstLine="4080" w:firstLineChars="1700"/>
        <w:jc w:val="left"/>
        <w:rPr>
          <w:rFonts w:ascii="宋体" w:hAnsi="宋体" w:cs="宋体"/>
          <w:color w:val="auto"/>
          <w:sz w:val="24"/>
        </w:rPr>
      </w:pPr>
    </w:p>
    <w:p>
      <w:pPr>
        <w:spacing w:line="400" w:lineRule="exact"/>
        <w:ind w:firstLine="3840" w:firstLineChars="160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400" w:lineRule="exact"/>
        <w:ind w:firstLine="4080" w:firstLineChars="1700"/>
        <w:jc w:val="left"/>
        <w:rPr>
          <w:rFonts w:ascii="宋体" w:hAnsi="宋体" w:cs="宋体"/>
          <w:color w:val="auto"/>
          <w:sz w:val="24"/>
        </w:rPr>
      </w:pPr>
    </w:p>
    <w:p>
      <w:pPr>
        <w:spacing w:line="400" w:lineRule="exact"/>
        <w:ind w:firstLine="6000" w:firstLineChars="2500"/>
        <w:jc w:val="lef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auto"/>
          <w:sz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hint="eastAsia" w:ascii="宋体" w:hAnsi="宋体" w:eastAsia="宋体" w:cs="宋体"/>
          <w:b/>
          <w:color w:val="auto"/>
          <w:kern w:val="0"/>
          <w:sz w:val="24"/>
          <w:szCs w:val="24"/>
          <w:lang w:val="en-US" w:eastAsia="zh-CN" w:bidi="ar-SA"/>
        </w:rPr>
      </w:pPr>
      <w:r>
        <w:rPr>
          <w:rFonts w:ascii="宋体" w:hAnsi="宋体"/>
          <w:color w:val="auto"/>
          <w:szCs w:val="24"/>
        </w:rPr>
        <w:br w:type="page"/>
      </w:r>
      <w:r>
        <w:rPr>
          <w:rFonts w:hint="eastAsia" w:ascii="宋体" w:hAnsi="宋体" w:eastAsia="宋体" w:cs="宋体"/>
          <w:b/>
          <w:color w:val="auto"/>
          <w:kern w:val="0"/>
          <w:sz w:val="24"/>
          <w:szCs w:val="24"/>
          <w:lang w:val="en-US" w:eastAsia="zh-CN" w:bidi="ar-SA"/>
        </w:rPr>
        <w:t>三、初次报价表</w:t>
      </w:r>
    </w:p>
    <w:p>
      <w:pPr>
        <w:spacing w:line="360" w:lineRule="auto"/>
        <w:ind w:left="206" w:right="555"/>
        <w:jc w:val="right"/>
        <w:rPr>
          <w:rFonts w:ascii="宋体" w:hAnsi="宋体"/>
          <w:color w:val="auto"/>
          <w:sz w:val="24"/>
        </w:rPr>
      </w:pPr>
      <w:r>
        <w:rPr>
          <w:rFonts w:hint="eastAsia" w:ascii="宋体" w:hAnsi="宋体"/>
          <w:color w:val="auto"/>
          <w:sz w:val="24"/>
        </w:rPr>
        <w:t>货币单位：元</w:t>
      </w:r>
    </w:p>
    <w:tbl>
      <w:tblPr>
        <w:tblStyle w:val="3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响应方（供应商名称）</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项目名称</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初次报价</w:t>
            </w:r>
            <w:r>
              <w:rPr>
                <w:rFonts w:ascii="宋体" w:hAnsi="宋体"/>
                <w:color w:val="auto"/>
                <w:sz w:val="24"/>
              </w:rPr>
              <w:t xml:space="preserve">       </w:t>
            </w:r>
          </w:p>
        </w:tc>
        <w:tc>
          <w:tcPr>
            <w:tcW w:w="6715" w:type="dxa"/>
            <w:vAlign w:val="center"/>
          </w:tcPr>
          <w:p>
            <w:pPr>
              <w:spacing w:line="360" w:lineRule="auto"/>
              <w:ind w:firstLine="480" w:firstLineChars="200"/>
              <w:jc w:val="both"/>
              <w:rPr>
                <w:rFonts w:hint="eastAsia"/>
                <w:color w:val="auto"/>
                <w:lang w:eastAsia="zh-CN"/>
              </w:rPr>
            </w:pPr>
            <w:r>
              <w:rPr>
                <w:rFonts w:hint="eastAsia" w:ascii="宋体" w:hAnsi="宋体"/>
                <w:color w:val="auto"/>
                <w:sz w:val="24"/>
                <w:lang w:eastAsia="zh-CN"/>
              </w:rPr>
              <w:t>大写：</w:t>
            </w:r>
          </w:p>
          <w:p>
            <w:pPr>
              <w:spacing w:line="360" w:lineRule="auto"/>
              <w:ind w:firstLine="480" w:firstLineChars="200"/>
              <w:jc w:val="both"/>
              <w:rPr>
                <w:rFonts w:ascii="宋体" w:hAnsi="宋体"/>
                <w:color w:val="auto"/>
                <w:sz w:val="24"/>
              </w:rPr>
            </w:pPr>
            <w:r>
              <w:rPr>
                <w:rFonts w:hint="eastAsia" w:ascii="宋体" w:hAnsi="宋体"/>
                <w:color w:val="auto"/>
                <w:sz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w w:val="110"/>
                <w:sz w:val="24"/>
              </w:rPr>
              <w:t>工期（日历日）</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pPr>
              <w:spacing w:line="360" w:lineRule="auto"/>
              <w:jc w:val="center"/>
              <w:rPr>
                <w:rFonts w:ascii="宋体" w:hAnsi="宋体"/>
                <w:color w:val="auto"/>
                <w:w w:val="110"/>
                <w:sz w:val="24"/>
                <w:szCs w:val="24"/>
              </w:rPr>
            </w:pPr>
            <w:r>
              <w:rPr>
                <w:rFonts w:hint="eastAsia" w:ascii="宋体" w:hAnsi="宋体"/>
                <w:color w:val="auto"/>
                <w:w w:val="110"/>
                <w:sz w:val="24"/>
                <w:szCs w:val="24"/>
              </w:rPr>
              <w:t>质量标准</w:t>
            </w:r>
          </w:p>
        </w:tc>
        <w:tc>
          <w:tcPr>
            <w:tcW w:w="6715" w:type="dxa"/>
            <w:vAlign w:val="center"/>
          </w:tcPr>
          <w:p>
            <w:pPr>
              <w:spacing w:line="360" w:lineRule="auto"/>
              <w:jc w:val="center"/>
              <w:rPr>
                <w:rFonts w:ascii="宋体" w:hAnsi="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pPr>
              <w:spacing w:line="360" w:lineRule="auto"/>
              <w:jc w:val="center"/>
              <w:rPr>
                <w:rFonts w:hint="eastAsia" w:ascii="宋体" w:hAnsi="宋体" w:eastAsia="宋体"/>
                <w:color w:val="auto"/>
                <w:w w:val="110"/>
                <w:sz w:val="24"/>
                <w:szCs w:val="24"/>
                <w:lang w:eastAsia="zh-CN"/>
              </w:rPr>
            </w:pPr>
            <w:r>
              <w:rPr>
                <w:rFonts w:hint="eastAsia" w:ascii="宋体" w:hAnsi="宋体"/>
                <w:color w:val="auto"/>
                <w:w w:val="110"/>
                <w:sz w:val="24"/>
                <w:szCs w:val="24"/>
                <w:lang w:eastAsia="zh-CN"/>
              </w:rPr>
              <w:t>质保期（年）</w:t>
            </w:r>
          </w:p>
        </w:tc>
        <w:tc>
          <w:tcPr>
            <w:tcW w:w="6715" w:type="dxa"/>
            <w:vAlign w:val="center"/>
          </w:tcPr>
          <w:p>
            <w:pPr>
              <w:spacing w:line="360" w:lineRule="auto"/>
              <w:jc w:val="center"/>
              <w:rPr>
                <w:rFonts w:ascii="宋体" w:hAnsi="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pPr>
              <w:spacing w:line="360" w:lineRule="auto"/>
              <w:jc w:val="center"/>
              <w:rPr>
                <w:rFonts w:hint="eastAsia" w:ascii="宋体" w:hAnsi="宋体"/>
                <w:color w:val="auto"/>
                <w:w w:val="110"/>
                <w:sz w:val="24"/>
                <w:szCs w:val="24"/>
                <w:lang w:eastAsia="zh-CN"/>
              </w:rPr>
            </w:pPr>
            <w:r>
              <w:rPr>
                <w:rFonts w:hint="eastAsia" w:ascii="宋体" w:hAnsi="宋体"/>
                <w:color w:val="auto"/>
                <w:w w:val="110"/>
                <w:sz w:val="24"/>
                <w:szCs w:val="24"/>
                <w:lang w:eastAsia="zh-CN"/>
              </w:rPr>
              <w:t>项目经理</w:t>
            </w:r>
          </w:p>
        </w:tc>
        <w:tc>
          <w:tcPr>
            <w:tcW w:w="6715" w:type="dxa"/>
            <w:vAlign w:val="center"/>
          </w:tcPr>
          <w:p>
            <w:pPr>
              <w:spacing w:line="360" w:lineRule="auto"/>
              <w:jc w:val="left"/>
              <w:rPr>
                <w:rFonts w:hint="eastAsia" w:ascii="宋体"/>
                <w:color w:val="auto"/>
                <w:sz w:val="24"/>
                <w:szCs w:val="24"/>
                <w:highlight w:val="none"/>
              </w:rPr>
            </w:pPr>
            <w:r>
              <w:rPr>
                <w:rFonts w:hint="eastAsia" w:ascii="宋体"/>
                <w:color w:val="auto"/>
                <w:sz w:val="24"/>
                <w:szCs w:val="24"/>
                <w:highlight w:val="none"/>
              </w:rPr>
              <w:t>姓名：</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pacing w:line="360" w:lineRule="auto"/>
              <w:jc w:val="left"/>
              <w:rPr>
                <w:rFonts w:hint="eastAsia" w:ascii="宋体"/>
                <w:color w:val="auto"/>
                <w:sz w:val="24"/>
                <w:szCs w:val="24"/>
                <w:highlight w:val="none"/>
              </w:rPr>
            </w:pPr>
            <w:r>
              <w:rPr>
                <w:rFonts w:hint="eastAsia" w:ascii="宋体"/>
                <w:color w:val="auto"/>
                <w:sz w:val="24"/>
                <w:szCs w:val="24"/>
                <w:highlight w:val="none"/>
              </w:rPr>
              <w:t>证书等级：</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pacing w:line="360" w:lineRule="auto"/>
              <w:jc w:val="both"/>
              <w:rPr>
                <w:rFonts w:ascii="宋体" w:hAnsi="宋体"/>
                <w:color w:val="auto"/>
                <w:w w:val="110"/>
                <w:sz w:val="24"/>
                <w:szCs w:val="24"/>
              </w:rPr>
            </w:pPr>
            <w:r>
              <w:rPr>
                <w:rFonts w:hint="eastAsia" w:ascii="宋体"/>
                <w:color w:val="auto"/>
                <w:sz w:val="24"/>
                <w:szCs w:val="24"/>
                <w:highlight w:val="none"/>
              </w:rPr>
              <w:t>证书注册编号：</w:t>
            </w:r>
            <w:r>
              <w:rPr>
                <w:rFonts w:hint="eastAsia" w:ascii="宋体"/>
                <w:color w:val="auto"/>
                <w:sz w:val="24"/>
                <w:szCs w:val="24"/>
                <w:highlight w:val="none"/>
                <w:u w:val="single"/>
              </w:rPr>
              <w:t xml:space="preserve">              </w:t>
            </w:r>
            <w:r>
              <w:rPr>
                <w:rFonts w:hint="eastAsia" w:ascii="宋体"/>
                <w:color w:val="auto"/>
                <w:sz w:val="24"/>
                <w:szCs w:val="24"/>
                <w:highlight w:val="none"/>
              </w:rPr>
              <w:t>。</w:t>
            </w:r>
          </w:p>
        </w:tc>
      </w:tr>
    </w:tbl>
    <w:p>
      <w:pPr>
        <w:spacing w:line="360" w:lineRule="auto"/>
        <w:ind w:right="420"/>
        <w:rPr>
          <w:rFonts w:hint="eastAsia" w:ascii="宋体" w:hAnsi="宋体"/>
          <w:color w:val="auto"/>
          <w:sz w:val="24"/>
        </w:rPr>
      </w:pPr>
      <w:r>
        <w:rPr>
          <w:rFonts w:hint="eastAsia" w:ascii="宋体" w:hAnsi="宋体"/>
          <w:color w:val="auto"/>
          <w:sz w:val="24"/>
        </w:rPr>
        <w:t xml:space="preserve">     </w:t>
      </w:r>
    </w:p>
    <w:p>
      <w:pPr>
        <w:spacing w:line="360" w:lineRule="auto"/>
        <w:ind w:right="420"/>
        <w:rPr>
          <w:rFonts w:ascii="宋体" w:hAnsi="宋体"/>
          <w:color w:val="auto"/>
          <w:sz w:val="24"/>
        </w:rPr>
      </w:pPr>
      <w:r>
        <w:rPr>
          <w:rFonts w:hint="eastAsia" w:ascii="宋体" w:hAnsi="宋体"/>
          <w:color w:val="auto"/>
          <w:sz w:val="24"/>
        </w:rPr>
        <w:t xml:space="preserve">                                                     </w:t>
      </w:r>
    </w:p>
    <w:p>
      <w:pPr>
        <w:spacing w:line="360" w:lineRule="auto"/>
        <w:ind w:right="420"/>
        <w:rPr>
          <w:rFonts w:ascii="宋体" w:hAnsi="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（盖章）：</w:t>
      </w:r>
    </w:p>
    <w:p>
      <w:pPr>
        <w:spacing w:line="480" w:lineRule="exact"/>
        <w:jc w:val="left"/>
        <w:rPr>
          <w:rFonts w:ascii="宋体" w:hAnsi="宋体" w:cs="宋体"/>
          <w:color w:val="auto"/>
          <w:sz w:val="24"/>
        </w:rPr>
      </w:pPr>
      <w:r>
        <w:rPr>
          <w:rFonts w:hint="eastAsia" w:ascii="宋体" w:hAnsi="宋体" w:cs="宋体"/>
          <w:color w:val="auto"/>
          <w:sz w:val="24"/>
        </w:rPr>
        <w:t>法人代表或委托代理人（签字或盖章）：</w:t>
      </w:r>
    </w:p>
    <w:p>
      <w:pPr>
        <w:spacing w:line="480" w:lineRule="exact"/>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54"/>
        <w:rPr>
          <w:rFonts w:hint="eastAsia" w:ascii="宋体" w:hAnsi="宋体" w:cs="宋体"/>
          <w:color w:val="auto"/>
          <w:sz w:val="24"/>
        </w:rPr>
      </w:pPr>
    </w:p>
    <w:p>
      <w:pPr>
        <w:pStyle w:val="54"/>
        <w:rPr>
          <w:rFonts w:hint="eastAsia" w:ascii="宋体" w:hAnsi="宋体" w:cs="宋体"/>
          <w:color w:val="auto"/>
          <w:sz w:val="24"/>
        </w:rPr>
      </w:pPr>
    </w:p>
    <w:p>
      <w:pPr>
        <w:pStyle w:val="54"/>
        <w:rPr>
          <w:rFonts w:hint="eastAsia" w:ascii="宋体" w:hAnsi="宋体" w:cs="宋体"/>
          <w:color w:val="auto"/>
          <w:sz w:val="24"/>
        </w:rPr>
      </w:pPr>
    </w:p>
    <w:p>
      <w:pPr>
        <w:pStyle w:val="54"/>
        <w:rPr>
          <w:rFonts w:hint="eastAsia" w:ascii="宋体" w:hAnsi="宋体" w:cs="宋体"/>
          <w:color w:val="auto"/>
          <w:sz w:val="24"/>
        </w:rPr>
      </w:pPr>
    </w:p>
    <w:p>
      <w:pPr>
        <w:pStyle w:val="54"/>
        <w:rPr>
          <w:rFonts w:hint="eastAsia" w:ascii="宋体" w:hAnsi="宋体" w:cs="宋体"/>
          <w:color w:val="auto"/>
          <w:sz w:val="24"/>
        </w:rPr>
      </w:pPr>
    </w:p>
    <w:p>
      <w:pPr>
        <w:pStyle w:val="54"/>
        <w:ind w:left="0" w:leftChars="0" w:firstLine="0" w:firstLineChars="0"/>
        <w:rPr>
          <w:rFonts w:hint="eastAsia" w:ascii="宋体" w:hAnsi="宋体" w:cs="宋体"/>
          <w:color w:val="auto"/>
          <w:sz w:val="24"/>
        </w:rPr>
      </w:pPr>
    </w:p>
    <w:p>
      <w:pPr>
        <w:spacing w:line="360" w:lineRule="auto"/>
        <w:jc w:val="center"/>
        <w:rPr>
          <w:rFonts w:hint="eastAsia" w:ascii="宋体" w:hAnsi="宋体" w:cs="宋体"/>
          <w:b/>
          <w:color w:val="auto"/>
          <w:kern w:val="0"/>
          <w:sz w:val="24"/>
          <w:szCs w:val="24"/>
          <w:lang w:eastAsia="zh-CN"/>
        </w:rPr>
      </w:pPr>
      <w:r>
        <w:rPr>
          <w:rFonts w:hint="eastAsia" w:ascii="宋体" w:hAnsi="宋体" w:cs="宋体"/>
          <w:b/>
          <w:color w:val="auto"/>
          <w:kern w:val="0"/>
          <w:sz w:val="24"/>
          <w:szCs w:val="24"/>
          <w:lang w:eastAsia="zh-CN"/>
        </w:rPr>
        <w:t>四、初次报价的已标价工程量清单</w:t>
      </w:r>
    </w:p>
    <w:p>
      <w:pPr>
        <w:spacing w:line="360" w:lineRule="auto"/>
        <w:ind w:firstLine="480" w:firstLineChars="200"/>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pStyle w:val="2"/>
        <w:rPr>
          <w:color w:val="auto"/>
        </w:rPr>
      </w:pPr>
    </w:p>
    <w:p>
      <w:pPr>
        <w:spacing w:line="360" w:lineRule="auto"/>
        <w:jc w:val="center"/>
        <w:rPr>
          <w:rFonts w:hint="eastAsia" w:ascii="宋体" w:hAnsi="宋体" w:cs="宋体"/>
          <w:b/>
          <w:color w:val="auto"/>
          <w:kern w:val="0"/>
          <w:sz w:val="24"/>
          <w:szCs w:val="24"/>
          <w:lang w:eastAsia="zh-CN"/>
        </w:rPr>
      </w:pPr>
      <w:r>
        <w:rPr>
          <w:rFonts w:hint="eastAsia" w:ascii="宋体" w:hAnsi="宋体" w:cs="宋体"/>
          <w:b/>
          <w:color w:val="auto"/>
          <w:kern w:val="0"/>
          <w:sz w:val="24"/>
          <w:szCs w:val="24"/>
          <w:lang w:eastAsia="zh-CN"/>
        </w:rPr>
        <w:t>五</w:t>
      </w:r>
      <w:r>
        <w:rPr>
          <w:rFonts w:hint="eastAsia" w:ascii="宋体" w:hAnsi="宋体" w:cs="宋体"/>
          <w:b/>
          <w:color w:val="auto"/>
          <w:kern w:val="0"/>
          <w:sz w:val="24"/>
          <w:szCs w:val="24"/>
        </w:rPr>
        <w:t>、</w:t>
      </w:r>
      <w:r>
        <w:rPr>
          <w:rFonts w:hint="eastAsia" w:ascii="宋体" w:hAnsi="宋体" w:cs="宋体"/>
          <w:b/>
          <w:color w:val="auto"/>
          <w:kern w:val="0"/>
          <w:sz w:val="24"/>
          <w:szCs w:val="24"/>
          <w:lang w:eastAsia="zh-CN"/>
        </w:rPr>
        <w:t>技术部分（施工组织设计）</w:t>
      </w:r>
    </w:p>
    <w:p>
      <w:pPr>
        <w:spacing w:line="360" w:lineRule="auto"/>
        <w:rPr>
          <w:rFonts w:ascii="宋体" w:hAnsi="宋体"/>
          <w:color w:val="auto"/>
          <w:sz w:val="24"/>
        </w:rPr>
      </w:pPr>
      <w:r>
        <w:rPr>
          <w:rFonts w:hint="eastAsia" w:ascii="宋体" w:hAnsi="宋体"/>
          <w:color w:val="auto"/>
          <w:sz w:val="24"/>
        </w:rPr>
        <w:t>一、施工组织方案：</w:t>
      </w:r>
    </w:p>
    <w:tbl>
      <w:tblPr>
        <w:tblStyle w:val="39"/>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1.针对项目特点内容规范完整性和整体编制水平</w:t>
            </w:r>
          </w:p>
        </w:tc>
      </w:tr>
      <w:tr>
        <w:tblPrEx>
          <w:tblCellMar>
            <w:top w:w="0" w:type="dxa"/>
            <w:left w:w="108" w:type="dxa"/>
            <w:bottom w:w="0" w:type="dxa"/>
            <w:right w:w="108" w:type="dxa"/>
          </w:tblCellMar>
        </w:tblPrEx>
        <w:trPr>
          <w:trHeight w:val="600" w:hRule="atLeast"/>
          <w:jc w:val="center"/>
        </w:trPr>
        <w:tc>
          <w:tcPr>
            <w:tcW w:w="9505" w:type="dxa"/>
          </w:tcPr>
          <w:p>
            <w:pPr>
              <w:rPr>
                <w:rFonts w:hint="default" w:ascii="宋体" w:hAnsi="宋体" w:eastAsia="宋体"/>
                <w:color w:val="auto"/>
                <w:sz w:val="24"/>
                <w:lang w:val="en-US" w:eastAsia="zh-CN"/>
              </w:rPr>
            </w:pPr>
            <w:r>
              <w:rPr>
                <w:rFonts w:hint="eastAsia" w:ascii="宋体" w:hAnsi="宋体"/>
                <w:color w:val="auto"/>
                <w:sz w:val="24"/>
              </w:rPr>
              <w:t>2.</w:t>
            </w:r>
            <w:r>
              <w:rPr>
                <w:rFonts w:hint="eastAsia" w:ascii="宋体" w:hAnsi="宋体"/>
                <w:color w:val="auto"/>
                <w:sz w:val="24"/>
                <w:lang w:val="en-US" w:eastAsia="zh-CN"/>
              </w:rPr>
              <w:t>施工进度计划和保证措施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3.质量管理体系与措施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4.安全管理体系与措施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5.环保管理体系与措施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6.文明管理体系与措施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hint="default" w:ascii="宋体" w:hAnsi="宋体" w:eastAsia="宋体"/>
                <w:color w:val="auto"/>
                <w:sz w:val="24"/>
                <w:lang w:val="en-US" w:eastAsia="zh-CN"/>
              </w:rPr>
            </w:pPr>
            <w:r>
              <w:rPr>
                <w:rFonts w:hint="eastAsia" w:ascii="宋体" w:hAnsi="宋体"/>
                <w:color w:val="auto"/>
                <w:sz w:val="24"/>
              </w:rPr>
              <w:t>7.</w:t>
            </w:r>
            <w:r>
              <w:rPr>
                <w:rFonts w:hint="eastAsia" w:ascii="宋体" w:hAnsi="宋体"/>
                <w:color w:val="auto"/>
                <w:sz w:val="24"/>
                <w:lang w:val="en-US" w:eastAsia="zh-CN"/>
              </w:rPr>
              <w:t>劳动力、机械设备和材料投入计划</w:t>
            </w:r>
          </w:p>
        </w:tc>
      </w:tr>
      <w:tr>
        <w:tblPrEx>
          <w:tblCellMar>
            <w:top w:w="0" w:type="dxa"/>
            <w:left w:w="108" w:type="dxa"/>
            <w:bottom w:w="0" w:type="dxa"/>
            <w:right w:w="108" w:type="dxa"/>
          </w:tblCellMar>
        </w:tblPrEx>
        <w:trPr>
          <w:trHeight w:val="600" w:hRule="atLeast"/>
          <w:jc w:val="center"/>
        </w:trPr>
        <w:tc>
          <w:tcPr>
            <w:tcW w:w="9505" w:type="dxa"/>
          </w:tcPr>
          <w:p>
            <w:pPr>
              <w:rPr>
                <w:rFonts w:hint="default" w:ascii="宋体" w:hAnsi="宋体" w:eastAsia="宋体"/>
                <w:color w:val="auto"/>
                <w:sz w:val="24"/>
                <w:lang w:val="en-US" w:eastAsia="zh-CN"/>
              </w:rPr>
            </w:pPr>
            <w:r>
              <w:rPr>
                <w:rFonts w:hint="eastAsia" w:ascii="宋体" w:hAnsi="宋体"/>
                <w:color w:val="auto"/>
                <w:sz w:val="24"/>
              </w:rPr>
              <w:t>8.</w:t>
            </w:r>
            <w:r>
              <w:rPr>
                <w:rFonts w:hint="eastAsia" w:ascii="宋体" w:hAnsi="宋体"/>
                <w:color w:val="auto"/>
                <w:sz w:val="24"/>
                <w:lang w:val="en-US" w:eastAsia="zh-CN"/>
              </w:rPr>
              <w:t>施工管理及措施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9.施工关键部位、材料采购要点的控制及措施（根据工程特点及磋商文件要求应具有针对性）</w:t>
            </w:r>
          </w:p>
        </w:tc>
      </w:tr>
      <w:tr>
        <w:tblPrEx>
          <w:tblCellMar>
            <w:top w:w="0" w:type="dxa"/>
            <w:left w:w="108" w:type="dxa"/>
            <w:bottom w:w="0" w:type="dxa"/>
            <w:right w:w="108" w:type="dxa"/>
          </w:tblCellMar>
        </w:tblPrEx>
        <w:trPr>
          <w:trHeight w:val="600" w:hRule="atLeast"/>
          <w:jc w:val="center"/>
        </w:trPr>
        <w:tc>
          <w:tcPr>
            <w:tcW w:w="9505" w:type="dxa"/>
          </w:tcPr>
          <w:p>
            <w:pPr>
              <w:rPr>
                <w:rFonts w:hint="default" w:ascii="宋体" w:hAnsi="宋体" w:eastAsia="宋体"/>
                <w:color w:val="auto"/>
                <w:sz w:val="24"/>
                <w:lang w:val="en-US" w:eastAsia="zh-CN"/>
              </w:rPr>
            </w:pPr>
            <w:r>
              <w:rPr>
                <w:rFonts w:hint="eastAsia" w:ascii="宋体" w:hAnsi="宋体"/>
                <w:color w:val="auto"/>
                <w:sz w:val="24"/>
              </w:rPr>
              <w:t>10.</w:t>
            </w:r>
            <w:r>
              <w:rPr>
                <w:rFonts w:hint="eastAsia" w:ascii="宋体" w:hAnsi="宋体"/>
                <w:color w:val="auto"/>
                <w:sz w:val="24"/>
                <w:lang w:val="en-US" w:eastAsia="zh-CN"/>
              </w:rPr>
              <w:t>扬尘治理措施</w:t>
            </w:r>
          </w:p>
        </w:tc>
      </w:tr>
    </w:tbl>
    <w:p>
      <w:pPr>
        <w:spacing w:line="360" w:lineRule="auto"/>
        <w:rPr>
          <w:rFonts w:ascii="宋体" w:hAnsi="宋体"/>
          <w:color w:val="auto"/>
          <w:sz w:val="24"/>
        </w:rPr>
      </w:pPr>
      <w:r>
        <w:rPr>
          <w:rFonts w:hint="eastAsia" w:ascii="宋体" w:hAnsi="宋体"/>
          <w:color w:val="auto"/>
          <w:sz w:val="24"/>
        </w:rPr>
        <w:t>二、施工组织设计除采用文字表述外可附下列图表。</w:t>
      </w:r>
    </w:p>
    <w:p>
      <w:pPr>
        <w:spacing w:line="360" w:lineRule="auto"/>
        <w:ind w:firstLine="480" w:firstLineChars="200"/>
        <w:rPr>
          <w:rFonts w:ascii="宋体" w:hAnsi="宋体"/>
          <w:color w:val="auto"/>
          <w:sz w:val="24"/>
        </w:rPr>
      </w:pPr>
      <w:r>
        <w:rPr>
          <w:rFonts w:hint="eastAsia" w:ascii="宋体" w:hAnsi="宋体"/>
          <w:color w:val="auto"/>
          <w:sz w:val="24"/>
        </w:rPr>
        <w:t>附表一  拟投入本工程的主要施工设备表</w:t>
      </w:r>
    </w:p>
    <w:p>
      <w:pPr>
        <w:spacing w:line="360" w:lineRule="auto"/>
        <w:ind w:firstLine="480" w:firstLineChars="200"/>
        <w:rPr>
          <w:rFonts w:ascii="宋体" w:hAnsi="宋体"/>
          <w:color w:val="auto"/>
          <w:sz w:val="24"/>
        </w:rPr>
      </w:pPr>
      <w:r>
        <w:rPr>
          <w:rFonts w:hint="eastAsia" w:ascii="宋体" w:hAnsi="宋体"/>
          <w:color w:val="auto"/>
          <w:sz w:val="24"/>
        </w:rPr>
        <w:t>附表二  拟配备本工程的试验和检测仪器设备表</w:t>
      </w:r>
    </w:p>
    <w:p>
      <w:pPr>
        <w:spacing w:line="360" w:lineRule="auto"/>
        <w:ind w:firstLine="480" w:firstLineChars="200"/>
        <w:rPr>
          <w:rFonts w:ascii="宋体" w:hAnsi="宋体"/>
          <w:color w:val="auto"/>
          <w:sz w:val="24"/>
        </w:rPr>
      </w:pPr>
      <w:r>
        <w:rPr>
          <w:rFonts w:hint="eastAsia" w:ascii="宋体" w:hAnsi="宋体"/>
          <w:color w:val="auto"/>
          <w:sz w:val="24"/>
        </w:rPr>
        <w:t>附表三  劳动力计划表</w:t>
      </w:r>
    </w:p>
    <w:p>
      <w:pPr>
        <w:spacing w:line="360" w:lineRule="auto"/>
        <w:ind w:firstLine="480" w:firstLineChars="200"/>
        <w:rPr>
          <w:rFonts w:ascii="宋体" w:hAnsi="宋体"/>
          <w:color w:val="auto"/>
          <w:sz w:val="24"/>
        </w:rPr>
      </w:pPr>
      <w:r>
        <w:rPr>
          <w:rFonts w:hint="eastAsia" w:ascii="宋体" w:hAnsi="宋体"/>
          <w:color w:val="auto"/>
          <w:sz w:val="24"/>
        </w:rPr>
        <w:t>附表四  计划开、竣工日期和施工进度网络图</w:t>
      </w:r>
    </w:p>
    <w:p>
      <w:pPr>
        <w:spacing w:line="360" w:lineRule="auto"/>
        <w:rPr>
          <w:rFonts w:ascii="宋体" w:hAnsi="宋体"/>
          <w:color w:val="auto"/>
          <w:sz w:val="24"/>
        </w:rPr>
      </w:pPr>
    </w:p>
    <w:p>
      <w:pPr>
        <w:spacing w:line="360" w:lineRule="auto"/>
        <w:ind w:firstLine="480" w:firstLineChars="200"/>
        <w:rPr>
          <w:rFonts w:ascii="宋体" w:hAnsi="宋体"/>
          <w:b/>
          <w:color w:val="auto"/>
          <w:sz w:val="24"/>
        </w:rPr>
      </w:pPr>
      <w:r>
        <w:rPr>
          <w:rFonts w:hint="eastAsia" w:ascii="宋体" w:hAnsi="宋体"/>
          <w:color w:val="auto"/>
          <w:sz w:val="24"/>
        </w:rPr>
        <w:br w:type="page"/>
      </w:r>
      <w:r>
        <w:rPr>
          <w:rFonts w:hint="eastAsia" w:ascii="宋体" w:hAnsi="宋体"/>
          <w:b/>
          <w:color w:val="auto"/>
          <w:sz w:val="24"/>
        </w:rPr>
        <w:t>附表一：拟投入本工程的主要施工设备表</w:t>
      </w: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163" w:type="dxa"/>
            <w:vAlign w:val="center"/>
          </w:tcPr>
          <w:p>
            <w:pPr>
              <w:spacing w:line="360" w:lineRule="auto"/>
              <w:jc w:val="center"/>
              <w:rPr>
                <w:rFonts w:ascii="宋体" w:hAnsi="宋体"/>
                <w:color w:val="auto"/>
                <w:sz w:val="24"/>
              </w:rPr>
            </w:pPr>
            <w:r>
              <w:rPr>
                <w:rFonts w:hint="eastAsia" w:ascii="宋体" w:hAnsi="宋体"/>
                <w:color w:val="auto"/>
                <w:sz w:val="24"/>
              </w:rPr>
              <w:t>设备</w:t>
            </w:r>
          </w:p>
          <w:p>
            <w:pPr>
              <w:spacing w:line="360" w:lineRule="auto"/>
              <w:jc w:val="center"/>
              <w:rPr>
                <w:rFonts w:ascii="宋体" w:hAnsi="宋体"/>
                <w:color w:val="auto"/>
                <w:sz w:val="24"/>
              </w:rPr>
            </w:pPr>
            <w:r>
              <w:rPr>
                <w:rFonts w:hint="eastAsia" w:ascii="宋体" w:hAnsi="宋体"/>
                <w:color w:val="auto"/>
                <w:sz w:val="24"/>
              </w:rPr>
              <w:t>名称</w:t>
            </w:r>
          </w:p>
        </w:tc>
        <w:tc>
          <w:tcPr>
            <w:tcW w:w="734" w:type="dxa"/>
            <w:vAlign w:val="center"/>
          </w:tcPr>
          <w:p>
            <w:pPr>
              <w:spacing w:line="360" w:lineRule="auto"/>
              <w:jc w:val="center"/>
              <w:rPr>
                <w:rFonts w:ascii="宋体" w:hAnsi="宋体"/>
                <w:color w:val="auto"/>
                <w:sz w:val="24"/>
              </w:rPr>
            </w:pPr>
            <w:r>
              <w:rPr>
                <w:rFonts w:hint="eastAsia" w:ascii="宋体" w:hAnsi="宋体"/>
                <w:color w:val="auto"/>
                <w:sz w:val="24"/>
              </w:rPr>
              <w:t>型号</w:t>
            </w:r>
          </w:p>
          <w:p>
            <w:pPr>
              <w:spacing w:line="360" w:lineRule="auto"/>
              <w:jc w:val="center"/>
              <w:rPr>
                <w:rFonts w:ascii="宋体" w:hAnsi="宋体"/>
                <w:color w:val="auto"/>
                <w:sz w:val="24"/>
              </w:rPr>
            </w:pPr>
            <w:r>
              <w:rPr>
                <w:rFonts w:hint="eastAsia" w:ascii="宋体" w:hAnsi="宋体"/>
                <w:color w:val="auto"/>
                <w:sz w:val="24"/>
              </w:rPr>
              <w:t>规格</w:t>
            </w:r>
          </w:p>
        </w:tc>
        <w:tc>
          <w:tcPr>
            <w:tcW w:w="1116" w:type="dxa"/>
            <w:vAlign w:val="center"/>
          </w:tcPr>
          <w:p>
            <w:pPr>
              <w:spacing w:line="360" w:lineRule="auto"/>
              <w:jc w:val="center"/>
              <w:rPr>
                <w:rFonts w:ascii="宋体" w:hAnsi="宋体"/>
                <w:color w:val="auto"/>
                <w:sz w:val="24"/>
              </w:rPr>
            </w:pPr>
            <w:r>
              <w:rPr>
                <w:rFonts w:hint="eastAsia" w:ascii="宋体" w:hAnsi="宋体"/>
                <w:color w:val="auto"/>
                <w:sz w:val="24"/>
              </w:rPr>
              <w:t>数  量</w:t>
            </w: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国别</w:t>
            </w:r>
          </w:p>
          <w:p>
            <w:pPr>
              <w:spacing w:line="360" w:lineRule="auto"/>
              <w:jc w:val="center"/>
              <w:rPr>
                <w:rFonts w:ascii="宋体" w:hAnsi="宋体"/>
                <w:color w:val="auto"/>
                <w:sz w:val="24"/>
              </w:rPr>
            </w:pPr>
            <w:r>
              <w:rPr>
                <w:rFonts w:hint="eastAsia" w:ascii="宋体" w:hAnsi="宋体"/>
                <w:color w:val="auto"/>
                <w:sz w:val="24"/>
              </w:rPr>
              <w:t>产地</w:t>
            </w: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制造</w:t>
            </w:r>
          </w:p>
          <w:p>
            <w:pPr>
              <w:spacing w:line="360" w:lineRule="auto"/>
              <w:jc w:val="center"/>
              <w:rPr>
                <w:rFonts w:ascii="宋体" w:hAnsi="宋体"/>
                <w:color w:val="auto"/>
                <w:sz w:val="24"/>
              </w:rPr>
            </w:pPr>
            <w:r>
              <w:rPr>
                <w:rFonts w:hint="eastAsia" w:ascii="宋体" w:hAnsi="宋体"/>
                <w:color w:val="auto"/>
                <w:sz w:val="24"/>
              </w:rPr>
              <w:t>年份</w:t>
            </w:r>
          </w:p>
        </w:tc>
        <w:tc>
          <w:tcPr>
            <w:tcW w:w="1283" w:type="dxa"/>
            <w:vAlign w:val="center"/>
          </w:tcPr>
          <w:p>
            <w:pPr>
              <w:spacing w:line="360" w:lineRule="auto"/>
              <w:jc w:val="center"/>
              <w:rPr>
                <w:rFonts w:ascii="宋体" w:hAnsi="宋体"/>
                <w:color w:val="auto"/>
                <w:sz w:val="24"/>
              </w:rPr>
            </w:pPr>
            <w:r>
              <w:rPr>
                <w:rFonts w:hint="eastAsia" w:ascii="宋体" w:hAnsi="宋体"/>
                <w:color w:val="auto"/>
                <w:sz w:val="24"/>
              </w:rPr>
              <w:t>额定功率</w:t>
            </w:r>
          </w:p>
          <w:p>
            <w:pPr>
              <w:spacing w:line="360" w:lineRule="auto"/>
              <w:jc w:val="center"/>
              <w:rPr>
                <w:rFonts w:ascii="宋体" w:hAnsi="宋体"/>
                <w:color w:val="auto"/>
                <w:sz w:val="24"/>
              </w:rPr>
            </w:pPr>
            <w:r>
              <w:rPr>
                <w:rFonts w:hint="eastAsia" w:ascii="宋体" w:hAnsi="宋体"/>
                <w:color w:val="auto"/>
                <w:sz w:val="24"/>
              </w:rPr>
              <w:t>（KW）</w:t>
            </w:r>
          </w:p>
        </w:tc>
        <w:tc>
          <w:tcPr>
            <w:tcW w:w="953" w:type="dxa"/>
            <w:vAlign w:val="center"/>
          </w:tcPr>
          <w:p>
            <w:pPr>
              <w:spacing w:line="360" w:lineRule="auto"/>
              <w:jc w:val="center"/>
              <w:rPr>
                <w:rFonts w:ascii="宋体" w:hAnsi="宋体"/>
                <w:color w:val="auto"/>
                <w:sz w:val="24"/>
              </w:rPr>
            </w:pPr>
            <w:r>
              <w:rPr>
                <w:rFonts w:hint="eastAsia" w:ascii="宋体" w:hAnsi="宋体"/>
                <w:color w:val="auto"/>
                <w:sz w:val="24"/>
              </w:rPr>
              <w:t>生产</w:t>
            </w:r>
          </w:p>
          <w:p>
            <w:pPr>
              <w:spacing w:line="360" w:lineRule="auto"/>
              <w:jc w:val="center"/>
              <w:rPr>
                <w:rFonts w:ascii="宋体" w:hAnsi="宋体"/>
                <w:color w:val="auto"/>
                <w:sz w:val="24"/>
              </w:rPr>
            </w:pPr>
            <w:r>
              <w:rPr>
                <w:rFonts w:hint="eastAsia" w:ascii="宋体" w:hAnsi="宋体"/>
                <w:color w:val="auto"/>
                <w:sz w:val="24"/>
              </w:rPr>
              <w:t>能力</w:t>
            </w:r>
          </w:p>
        </w:tc>
        <w:tc>
          <w:tcPr>
            <w:tcW w:w="953" w:type="dxa"/>
            <w:vAlign w:val="center"/>
          </w:tcPr>
          <w:p>
            <w:pPr>
              <w:spacing w:line="360" w:lineRule="auto"/>
              <w:jc w:val="center"/>
              <w:rPr>
                <w:rFonts w:ascii="宋体" w:hAnsi="宋体"/>
                <w:color w:val="auto"/>
                <w:sz w:val="24"/>
              </w:rPr>
            </w:pPr>
            <w:r>
              <w:rPr>
                <w:rFonts w:hint="eastAsia" w:ascii="宋体" w:hAnsi="宋体"/>
                <w:color w:val="auto"/>
                <w:sz w:val="24"/>
              </w:rPr>
              <w:t>用于施</w:t>
            </w:r>
          </w:p>
          <w:p>
            <w:pPr>
              <w:spacing w:line="360" w:lineRule="auto"/>
              <w:jc w:val="center"/>
              <w:rPr>
                <w:rFonts w:ascii="宋体" w:hAnsi="宋体"/>
                <w:color w:val="auto"/>
                <w:sz w:val="24"/>
              </w:rPr>
            </w:pPr>
            <w:r>
              <w:rPr>
                <w:rFonts w:hint="eastAsia" w:ascii="宋体" w:hAnsi="宋体"/>
                <w:color w:val="auto"/>
                <w:sz w:val="24"/>
              </w:rPr>
              <w:t>工部位</w:t>
            </w:r>
          </w:p>
        </w:tc>
        <w:tc>
          <w:tcPr>
            <w:tcW w:w="832" w:type="dxa"/>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bl>
    <w:p>
      <w:pPr>
        <w:spacing w:before="143" w:beforeLines="50" w:after="286" w:afterLines="100" w:line="360" w:lineRule="auto"/>
        <w:rPr>
          <w:rFonts w:ascii="宋体" w:hAnsi="宋体"/>
          <w:b/>
          <w:color w:val="auto"/>
          <w:sz w:val="24"/>
        </w:rPr>
      </w:pPr>
      <w:r>
        <w:rPr>
          <w:rFonts w:hint="eastAsia" w:ascii="宋体" w:hAnsi="宋体"/>
          <w:b/>
          <w:color w:val="auto"/>
          <w:sz w:val="24"/>
        </w:rPr>
        <w:t>附表二：拟配备本工程的试验和检测仪器设备表</w:t>
      </w:r>
    </w:p>
    <w:tbl>
      <w:tblPr>
        <w:tblStyle w:val="3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405" w:type="dxa"/>
            <w:vAlign w:val="center"/>
          </w:tcPr>
          <w:p>
            <w:pPr>
              <w:spacing w:line="360" w:lineRule="auto"/>
              <w:jc w:val="center"/>
              <w:rPr>
                <w:rFonts w:ascii="宋体" w:hAnsi="宋体"/>
                <w:color w:val="auto"/>
                <w:sz w:val="24"/>
              </w:rPr>
            </w:pPr>
            <w:r>
              <w:rPr>
                <w:rFonts w:hint="eastAsia" w:ascii="宋体" w:hAnsi="宋体"/>
                <w:color w:val="auto"/>
                <w:sz w:val="24"/>
              </w:rPr>
              <w:t>仪器设备</w:t>
            </w:r>
          </w:p>
          <w:p>
            <w:pPr>
              <w:spacing w:line="360" w:lineRule="auto"/>
              <w:jc w:val="center"/>
              <w:rPr>
                <w:rFonts w:ascii="宋体" w:hAnsi="宋体"/>
                <w:color w:val="auto"/>
                <w:sz w:val="24"/>
              </w:rPr>
            </w:pPr>
            <w:r>
              <w:rPr>
                <w:rFonts w:hint="eastAsia" w:ascii="宋体" w:hAnsi="宋体"/>
                <w:color w:val="auto"/>
                <w:sz w:val="24"/>
              </w:rPr>
              <w:t>名    称</w:t>
            </w:r>
          </w:p>
        </w:tc>
        <w:tc>
          <w:tcPr>
            <w:tcW w:w="846" w:type="dxa"/>
            <w:vAlign w:val="center"/>
          </w:tcPr>
          <w:p>
            <w:pPr>
              <w:spacing w:line="360" w:lineRule="auto"/>
              <w:jc w:val="center"/>
              <w:rPr>
                <w:rFonts w:ascii="宋体" w:hAnsi="宋体"/>
                <w:color w:val="auto"/>
                <w:sz w:val="24"/>
              </w:rPr>
            </w:pPr>
            <w:r>
              <w:rPr>
                <w:rFonts w:hint="eastAsia" w:ascii="宋体" w:hAnsi="宋体"/>
                <w:color w:val="auto"/>
                <w:sz w:val="24"/>
              </w:rPr>
              <w:t>型号</w:t>
            </w:r>
          </w:p>
          <w:p>
            <w:pPr>
              <w:spacing w:line="360" w:lineRule="auto"/>
              <w:jc w:val="center"/>
              <w:rPr>
                <w:rFonts w:ascii="宋体" w:hAnsi="宋体"/>
                <w:color w:val="auto"/>
                <w:sz w:val="24"/>
              </w:rPr>
            </w:pPr>
            <w:r>
              <w:rPr>
                <w:rFonts w:hint="eastAsia" w:ascii="宋体" w:hAnsi="宋体"/>
                <w:color w:val="auto"/>
                <w:sz w:val="24"/>
              </w:rPr>
              <w:t>规格</w:t>
            </w:r>
          </w:p>
        </w:tc>
        <w:tc>
          <w:tcPr>
            <w:tcW w:w="1125" w:type="dxa"/>
            <w:vAlign w:val="center"/>
          </w:tcPr>
          <w:p>
            <w:pPr>
              <w:spacing w:line="360" w:lineRule="auto"/>
              <w:jc w:val="center"/>
              <w:rPr>
                <w:rFonts w:ascii="宋体" w:hAnsi="宋体"/>
                <w:color w:val="auto"/>
                <w:sz w:val="24"/>
              </w:rPr>
            </w:pPr>
            <w:r>
              <w:rPr>
                <w:rFonts w:hint="eastAsia" w:ascii="宋体" w:hAnsi="宋体"/>
                <w:color w:val="auto"/>
                <w:sz w:val="24"/>
              </w:rPr>
              <w:t>数  量</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国别</w:t>
            </w:r>
          </w:p>
          <w:p>
            <w:pPr>
              <w:spacing w:line="360" w:lineRule="auto"/>
              <w:jc w:val="center"/>
              <w:rPr>
                <w:rFonts w:ascii="宋体" w:hAnsi="宋体"/>
                <w:color w:val="auto"/>
                <w:sz w:val="24"/>
              </w:rPr>
            </w:pPr>
            <w:r>
              <w:rPr>
                <w:rFonts w:hint="eastAsia" w:ascii="宋体" w:hAnsi="宋体"/>
                <w:color w:val="auto"/>
                <w:sz w:val="24"/>
              </w:rPr>
              <w:t>产地</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制造</w:t>
            </w:r>
          </w:p>
          <w:p>
            <w:pPr>
              <w:spacing w:line="360" w:lineRule="auto"/>
              <w:jc w:val="center"/>
              <w:rPr>
                <w:rFonts w:ascii="宋体" w:hAnsi="宋体"/>
                <w:color w:val="auto"/>
                <w:sz w:val="24"/>
              </w:rPr>
            </w:pPr>
            <w:r>
              <w:rPr>
                <w:rFonts w:hint="eastAsia" w:ascii="宋体" w:hAnsi="宋体"/>
                <w:color w:val="auto"/>
                <w:sz w:val="24"/>
              </w:rPr>
              <w:t>年份</w:t>
            </w:r>
          </w:p>
        </w:tc>
        <w:tc>
          <w:tcPr>
            <w:tcW w:w="1404" w:type="dxa"/>
            <w:vAlign w:val="center"/>
          </w:tcPr>
          <w:p>
            <w:pPr>
              <w:spacing w:line="360" w:lineRule="auto"/>
              <w:jc w:val="center"/>
              <w:rPr>
                <w:rFonts w:ascii="宋体" w:hAnsi="宋体"/>
                <w:color w:val="auto"/>
                <w:sz w:val="24"/>
              </w:rPr>
            </w:pPr>
            <w:r>
              <w:rPr>
                <w:rFonts w:hint="eastAsia" w:ascii="宋体" w:hAnsi="宋体"/>
                <w:color w:val="auto"/>
                <w:sz w:val="24"/>
              </w:rPr>
              <w:t>已使用</w:t>
            </w:r>
          </w:p>
          <w:p>
            <w:pPr>
              <w:spacing w:line="360" w:lineRule="auto"/>
              <w:jc w:val="center"/>
              <w:rPr>
                <w:rFonts w:ascii="宋体" w:hAnsi="宋体"/>
                <w:color w:val="auto"/>
                <w:sz w:val="24"/>
              </w:rPr>
            </w:pPr>
            <w:r>
              <w:rPr>
                <w:rFonts w:hint="eastAsia" w:ascii="宋体" w:hAnsi="宋体"/>
                <w:color w:val="auto"/>
                <w:sz w:val="24"/>
              </w:rPr>
              <w:t>台时数</w:t>
            </w:r>
          </w:p>
        </w:tc>
        <w:tc>
          <w:tcPr>
            <w:tcW w:w="1125" w:type="dxa"/>
            <w:vAlign w:val="center"/>
          </w:tcPr>
          <w:p>
            <w:pPr>
              <w:spacing w:line="360" w:lineRule="auto"/>
              <w:jc w:val="center"/>
              <w:rPr>
                <w:rFonts w:ascii="宋体" w:hAnsi="宋体"/>
                <w:color w:val="auto"/>
                <w:sz w:val="24"/>
              </w:rPr>
            </w:pPr>
            <w:r>
              <w:rPr>
                <w:rFonts w:hint="eastAsia" w:ascii="宋体" w:hAnsi="宋体"/>
                <w:color w:val="auto"/>
                <w:sz w:val="24"/>
              </w:rPr>
              <w:t>用  途</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bl>
    <w:p>
      <w:pPr>
        <w:spacing w:before="143" w:beforeLines="50" w:after="143" w:afterLines="50" w:line="360" w:lineRule="auto"/>
        <w:rPr>
          <w:rFonts w:ascii="宋体" w:hAnsi="宋体"/>
          <w:color w:val="auto"/>
          <w:sz w:val="24"/>
        </w:rPr>
      </w:pPr>
    </w:p>
    <w:p>
      <w:pPr>
        <w:spacing w:before="143" w:beforeLines="50" w:after="143" w:afterLines="50" w:line="360" w:lineRule="auto"/>
        <w:rPr>
          <w:rFonts w:ascii="宋体" w:hAnsi="宋体"/>
          <w:b/>
          <w:color w:val="auto"/>
          <w:sz w:val="24"/>
        </w:rPr>
      </w:pPr>
      <w:r>
        <w:rPr>
          <w:rFonts w:hint="eastAsia" w:ascii="宋体" w:hAnsi="宋体"/>
          <w:b/>
          <w:color w:val="auto"/>
          <w:sz w:val="24"/>
        </w:rPr>
        <w:t>附表三：劳动力计划表</w:t>
      </w:r>
    </w:p>
    <w:p>
      <w:pPr>
        <w:spacing w:line="360" w:lineRule="auto"/>
        <w:ind w:right="480"/>
        <w:jc w:val="center"/>
        <w:rPr>
          <w:rFonts w:ascii="宋体" w:hAnsi="宋体"/>
          <w:color w:val="auto"/>
          <w:sz w:val="24"/>
        </w:rPr>
      </w:pPr>
      <w:r>
        <w:rPr>
          <w:rFonts w:hint="eastAsia" w:ascii="宋体" w:hAnsi="宋体"/>
          <w:color w:val="auto"/>
          <w:sz w:val="24"/>
        </w:rPr>
        <w:t xml:space="preserve">                                                   单位：人   </w:t>
      </w:r>
    </w:p>
    <w:tbl>
      <w:tblPr>
        <w:tblStyle w:val="3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vAlign w:val="center"/>
          </w:tcPr>
          <w:p>
            <w:pPr>
              <w:spacing w:line="360" w:lineRule="auto"/>
              <w:jc w:val="center"/>
              <w:rPr>
                <w:rFonts w:ascii="宋体" w:hAnsi="宋体"/>
                <w:color w:val="auto"/>
                <w:sz w:val="24"/>
              </w:rPr>
            </w:pPr>
            <w:r>
              <w:rPr>
                <w:rFonts w:hint="eastAsia" w:ascii="宋体" w:hAnsi="宋体"/>
                <w:color w:val="auto"/>
                <w:sz w:val="24"/>
              </w:rPr>
              <w:t>工种</w:t>
            </w:r>
          </w:p>
        </w:tc>
        <w:tc>
          <w:tcPr>
            <w:tcW w:w="8080" w:type="dxa"/>
            <w:gridSpan w:val="7"/>
            <w:vAlign w:val="center"/>
          </w:tcPr>
          <w:p>
            <w:pPr>
              <w:spacing w:line="360" w:lineRule="auto"/>
              <w:jc w:val="center"/>
              <w:rPr>
                <w:rFonts w:ascii="宋体" w:hAnsi="宋体"/>
                <w:color w:val="auto"/>
                <w:sz w:val="24"/>
              </w:rPr>
            </w:pPr>
            <w:r>
              <w:rPr>
                <w:rFonts w:hint="eastAsia" w:ascii="宋体" w:hAnsi="宋体"/>
                <w:color w:val="auto"/>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bl>
    <w:p>
      <w:pPr>
        <w:spacing w:before="143" w:beforeLines="50" w:after="286" w:afterLines="100" w:line="360" w:lineRule="auto"/>
        <w:rPr>
          <w:rFonts w:ascii="宋体" w:hAnsi="宋体"/>
          <w:color w:val="auto"/>
          <w:sz w:val="24"/>
        </w:rPr>
      </w:pPr>
    </w:p>
    <w:p>
      <w:pPr>
        <w:spacing w:before="143" w:beforeLines="50" w:after="286" w:afterLines="100" w:line="360" w:lineRule="auto"/>
        <w:rPr>
          <w:rFonts w:ascii="宋体" w:hAnsi="宋体"/>
          <w:b/>
          <w:color w:val="auto"/>
          <w:sz w:val="24"/>
        </w:rPr>
      </w:pPr>
      <w:r>
        <w:rPr>
          <w:rFonts w:hint="eastAsia" w:ascii="宋体" w:hAnsi="宋体"/>
          <w:b/>
          <w:color w:val="auto"/>
          <w:sz w:val="24"/>
        </w:rPr>
        <w:t>附表四：计划开、竣工日期和施工进度网络图</w:t>
      </w:r>
    </w:p>
    <w:p>
      <w:pPr>
        <w:spacing w:line="360" w:lineRule="auto"/>
        <w:ind w:firstLine="480" w:firstLineChars="200"/>
        <w:rPr>
          <w:rFonts w:ascii="宋体" w:hAnsi="宋体"/>
          <w:color w:val="auto"/>
          <w:sz w:val="24"/>
        </w:rPr>
      </w:pPr>
      <w:r>
        <w:rPr>
          <w:rFonts w:hint="eastAsia" w:ascii="宋体" w:hAnsi="宋体"/>
          <w:color w:val="auto"/>
          <w:sz w:val="24"/>
        </w:rPr>
        <w:t>1．供应商应递交施工进度网络图或施工进度表，说明按磋商文件要求的计划工期进行施工的各个关键日期。</w:t>
      </w:r>
    </w:p>
    <w:p>
      <w:pPr>
        <w:spacing w:line="360" w:lineRule="auto"/>
        <w:ind w:firstLine="480" w:firstLineChars="200"/>
        <w:rPr>
          <w:rFonts w:ascii="宋体" w:hAnsi="宋体"/>
          <w:color w:val="auto"/>
          <w:sz w:val="24"/>
        </w:rPr>
      </w:pPr>
      <w:r>
        <w:rPr>
          <w:rFonts w:hint="eastAsia" w:ascii="宋体" w:hAnsi="宋体"/>
          <w:color w:val="auto"/>
          <w:sz w:val="24"/>
        </w:rPr>
        <w:t>2．施工进度表可采用网络图和（或）横道图表示。</w:t>
      </w: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line="360" w:lineRule="auto"/>
        <w:jc w:val="center"/>
        <w:rPr>
          <w:rFonts w:hint="eastAsia" w:ascii="宋体" w:hAnsi="宋体" w:cs="宋体"/>
          <w:b/>
          <w:color w:val="auto"/>
          <w:kern w:val="0"/>
          <w:sz w:val="24"/>
          <w:szCs w:val="24"/>
        </w:rPr>
      </w:pPr>
      <w:bookmarkStart w:id="47" w:name="_Toc323642005"/>
      <w:bookmarkStart w:id="48" w:name="_Toc374107074"/>
      <w:bookmarkStart w:id="49" w:name="_Toc300901200"/>
      <w:r>
        <w:rPr>
          <w:rFonts w:hint="eastAsia" w:ascii="宋体" w:hAnsi="宋体" w:cs="宋体"/>
          <w:b/>
          <w:color w:val="auto"/>
          <w:kern w:val="0"/>
          <w:sz w:val="24"/>
          <w:szCs w:val="24"/>
        </w:rPr>
        <w:t>六、项目管理机构</w:t>
      </w:r>
    </w:p>
    <w:p>
      <w:pPr>
        <w:spacing w:after="286" w:afterLines="100" w:line="360" w:lineRule="auto"/>
        <w:jc w:val="center"/>
        <w:rPr>
          <w:rFonts w:ascii="宋体" w:hAnsi="宋体"/>
          <w:color w:val="auto"/>
          <w:sz w:val="24"/>
        </w:rPr>
      </w:pPr>
      <w:r>
        <w:rPr>
          <w:rFonts w:hint="eastAsia" w:ascii="宋体" w:hAnsi="宋体"/>
          <w:color w:val="auto"/>
          <w:sz w:val="24"/>
        </w:rPr>
        <w:t>（一）项目管理机构组成表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22"/>
        <w:gridCol w:w="822"/>
        <w:gridCol w:w="1315"/>
        <w:gridCol w:w="893"/>
        <w:gridCol w:w="912"/>
        <w:gridCol w:w="985"/>
        <w:gridCol w:w="246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职务</w:t>
            </w:r>
          </w:p>
        </w:tc>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职称</w:t>
            </w:r>
          </w:p>
        </w:tc>
        <w:tc>
          <w:tcPr>
            <w:tcW w:w="6570" w:type="dxa"/>
            <w:gridSpan w:val="5"/>
            <w:vAlign w:val="center"/>
          </w:tcPr>
          <w:p>
            <w:pPr>
              <w:spacing w:line="360" w:lineRule="auto"/>
              <w:jc w:val="center"/>
              <w:rPr>
                <w:rFonts w:ascii="宋体" w:hAnsi="宋体"/>
                <w:color w:val="auto"/>
                <w:sz w:val="24"/>
              </w:rPr>
            </w:pPr>
            <w:r>
              <w:rPr>
                <w:rFonts w:hint="eastAsia" w:ascii="宋体" w:hAnsi="宋体"/>
                <w:color w:val="auto"/>
                <w:sz w:val="24"/>
              </w:rPr>
              <w:t>执业或职业资格证明</w:t>
            </w:r>
          </w:p>
        </w:tc>
        <w:tc>
          <w:tcPr>
            <w:tcW w:w="818" w:type="dxa"/>
            <w:vMerge w:val="restart"/>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vAlign w:val="center"/>
          </w:tcPr>
          <w:p>
            <w:pPr>
              <w:spacing w:line="360" w:lineRule="auto"/>
              <w:jc w:val="center"/>
              <w:rPr>
                <w:rFonts w:ascii="宋体" w:hAnsi="宋体"/>
                <w:color w:val="auto"/>
                <w:sz w:val="24"/>
              </w:rPr>
            </w:pPr>
          </w:p>
        </w:tc>
        <w:tc>
          <w:tcPr>
            <w:tcW w:w="822" w:type="dxa"/>
            <w:vMerge w:val="continue"/>
            <w:vAlign w:val="center"/>
          </w:tcPr>
          <w:p>
            <w:pPr>
              <w:spacing w:line="360" w:lineRule="auto"/>
              <w:jc w:val="center"/>
              <w:rPr>
                <w:rFonts w:ascii="宋体" w:hAnsi="宋体"/>
                <w:color w:val="auto"/>
                <w:sz w:val="24"/>
              </w:rPr>
            </w:pPr>
          </w:p>
        </w:tc>
        <w:tc>
          <w:tcPr>
            <w:tcW w:w="822" w:type="dxa"/>
            <w:vMerge w:val="continue"/>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证书名称</w:t>
            </w:r>
          </w:p>
        </w:tc>
        <w:tc>
          <w:tcPr>
            <w:tcW w:w="893" w:type="dxa"/>
            <w:vAlign w:val="center"/>
          </w:tcPr>
          <w:p>
            <w:pPr>
              <w:spacing w:line="360" w:lineRule="auto"/>
              <w:jc w:val="center"/>
              <w:rPr>
                <w:rFonts w:ascii="宋体" w:hAnsi="宋体"/>
                <w:color w:val="auto"/>
                <w:sz w:val="24"/>
              </w:rPr>
            </w:pPr>
            <w:r>
              <w:rPr>
                <w:rFonts w:hint="eastAsia" w:ascii="宋体" w:hAnsi="宋体"/>
                <w:color w:val="auto"/>
                <w:sz w:val="24"/>
              </w:rPr>
              <w:t>级别</w:t>
            </w:r>
          </w:p>
        </w:tc>
        <w:tc>
          <w:tcPr>
            <w:tcW w:w="912" w:type="dxa"/>
            <w:vAlign w:val="center"/>
          </w:tcPr>
          <w:p>
            <w:pPr>
              <w:spacing w:line="360" w:lineRule="auto"/>
              <w:jc w:val="center"/>
              <w:rPr>
                <w:rFonts w:ascii="宋体" w:hAnsi="宋体"/>
                <w:color w:val="auto"/>
                <w:sz w:val="24"/>
              </w:rPr>
            </w:pPr>
            <w:r>
              <w:rPr>
                <w:rFonts w:hint="eastAsia" w:ascii="宋体" w:hAnsi="宋体"/>
                <w:color w:val="auto"/>
                <w:sz w:val="24"/>
              </w:rPr>
              <w:t>证号</w:t>
            </w:r>
          </w:p>
        </w:tc>
        <w:tc>
          <w:tcPr>
            <w:tcW w:w="985" w:type="dxa"/>
            <w:vAlign w:val="center"/>
          </w:tcPr>
          <w:p>
            <w:pPr>
              <w:spacing w:line="360" w:lineRule="auto"/>
              <w:jc w:val="center"/>
              <w:rPr>
                <w:rFonts w:ascii="宋体" w:hAnsi="宋体"/>
                <w:color w:val="auto"/>
                <w:sz w:val="24"/>
              </w:rPr>
            </w:pPr>
            <w:r>
              <w:rPr>
                <w:rFonts w:hint="eastAsia" w:ascii="宋体" w:hAnsi="宋体"/>
                <w:color w:val="auto"/>
                <w:sz w:val="24"/>
              </w:rPr>
              <w:t>专业</w:t>
            </w:r>
          </w:p>
        </w:tc>
        <w:tc>
          <w:tcPr>
            <w:tcW w:w="2465" w:type="dxa"/>
            <w:vAlign w:val="center"/>
          </w:tcPr>
          <w:p>
            <w:pPr>
              <w:spacing w:line="360" w:lineRule="auto"/>
              <w:jc w:val="center"/>
              <w:rPr>
                <w:rFonts w:ascii="宋体" w:hAnsi="宋体"/>
                <w:color w:val="auto"/>
                <w:sz w:val="24"/>
              </w:rPr>
            </w:pPr>
            <w:r>
              <w:rPr>
                <w:rFonts w:hint="eastAsia" w:ascii="宋体" w:hAnsi="宋体"/>
                <w:color w:val="auto"/>
                <w:sz w:val="24"/>
              </w:rPr>
              <w:t>养老保险</w:t>
            </w:r>
          </w:p>
        </w:tc>
        <w:tc>
          <w:tcPr>
            <w:tcW w:w="818" w:type="dxa"/>
            <w:vMerge w:val="continue"/>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bl>
    <w:p>
      <w:pPr>
        <w:spacing w:before="143" w:beforeLines="50" w:after="286" w:afterLines="100" w:line="360" w:lineRule="auto"/>
        <w:jc w:val="center"/>
        <w:rPr>
          <w:rFonts w:ascii="宋体" w:hAnsi="宋体"/>
          <w:color w:val="auto"/>
          <w:sz w:val="24"/>
        </w:rPr>
      </w:pPr>
      <w:r>
        <w:rPr>
          <w:rFonts w:hint="eastAsia" w:ascii="宋体" w:hAnsi="宋体"/>
          <w:color w:val="auto"/>
          <w:sz w:val="24"/>
        </w:rPr>
        <w:t>（二）主要人员简历表</w:t>
      </w:r>
    </w:p>
    <w:p>
      <w:pPr>
        <w:spacing w:line="360" w:lineRule="auto"/>
        <w:rPr>
          <w:rFonts w:ascii="宋体" w:hAnsi="宋体"/>
          <w:color w:val="auto"/>
          <w:sz w:val="24"/>
        </w:rPr>
      </w:pPr>
      <w:r>
        <w:rPr>
          <w:rFonts w:hint="eastAsia" w:ascii="宋体" w:hAnsi="宋体"/>
          <w:color w:val="auto"/>
          <w:sz w:val="24"/>
        </w:rPr>
        <w:t>附1：项目经理简历表</w:t>
      </w:r>
    </w:p>
    <w:p>
      <w:pPr>
        <w:spacing w:line="360" w:lineRule="auto"/>
        <w:rPr>
          <w:rFonts w:ascii="宋体" w:hAnsi="宋体"/>
          <w:color w:val="auto"/>
          <w:sz w:val="24"/>
        </w:rPr>
      </w:pPr>
      <w:r>
        <w:rPr>
          <w:rFonts w:hint="eastAsia" w:ascii="宋体" w:hAnsi="宋体"/>
          <w:color w:val="auto"/>
          <w:sz w:val="24"/>
        </w:rPr>
        <w:t>项目经理应附建造师注册证书、安全生产考核合格证书（B证）、身份证、职称证、学历证，及未担任其他在施建设工程项目项目经理的承诺书，管理过的项目业绩须附中标通知书和施工合同。类似项目限于以项目经理身份参与的项目。</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98"/>
        <w:gridCol w:w="1315"/>
        <w:gridCol w:w="1478"/>
        <w:gridCol w:w="213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姓  名</w:t>
            </w: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年  龄</w:t>
            </w: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学历</w:t>
            </w: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职  称</w:t>
            </w: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职  务</w:t>
            </w: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拟在本工程任职</w:t>
            </w:r>
          </w:p>
        </w:tc>
        <w:tc>
          <w:tcPr>
            <w:tcW w:w="2464" w:type="dxa"/>
            <w:vAlign w:val="center"/>
          </w:tcPr>
          <w:p>
            <w:pPr>
              <w:spacing w:line="360" w:lineRule="auto"/>
              <w:jc w:val="center"/>
              <w:rPr>
                <w:rFonts w:ascii="宋体" w:hAnsi="宋体"/>
                <w:color w:val="auto"/>
                <w:sz w:val="24"/>
              </w:rPr>
            </w:pPr>
            <w:r>
              <w:rPr>
                <w:rFonts w:hint="eastAsia" w:ascii="宋体" w:hAnsi="宋体"/>
                <w:color w:val="auto"/>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olor w:val="auto"/>
                <w:sz w:val="24"/>
              </w:rPr>
            </w:pPr>
            <w:r>
              <w:rPr>
                <w:rFonts w:hint="eastAsia" w:ascii="宋体" w:hAnsi="宋体"/>
                <w:color w:val="auto"/>
                <w:sz w:val="24"/>
              </w:rPr>
              <w:t>注册建造师执业资格等级</w:t>
            </w:r>
          </w:p>
        </w:tc>
        <w:tc>
          <w:tcPr>
            <w:tcW w:w="1478" w:type="dxa"/>
            <w:vAlign w:val="center"/>
          </w:tcPr>
          <w:p>
            <w:pPr>
              <w:spacing w:line="360" w:lineRule="auto"/>
              <w:jc w:val="center"/>
              <w:rPr>
                <w:rFonts w:ascii="宋体" w:hAnsi="宋体"/>
                <w:color w:val="auto"/>
                <w:sz w:val="24"/>
              </w:rPr>
            </w:pPr>
            <w:r>
              <w:rPr>
                <w:rFonts w:hint="eastAsia" w:ascii="宋体" w:hAnsi="宋体"/>
                <w:color w:val="auto"/>
                <w:sz w:val="24"/>
              </w:rPr>
              <w:t xml:space="preserve">      级</w:t>
            </w: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建造师专业</w:t>
            </w: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olor w:val="auto"/>
                <w:sz w:val="24"/>
              </w:rPr>
            </w:pPr>
            <w:r>
              <w:rPr>
                <w:rFonts w:hint="eastAsia" w:ascii="宋体" w:hAnsi="宋体"/>
                <w:color w:val="auto"/>
                <w:sz w:val="24"/>
              </w:rPr>
              <w:t>安全生产考核合格证书</w:t>
            </w:r>
          </w:p>
        </w:tc>
        <w:tc>
          <w:tcPr>
            <w:tcW w:w="6076"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毕业学校</w:t>
            </w:r>
          </w:p>
        </w:tc>
        <w:tc>
          <w:tcPr>
            <w:tcW w:w="8589" w:type="dxa"/>
            <w:gridSpan w:val="5"/>
            <w:vAlign w:val="center"/>
          </w:tcPr>
          <w:p>
            <w:pPr>
              <w:spacing w:line="360" w:lineRule="auto"/>
              <w:ind w:firstLine="960" w:firstLineChars="400"/>
              <w:rPr>
                <w:rFonts w:ascii="宋体" w:hAnsi="宋体"/>
                <w:color w:val="auto"/>
                <w:sz w:val="24"/>
              </w:rPr>
            </w:pPr>
            <w:r>
              <w:rPr>
                <w:rFonts w:hint="eastAsia" w:ascii="宋体" w:hAnsi="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6"/>
            <w:vAlign w:val="center"/>
          </w:tcPr>
          <w:p>
            <w:pPr>
              <w:spacing w:line="360" w:lineRule="auto"/>
              <w:jc w:val="center"/>
              <w:rPr>
                <w:rFonts w:ascii="宋体" w:hAnsi="宋体"/>
                <w:color w:val="auto"/>
                <w:sz w:val="24"/>
              </w:rPr>
            </w:pPr>
            <w:r>
              <w:rPr>
                <w:rFonts w:hint="eastAsia" w:ascii="宋体" w:hAnsi="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时  间</w:t>
            </w:r>
          </w:p>
        </w:tc>
        <w:tc>
          <w:tcPr>
            <w:tcW w:w="3991" w:type="dxa"/>
            <w:gridSpan w:val="3"/>
            <w:vAlign w:val="center"/>
          </w:tcPr>
          <w:p>
            <w:pPr>
              <w:spacing w:line="360" w:lineRule="auto"/>
              <w:jc w:val="center"/>
              <w:rPr>
                <w:rFonts w:ascii="宋体" w:hAnsi="宋体"/>
                <w:color w:val="auto"/>
                <w:sz w:val="24"/>
              </w:rPr>
            </w:pPr>
            <w:r>
              <w:rPr>
                <w:rFonts w:hint="eastAsia" w:ascii="宋体" w:hAnsi="宋体"/>
                <w:color w:val="auto"/>
                <w:sz w:val="24"/>
              </w:rPr>
              <w:t>参加过的类似项目名称</w:t>
            </w: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工程概况说明</w:t>
            </w:r>
          </w:p>
        </w:tc>
        <w:tc>
          <w:tcPr>
            <w:tcW w:w="2464" w:type="dxa"/>
            <w:vAlign w:val="center"/>
          </w:tcPr>
          <w:p>
            <w:pPr>
              <w:spacing w:line="360" w:lineRule="auto"/>
              <w:jc w:val="center"/>
              <w:rPr>
                <w:rFonts w:ascii="宋体" w:hAnsi="宋体"/>
                <w:color w:val="auto"/>
                <w:sz w:val="24"/>
              </w:rPr>
            </w:pPr>
            <w:r>
              <w:rPr>
                <w:rFonts w:hint="eastAsia" w:ascii="宋体" w:hAnsi="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附2：主要项目管理人员简历表</w:t>
      </w:r>
    </w:p>
    <w:p>
      <w:pPr>
        <w:spacing w:line="360" w:lineRule="auto"/>
        <w:rPr>
          <w:rFonts w:ascii="宋体" w:hAnsi="宋体"/>
          <w:color w:val="auto"/>
          <w:sz w:val="24"/>
        </w:rPr>
      </w:pPr>
      <w:r>
        <w:rPr>
          <w:rFonts w:hint="eastAsia" w:ascii="宋体" w:hAnsi="宋体"/>
          <w:color w:val="auto"/>
          <w:sz w:val="24"/>
        </w:rPr>
        <w:t xml:space="preserve">应附项目管理班子下列人员的相关证书、身份证、学历证： </w:t>
      </w:r>
    </w:p>
    <w:p>
      <w:pPr>
        <w:spacing w:line="360" w:lineRule="auto"/>
        <w:rPr>
          <w:rFonts w:ascii="宋体" w:hAnsi="宋体"/>
          <w:color w:val="auto"/>
          <w:sz w:val="24"/>
        </w:rPr>
      </w:pPr>
      <w:r>
        <w:rPr>
          <w:rFonts w:hint="eastAsia" w:ascii="宋体" w:hAnsi="宋体"/>
          <w:color w:val="auto"/>
          <w:sz w:val="24"/>
        </w:rPr>
        <w:t>项目技术负责人职称证书、关键岗位人员（主要包括：质检（量）员、安全员、材料员、预算（造价）员、资料员）岗位证书。</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岗位名称</w:t>
            </w:r>
          </w:p>
        </w:tc>
        <w:tc>
          <w:tcPr>
            <w:tcW w:w="7378"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姓    名</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年    龄</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性    别</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毕业学校</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学历和专业</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毕业时间</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拥有的执业资格</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专业职称</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执业资格证书编号</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工作年限</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trPr>
        <w:tc>
          <w:tcPr>
            <w:tcW w:w="1908" w:type="dxa"/>
            <w:vAlign w:val="center"/>
          </w:tcPr>
          <w:p>
            <w:pPr>
              <w:spacing w:line="360" w:lineRule="auto"/>
              <w:jc w:val="center"/>
              <w:rPr>
                <w:rFonts w:ascii="宋体" w:hAnsi="宋体"/>
                <w:color w:val="auto"/>
                <w:sz w:val="24"/>
              </w:rPr>
            </w:pPr>
            <w:r>
              <w:rPr>
                <w:rFonts w:hint="eastAsia" w:ascii="宋体" w:hAnsi="宋体"/>
                <w:color w:val="auto"/>
                <w:sz w:val="24"/>
              </w:rPr>
              <w:t>主要工作业绩及担任的主要工作</w:t>
            </w:r>
          </w:p>
        </w:tc>
        <w:tc>
          <w:tcPr>
            <w:tcW w:w="7378" w:type="dxa"/>
            <w:gridSpan w:val="3"/>
            <w:vAlign w:val="center"/>
          </w:tcPr>
          <w:p>
            <w:pPr>
              <w:spacing w:line="360" w:lineRule="auto"/>
              <w:jc w:val="center"/>
              <w:rPr>
                <w:rFonts w:ascii="宋体" w:hAnsi="宋体"/>
                <w:color w:val="auto"/>
                <w:sz w:val="24"/>
              </w:rPr>
            </w:pPr>
          </w:p>
        </w:tc>
      </w:tr>
    </w:tbl>
    <w:p>
      <w:pPr>
        <w:spacing w:before="286" w:beforeLines="100" w:after="286" w:afterLines="100" w:line="360" w:lineRule="auto"/>
        <w:jc w:val="left"/>
        <w:rPr>
          <w:rFonts w:ascii="宋体" w:hAnsi="宋体"/>
          <w:color w:val="auto"/>
          <w:sz w:val="24"/>
        </w:rPr>
      </w:pPr>
      <w:r>
        <w:rPr>
          <w:rFonts w:hint="eastAsia" w:ascii="宋体" w:hAnsi="宋体"/>
          <w:color w:val="auto"/>
          <w:sz w:val="24"/>
        </w:rPr>
        <w:t>附件3：承诺书</w:t>
      </w:r>
    </w:p>
    <w:p>
      <w:pPr>
        <w:spacing w:before="286" w:beforeLines="100" w:after="286" w:afterLines="100" w:line="360" w:lineRule="auto"/>
        <w:jc w:val="center"/>
        <w:rPr>
          <w:rFonts w:ascii="宋体" w:hAnsi="宋体"/>
          <w:color w:val="auto"/>
          <w:sz w:val="24"/>
        </w:rPr>
      </w:pPr>
      <w:r>
        <w:rPr>
          <w:rFonts w:hint="eastAsia" w:ascii="宋体" w:hAnsi="宋体"/>
          <w:color w:val="auto"/>
          <w:sz w:val="24"/>
        </w:rPr>
        <w:t>承诺书</w:t>
      </w:r>
    </w:p>
    <w:p>
      <w:pPr>
        <w:spacing w:after="286" w:afterLines="100" w:line="360" w:lineRule="auto"/>
        <w:ind w:firstLine="480" w:firstLineChars="200"/>
        <w:rPr>
          <w:rFonts w:ascii="宋体" w:hAnsi="宋体"/>
          <w:color w:val="auto"/>
          <w:sz w:val="24"/>
        </w:rPr>
      </w:pPr>
      <w:r>
        <w:rPr>
          <w:rFonts w:hint="eastAsia" w:ascii="宋体" w:hAnsi="宋体"/>
          <w:color w:val="auto"/>
          <w:sz w:val="24"/>
          <w:u w:val="single"/>
        </w:rPr>
        <w:t xml:space="preserve">（采购人名称）    </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我方在此声明，我方拟派往</w:t>
      </w:r>
      <w:r>
        <w:rPr>
          <w:rFonts w:hint="eastAsia" w:ascii="宋体" w:hAnsi="宋体"/>
          <w:color w:val="auto"/>
          <w:sz w:val="24"/>
          <w:u w:val="single"/>
        </w:rPr>
        <w:t xml:space="preserve">   （项目名称）</w:t>
      </w:r>
      <w:r>
        <w:rPr>
          <w:rFonts w:hint="eastAsia" w:ascii="宋体" w:hAnsi="宋体"/>
          <w:color w:val="auto"/>
          <w:sz w:val="24"/>
        </w:rPr>
        <w:t>（以下简称“本工程”）的项目经理</w:t>
      </w:r>
      <w:r>
        <w:rPr>
          <w:rFonts w:hint="eastAsia" w:ascii="宋体" w:hAnsi="宋体"/>
          <w:color w:val="auto"/>
          <w:sz w:val="24"/>
          <w:u w:val="single"/>
        </w:rPr>
        <w:t xml:space="preserve">     </w:t>
      </w:r>
      <w:r>
        <w:rPr>
          <w:rFonts w:hint="eastAsia" w:ascii="宋体" w:hAnsi="宋体"/>
          <w:color w:val="auto"/>
          <w:sz w:val="24"/>
        </w:rPr>
        <w:t>（项目经理姓名）现阶段没有担任任何在施建设工程项目的项目经理。</w:t>
      </w:r>
    </w:p>
    <w:p>
      <w:pPr>
        <w:spacing w:line="360" w:lineRule="auto"/>
        <w:ind w:firstLine="480" w:firstLineChars="200"/>
        <w:rPr>
          <w:rFonts w:ascii="宋体" w:hAnsi="宋体"/>
          <w:color w:val="auto"/>
          <w:sz w:val="24"/>
        </w:rPr>
      </w:pPr>
      <w:r>
        <w:rPr>
          <w:rFonts w:hint="eastAsia" w:ascii="宋体" w:hAnsi="宋体"/>
          <w:color w:val="auto"/>
          <w:sz w:val="24"/>
        </w:rPr>
        <w:t>我方保证上述信息的真实和准确，并愿意承担因我方就此弄虚作假所引起的一切法律后果。</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特此承诺。</w:t>
      </w:r>
    </w:p>
    <w:p>
      <w:pPr>
        <w:spacing w:line="360" w:lineRule="auto"/>
        <w:ind w:firstLine="480" w:firstLineChars="20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单位名称：</w:t>
      </w:r>
    </w:p>
    <w:p>
      <w:pPr>
        <w:spacing w:line="360" w:lineRule="auto"/>
        <w:ind w:firstLine="480" w:firstLineChars="200"/>
        <w:jc w:val="right"/>
        <w:rPr>
          <w:rFonts w:ascii="宋体" w:hAnsi="宋体"/>
          <w:color w:val="auto"/>
          <w:sz w:val="24"/>
        </w:rPr>
      </w:pPr>
      <w:r>
        <w:rPr>
          <w:rFonts w:hint="eastAsia" w:ascii="宋体" w:hAnsi="宋体"/>
          <w:color w:val="auto"/>
          <w:sz w:val="24"/>
        </w:rPr>
        <w:t xml:space="preserve">年 </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 xml:space="preserve"> 日</w:t>
      </w:r>
    </w:p>
    <w:p>
      <w:pPr>
        <w:pStyle w:val="4"/>
        <w:numPr>
          <w:ilvl w:val="0"/>
          <w:numId w:val="0"/>
        </w:numPr>
        <w:spacing w:line="360" w:lineRule="auto"/>
        <w:jc w:val="both"/>
        <w:outlineLvl w:val="9"/>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color w:val="auto"/>
          <w:lang w:eastAsia="zh-CN"/>
        </w:rPr>
      </w:pPr>
    </w:p>
    <w:p>
      <w:pPr>
        <w:numPr>
          <w:ilvl w:val="0"/>
          <w:numId w:val="0"/>
        </w:numPr>
        <w:rPr>
          <w:rFonts w:hint="eastAsia"/>
          <w:color w:val="auto"/>
          <w:lang w:eastAsia="zh-CN"/>
        </w:rPr>
      </w:pPr>
    </w:p>
    <w:p>
      <w:pPr>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lang w:eastAsia="zh-CN"/>
        </w:rPr>
        <w:t>七、</w:t>
      </w:r>
      <w:r>
        <w:rPr>
          <w:rFonts w:hint="eastAsia" w:ascii="宋体" w:hAnsi="宋体" w:cs="宋体"/>
          <w:b/>
          <w:color w:val="auto"/>
          <w:kern w:val="0"/>
          <w:sz w:val="24"/>
          <w:szCs w:val="24"/>
        </w:rPr>
        <w:t>资格审查资料</w:t>
      </w:r>
      <w:bookmarkEnd w:id="47"/>
      <w:bookmarkEnd w:id="48"/>
      <w:bookmarkEnd w:id="49"/>
    </w:p>
    <w:p>
      <w:pPr>
        <w:spacing w:before="143" w:beforeLines="50" w:after="286" w:afterLines="100" w:line="360" w:lineRule="auto"/>
        <w:jc w:val="center"/>
        <w:rPr>
          <w:rFonts w:ascii="宋体" w:hAnsi="宋体"/>
          <w:color w:val="auto"/>
          <w:sz w:val="24"/>
        </w:rPr>
      </w:pPr>
      <w:r>
        <w:rPr>
          <w:rFonts w:hint="eastAsia" w:ascii="宋体" w:hAnsi="宋体"/>
          <w:color w:val="auto"/>
          <w:sz w:val="24"/>
          <w:lang w:eastAsia="zh-CN"/>
        </w:rPr>
        <w:t>（一）</w:t>
      </w:r>
      <w:r>
        <w:rPr>
          <w:rFonts w:hint="eastAsia" w:ascii="宋体" w:hAnsi="宋体"/>
          <w:color w:val="auto"/>
          <w:sz w:val="24"/>
        </w:rPr>
        <w:t>供应商基本情况表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供应商名称</w:t>
            </w:r>
          </w:p>
        </w:tc>
        <w:tc>
          <w:tcPr>
            <w:tcW w:w="7664" w:type="dxa"/>
            <w:gridSpan w:val="9"/>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注册地址</w:t>
            </w:r>
          </w:p>
        </w:tc>
        <w:tc>
          <w:tcPr>
            <w:tcW w:w="3700" w:type="dxa"/>
            <w:gridSpan w:val="5"/>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邮政编码</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联系方式</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联系人</w:t>
            </w:r>
          </w:p>
        </w:tc>
        <w:tc>
          <w:tcPr>
            <w:tcW w:w="2721" w:type="dxa"/>
            <w:gridSpan w:val="4"/>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电  话</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spacing w:line="360" w:lineRule="auto"/>
              <w:jc w:val="center"/>
              <w:rPr>
                <w:rFonts w:ascii="宋体" w:hAnsi="宋体"/>
                <w:color w:val="auto"/>
                <w:sz w:val="24"/>
              </w:rPr>
            </w:pP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传  真</w:t>
            </w:r>
          </w:p>
        </w:tc>
        <w:tc>
          <w:tcPr>
            <w:tcW w:w="2721" w:type="dxa"/>
            <w:gridSpan w:val="4"/>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网  址</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组织结构</w:t>
            </w:r>
          </w:p>
        </w:tc>
        <w:tc>
          <w:tcPr>
            <w:tcW w:w="7664" w:type="dxa"/>
            <w:gridSpan w:val="9"/>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法定代表人</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pPr>
              <w:spacing w:line="360" w:lineRule="auto"/>
              <w:jc w:val="center"/>
              <w:rPr>
                <w:rFonts w:ascii="宋体" w:hAnsi="宋体"/>
                <w:color w:val="auto"/>
                <w:sz w:val="24"/>
              </w:rPr>
            </w:pPr>
          </w:p>
        </w:tc>
        <w:tc>
          <w:tcPr>
            <w:tcW w:w="1393" w:type="dxa"/>
            <w:gridSpan w:val="2"/>
            <w:vAlign w:val="center"/>
          </w:tcPr>
          <w:p>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技术负责人</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pPr>
              <w:spacing w:line="360" w:lineRule="auto"/>
              <w:jc w:val="center"/>
              <w:rPr>
                <w:rFonts w:ascii="宋体" w:hAnsi="宋体"/>
                <w:color w:val="auto"/>
                <w:sz w:val="24"/>
              </w:rPr>
            </w:pPr>
          </w:p>
        </w:tc>
        <w:tc>
          <w:tcPr>
            <w:tcW w:w="1393" w:type="dxa"/>
            <w:gridSpan w:val="2"/>
            <w:vAlign w:val="center"/>
          </w:tcPr>
          <w:p>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成立时间</w:t>
            </w:r>
          </w:p>
        </w:tc>
        <w:tc>
          <w:tcPr>
            <w:tcW w:w="2095" w:type="dxa"/>
            <w:gridSpan w:val="2"/>
            <w:vAlign w:val="center"/>
          </w:tcPr>
          <w:p>
            <w:pPr>
              <w:spacing w:line="360" w:lineRule="auto"/>
              <w:jc w:val="center"/>
              <w:rPr>
                <w:rFonts w:ascii="宋体" w:hAnsi="宋体"/>
                <w:color w:val="auto"/>
                <w:sz w:val="24"/>
              </w:rPr>
            </w:pPr>
          </w:p>
        </w:tc>
        <w:tc>
          <w:tcPr>
            <w:tcW w:w="5569" w:type="dxa"/>
            <w:gridSpan w:val="7"/>
            <w:vAlign w:val="center"/>
          </w:tcPr>
          <w:p>
            <w:pPr>
              <w:spacing w:line="360" w:lineRule="auto"/>
              <w:jc w:val="center"/>
              <w:rPr>
                <w:rFonts w:ascii="宋体" w:hAnsi="宋体"/>
                <w:color w:val="auto"/>
                <w:sz w:val="24"/>
              </w:rPr>
            </w:pPr>
            <w:r>
              <w:rPr>
                <w:rFonts w:hint="eastAsia" w:ascii="宋体"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企业资质等级</w:t>
            </w:r>
          </w:p>
        </w:tc>
        <w:tc>
          <w:tcPr>
            <w:tcW w:w="2095" w:type="dxa"/>
            <w:gridSpan w:val="2"/>
            <w:vAlign w:val="center"/>
          </w:tcPr>
          <w:p>
            <w:pPr>
              <w:spacing w:line="360" w:lineRule="auto"/>
              <w:jc w:val="center"/>
              <w:rPr>
                <w:rFonts w:ascii="宋体" w:hAnsi="宋体"/>
                <w:color w:val="auto"/>
                <w:sz w:val="24"/>
              </w:rPr>
            </w:pPr>
          </w:p>
        </w:tc>
        <w:tc>
          <w:tcPr>
            <w:tcW w:w="1085" w:type="dxa"/>
            <w:vMerge w:val="restart"/>
            <w:vAlign w:val="center"/>
          </w:tcPr>
          <w:p>
            <w:pPr>
              <w:spacing w:line="360" w:lineRule="auto"/>
              <w:jc w:val="center"/>
              <w:rPr>
                <w:rFonts w:ascii="宋体" w:hAnsi="宋体"/>
                <w:color w:val="auto"/>
                <w:sz w:val="24"/>
              </w:rPr>
            </w:pPr>
            <w:r>
              <w:rPr>
                <w:rFonts w:hint="eastAsia" w:ascii="宋体" w:hAnsi="宋体"/>
                <w:color w:val="auto"/>
                <w:sz w:val="24"/>
              </w:rPr>
              <w:t>其中</w:t>
            </w: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项目经理</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营业执照号</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高级职称人员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注册资金</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中级职称人员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开户银行</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初级职称人员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账号</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技  工</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经营范围</w:t>
            </w:r>
          </w:p>
        </w:tc>
        <w:tc>
          <w:tcPr>
            <w:tcW w:w="7664" w:type="dxa"/>
            <w:gridSpan w:val="9"/>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备注</w:t>
            </w:r>
          </w:p>
        </w:tc>
        <w:tc>
          <w:tcPr>
            <w:tcW w:w="7664" w:type="dxa"/>
            <w:gridSpan w:val="9"/>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r>
        <w:rPr>
          <w:rFonts w:hint="eastAsia" w:ascii="宋体" w:hAnsi="宋体"/>
          <w:color w:val="auto"/>
          <w:sz w:val="24"/>
        </w:rPr>
        <w:t>备注：本表后应附企业法人营业执照、企业资质证书、安全生产许可证等证明材料。</w:t>
      </w:r>
    </w:p>
    <w:p>
      <w:pPr>
        <w:spacing w:before="160" w:line="460" w:lineRule="exact"/>
        <w:ind w:right="10"/>
        <w:rPr>
          <w:rFonts w:ascii="宋体" w:hAnsi="宋体"/>
          <w:color w:val="auto"/>
          <w:sz w:val="24"/>
        </w:rPr>
      </w:pPr>
    </w:p>
    <w:p>
      <w:pPr>
        <w:spacing w:before="143" w:beforeLines="50" w:after="143" w:afterLines="50" w:line="360" w:lineRule="auto"/>
        <w:ind w:left="720" w:hanging="720" w:hangingChars="300"/>
        <w:jc w:val="center"/>
        <w:rPr>
          <w:rFonts w:ascii="宋体" w:hAnsi="宋体" w:cs="黑体"/>
          <w:color w:val="auto"/>
          <w:sz w:val="24"/>
        </w:rPr>
      </w:pPr>
      <w:r>
        <w:rPr>
          <w:rFonts w:hint="eastAsia" w:ascii="宋体" w:hAnsi="宋体" w:cs="黑体"/>
          <w:color w:val="auto"/>
          <w:sz w:val="24"/>
          <w:lang w:bidi="ar"/>
        </w:rPr>
        <w:t>（二）</w:t>
      </w:r>
      <w:r>
        <w:rPr>
          <w:rFonts w:hint="eastAsia" w:ascii="宋体" w:hAnsi="宋体" w:cs="黑体"/>
          <w:color w:val="auto"/>
          <w:sz w:val="24"/>
          <w:lang w:val="en-US" w:eastAsia="zh-CN" w:bidi="ar"/>
        </w:rPr>
        <w:t>供应商</w:t>
      </w:r>
      <w:r>
        <w:rPr>
          <w:rFonts w:hint="eastAsia" w:ascii="宋体" w:hAnsi="宋体" w:cs="黑体"/>
          <w:color w:val="auto"/>
          <w:sz w:val="24"/>
          <w:lang w:bidi="ar"/>
        </w:rPr>
        <w:t>类似</w:t>
      </w:r>
      <w:r>
        <w:rPr>
          <w:rFonts w:hint="eastAsia" w:ascii="宋体" w:hAnsi="宋体" w:cs="黑体"/>
          <w:color w:val="auto"/>
          <w:sz w:val="24"/>
          <w:lang w:val="en-US" w:eastAsia="zh-CN" w:bidi="ar"/>
        </w:rPr>
        <w:t>工程</w:t>
      </w:r>
      <w:r>
        <w:rPr>
          <w:rFonts w:hint="eastAsia" w:ascii="宋体" w:hAnsi="宋体" w:cs="黑体"/>
          <w:color w:val="auto"/>
          <w:sz w:val="24"/>
          <w:lang w:bidi="ar"/>
        </w:rPr>
        <w:t>业绩情况表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项目名称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项目所在地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发包人名称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发包人地址</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发包人联系人及电话</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合同价格</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开工日期</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竣工日期</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承担的工作</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工程质量</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项目经理</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技术负责人</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总监理工程师及电话</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项目描述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备注</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pStyle w:val="4"/>
        <w:spacing w:line="360" w:lineRule="auto"/>
        <w:jc w:val="both"/>
        <w:outlineLvl w:val="9"/>
        <w:rPr>
          <w:rFonts w:hint="eastAsia" w:ascii="宋体" w:hAnsi="宋体" w:eastAsia="宋体"/>
          <w:color w:val="auto"/>
          <w:sz w:val="24"/>
          <w:szCs w:val="24"/>
          <w:lang w:eastAsia="zh-CN"/>
        </w:rPr>
      </w:pPr>
    </w:p>
    <w:p>
      <w:pPr>
        <w:rPr>
          <w:rFonts w:hint="eastAsia"/>
          <w:color w:val="auto"/>
          <w:lang w:eastAsia="zh-CN"/>
        </w:rPr>
      </w:pPr>
    </w:p>
    <w:p>
      <w:pPr>
        <w:pStyle w:val="2"/>
        <w:rPr>
          <w:rFonts w:hint="eastAsia"/>
          <w:color w:val="auto"/>
          <w:lang w:eastAsia="zh-CN"/>
        </w:rPr>
      </w:pPr>
    </w:p>
    <w:p>
      <w:pPr>
        <w:rPr>
          <w:rFonts w:hint="eastAsia"/>
          <w:color w:val="auto"/>
          <w:lang w:eastAsia="zh-CN"/>
        </w:rPr>
      </w:pPr>
    </w:p>
    <w:p>
      <w:pPr>
        <w:pStyle w:val="2"/>
        <w:jc w:val="center"/>
        <w:rPr>
          <w:rFonts w:hint="eastAsia" w:ascii="宋体" w:hAnsi="宋体" w:cs="黑体"/>
          <w:color w:val="auto"/>
          <w:sz w:val="24"/>
          <w:lang w:val="en-US" w:eastAsia="zh-CN" w:bidi="ar"/>
        </w:rPr>
      </w:pPr>
      <w:r>
        <w:rPr>
          <w:rFonts w:hint="eastAsia" w:ascii="宋体" w:hAnsi="宋体" w:cs="黑体"/>
          <w:color w:val="auto"/>
          <w:sz w:val="24"/>
          <w:lang w:bidi="ar"/>
        </w:rPr>
        <w:t>（</w:t>
      </w:r>
      <w:r>
        <w:rPr>
          <w:rFonts w:hint="eastAsia" w:ascii="宋体" w:hAnsi="宋体" w:cs="黑体"/>
          <w:color w:val="auto"/>
          <w:sz w:val="24"/>
          <w:lang w:val="en-US" w:eastAsia="zh-CN" w:bidi="ar"/>
        </w:rPr>
        <w:t>三</w:t>
      </w:r>
      <w:r>
        <w:rPr>
          <w:rFonts w:hint="eastAsia" w:ascii="宋体" w:hAnsi="宋体" w:cs="黑体"/>
          <w:color w:val="auto"/>
          <w:sz w:val="24"/>
          <w:lang w:bidi="ar"/>
        </w:rPr>
        <w:t>）</w:t>
      </w:r>
      <w:r>
        <w:rPr>
          <w:rFonts w:hint="eastAsia" w:ascii="宋体" w:hAnsi="宋体" w:cs="黑体"/>
          <w:color w:val="auto"/>
          <w:sz w:val="24"/>
          <w:lang w:val="en-US" w:eastAsia="zh-CN" w:bidi="ar"/>
        </w:rPr>
        <w:t>质量、安全、环境体系认证</w:t>
      </w:r>
    </w:p>
    <w:p>
      <w:pPr>
        <w:rPr>
          <w:rFonts w:hint="default"/>
          <w:color w:val="auto"/>
          <w:lang w:val="en-US" w:eastAsia="zh-CN"/>
        </w:rPr>
      </w:pPr>
    </w:p>
    <w:p>
      <w:pPr>
        <w:rPr>
          <w:rFonts w:hint="eastAsia" w:ascii="宋体" w:hAnsi="宋体" w:eastAsia="宋体"/>
          <w:color w:val="auto"/>
          <w:sz w:val="24"/>
          <w:szCs w:val="24"/>
          <w:lang w:eastAsia="zh-CN"/>
        </w:rPr>
      </w:pPr>
      <w:r>
        <w:rPr>
          <w:rFonts w:hint="eastAsia" w:ascii="宋体" w:hAnsi="宋体" w:eastAsia="宋体"/>
          <w:color w:val="auto"/>
          <w:sz w:val="24"/>
          <w:szCs w:val="24"/>
          <w:lang w:eastAsia="zh-CN"/>
        </w:rPr>
        <w:br w:type="page"/>
      </w:r>
    </w:p>
    <w:p>
      <w:pPr>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lang w:eastAsia="zh-CN"/>
        </w:rPr>
        <w:t>八</w:t>
      </w:r>
      <w:r>
        <w:rPr>
          <w:rFonts w:hint="eastAsia" w:ascii="宋体" w:hAnsi="宋体" w:cs="宋体"/>
          <w:b/>
          <w:color w:val="auto"/>
          <w:kern w:val="0"/>
          <w:sz w:val="24"/>
          <w:szCs w:val="24"/>
        </w:rPr>
        <w:t>、建设工程扬尘治理工作承诺书</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一、工作目标</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二、承诺事项</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1、坚决贯彻执行《济宁市建筑工地扬尘治理工作导则（试行）》，切实做好生产现场及周边环境的扬尘整治工作。</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2、建立健全公司扬尘整治专项检查组织机构，夯实扬尘治理工作责任，针对不同施工阶段，制定具体防治措施。</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4、认真开展施工现场扬尘污染综合整治活动，对施工现场，每月组织不少于两次的专项检查，对发现的问题及时监督整改。</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三、责任追究</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2、对达不到扬尘治理标准的、要求停工整改拒不整改的项目，提请上级主管部门取消该项目负责人建造师执业资格。</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本项目采取一切有效措施，确保完成承诺事项，否则，自愿接受主管部门做出的一切处罚。</w:t>
      </w:r>
    </w:p>
    <w:p>
      <w:pPr>
        <w:widowControl/>
        <w:jc w:val="right"/>
        <w:rPr>
          <w:rFonts w:ascii="宋体" w:hAnsi="宋体" w:cs="宋体"/>
          <w:color w:val="auto"/>
          <w:sz w:val="24"/>
          <w:lang w:bidi="ar"/>
        </w:rPr>
      </w:pP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供 </w:t>
      </w:r>
      <w:r>
        <w:rPr>
          <w:rFonts w:ascii="宋体" w:hAnsi="宋体" w:cs="宋体"/>
          <w:color w:val="auto"/>
          <w:sz w:val="24"/>
          <w:lang w:bidi="ar"/>
        </w:rPr>
        <w:t xml:space="preserve"> </w:t>
      </w:r>
      <w:r>
        <w:rPr>
          <w:rFonts w:hint="eastAsia" w:ascii="宋体" w:hAnsi="宋体" w:cs="宋体"/>
          <w:color w:val="auto"/>
          <w:sz w:val="24"/>
          <w:lang w:bidi="ar"/>
        </w:rPr>
        <w:t xml:space="preserve">应 </w:t>
      </w:r>
      <w:r>
        <w:rPr>
          <w:rFonts w:ascii="宋体" w:hAnsi="宋体" w:cs="宋体"/>
          <w:color w:val="auto"/>
          <w:sz w:val="24"/>
          <w:lang w:bidi="ar"/>
        </w:rPr>
        <w:t xml:space="preserve"> </w:t>
      </w:r>
      <w:r>
        <w:rPr>
          <w:rFonts w:hint="eastAsia" w:ascii="宋体" w:hAnsi="宋体" w:cs="宋体"/>
          <w:color w:val="auto"/>
          <w:sz w:val="24"/>
          <w:lang w:bidi="ar"/>
        </w:rPr>
        <w:t>商：</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hint="eastAsia" w:ascii="宋体" w:hAnsi="宋体" w:cs="宋体"/>
          <w:color w:val="auto"/>
          <w:sz w:val="24"/>
          <w:u w:val="single"/>
          <w:lang w:bidi="ar"/>
        </w:rPr>
        <w:t xml:space="preserve">    </w:t>
      </w:r>
      <w:r>
        <w:rPr>
          <w:rFonts w:hint="eastAsia" w:ascii="宋体" w:hAnsi="宋体" w:cs="宋体"/>
          <w:color w:val="auto"/>
          <w:sz w:val="24"/>
          <w:lang w:bidi="ar"/>
        </w:rPr>
        <w:t>（盖单位章）</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法定代表人：</w:t>
      </w:r>
      <w:r>
        <w:rPr>
          <w:rFonts w:hint="eastAsia" w:ascii="宋体" w:hAnsi="宋体" w:cs="宋体"/>
          <w:color w:val="auto"/>
          <w:sz w:val="24"/>
          <w:u w:val="single"/>
          <w:lang w:bidi="ar"/>
        </w:rPr>
        <w:t xml:space="preserve">               （</w:t>
      </w:r>
      <w:r>
        <w:rPr>
          <w:rFonts w:hint="eastAsia" w:ascii="宋体" w:hAnsi="宋体" w:cs="宋体"/>
          <w:color w:val="auto"/>
          <w:sz w:val="24"/>
          <w:lang w:bidi="ar"/>
        </w:rPr>
        <w:t>签字或盖章）</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日 </w:t>
      </w:r>
      <w:r>
        <w:rPr>
          <w:rFonts w:ascii="宋体" w:hAnsi="宋体" w:cs="宋体"/>
          <w:color w:val="auto"/>
          <w:sz w:val="24"/>
          <w:lang w:bidi="ar"/>
        </w:rPr>
        <w:t xml:space="preserve">     </w:t>
      </w:r>
      <w:r>
        <w:rPr>
          <w:rFonts w:hint="eastAsia" w:ascii="宋体" w:hAnsi="宋体" w:cs="宋体"/>
          <w:color w:val="auto"/>
          <w:sz w:val="24"/>
          <w:lang w:bidi="ar"/>
        </w:rPr>
        <w:t>期：</w:t>
      </w:r>
    </w:p>
    <w:p>
      <w:pPr>
        <w:widowControl/>
        <w:jc w:val="right"/>
        <w:rPr>
          <w:rFonts w:ascii="宋体" w:hAnsi="宋体" w:cs="宋体"/>
          <w:color w:val="auto"/>
          <w:sz w:val="24"/>
          <w:lang w:bidi="ar"/>
        </w:rPr>
      </w:pPr>
    </w:p>
    <w:p>
      <w:pPr>
        <w:widowControl/>
        <w:jc w:val="left"/>
        <w:rPr>
          <w:rFonts w:ascii="宋体" w:hAnsi="宋体" w:cs="黑体"/>
          <w:b/>
          <w:color w:val="auto"/>
          <w:kern w:val="0"/>
          <w:sz w:val="24"/>
        </w:rPr>
      </w:pPr>
      <w:r>
        <w:rPr>
          <w:rFonts w:ascii="宋体" w:hAnsi="宋体" w:cs="黑体"/>
          <w:b/>
          <w:color w:val="auto"/>
          <w:kern w:val="0"/>
          <w:sz w:val="24"/>
        </w:rPr>
        <w:br w:type="page"/>
      </w:r>
    </w:p>
    <w:p>
      <w:pPr>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lang w:eastAsia="zh-CN"/>
        </w:rPr>
        <w:t>九</w:t>
      </w:r>
      <w:r>
        <w:rPr>
          <w:rFonts w:hint="eastAsia" w:ascii="宋体" w:hAnsi="宋体" w:cs="宋体"/>
          <w:b/>
          <w:color w:val="auto"/>
          <w:kern w:val="0"/>
          <w:sz w:val="24"/>
          <w:szCs w:val="24"/>
        </w:rPr>
        <w:t>、其他资料</w:t>
      </w:r>
    </w:p>
    <w:p>
      <w:pPr>
        <w:pStyle w:val="86"/>
        <w:tabs>
          <w:tab w:val="left" w:pos="9638"/>
        </w:tabs>
        <w:spacing w:line="360" w:lineRule="auto"/>
        <w:ind w:right="-82" w:firstLine="472" w:firstLineChars="196"/>
        <w:outlineLvl w:val="9"/>
        <w:rPr>
          <w:rFonts w:ascii="宋体" w:hAnsi="宋体"/>
          <w:b/>
          <w:color w:val="auto"/>
          <w:sz w:val="24"/>
          <w:szCs w:val="24"/>
        </w:rPr>
      </w:pPr>
      <w:bookmarkStart w:id="50" w:name="_Toc11382"/>
      <w:r>
        <w:rPr>
          <w:rFonts w:hint="eastAsia" w:ascii="宋体" w:hAnsi="宋体"/>
          <w:b/>
          <w:color w:val="auto"/>
          <w:sz w:val="24"/>
          <w:szCs w:val="24"/>
        </w:rPr>
        <w:t>供应商认为需要加以说明的其他内容和需要提供的证明文件</w:t>
      </w:r>
      <w:bookmarkEnd w:id="50"/>
    </w:p>
    <w:p>
      <w:pPr>
        <w:pStyle w:val="86"/>
        <w:tabs>
          <w:tab w:val="left" w:pos="9638"/>
        </w:tabs>
        <w:spacing w:line="360" w:lineRule="auto"/>
        <w:ind w:right="-82" w:firstLine="472" w:firstLineChars="196"/>
        <w:outlineLvl w:val="9"/>
        <w:rPr>
          <w:rFonts w:ascii="宋体" w:hAnsi="宋体"/>
          <w:b/>
          <w:color w:val="auto"/>
          <w:sz w:val="24"/>
          <w:szCs w:val="24"/>
        </w:rPr>
      </w:pPr>
      <w:bookmarkStart w:id="51" w:name="_Toc26771"/>
      <w:r>
        <w:rPr>
          <w:rFonts w:hint="eastAsia" w:ascii="宋体" w:hAnsi="宋体"/>
          <w:b/>
          <w:color w:val="auto"/>
          <w:sz w:val="24"/>
          <w:szCs w:val="24"/>
        </w:rPr>
        <w:t>1、……</w:t>
      </w:r>
      <w:bookmarkEnd w:id="51"/>
    </w:p>
    <w:p>
      <w:pPr>
        <w:pStyle w:val="86"/>
        <w:tabs>
          <w:tab w:val="left" w:pos="9638"/>
        </w:tabs>
        <w:spacing w:line="360" w:lineRule="auto"/>
        <w:ind w:right="-82" w:firstLine="472" w:firstLineChars="196"/>
        <w:outlineLvl w:val="9"/>
        <w:rPr>
          <w:rFonts w:ascii="宋体" w:hAnsi="宋体"/>
          <w:b/>
          <w:color w:val="auto"/>
          <w:sz w:val="24"/>
          <w:szCs w:val="24"/>
        </w:rPr>
      </w:pPr>
      <w:bookmarkStart w:id="52" w:name="_Toc14706"/>
      <w:r>
        <w:rPr>
          <w:rFonts w:hint="eastAsia" w:ascii="宋体" w:hAnsi="宋体"/>
          <w:b/>
          <w:color w:val="auto"/>
          <w:sz w:val="24"/>
          <w:szCs w:val="24"/>
        </w:rPr>
        <w:t>2、……</w:t>
      </w:r>
      <w:bookmarkEnd w:id="52"/>
    </w:p>
    <w:p>
      <w:pPr>
        <w:pStyle w:val="86"/>
        <w:tabs>
          <w:tab w:val="left" w:pos="9638"/>
        </w:tabs>
        <w:spacing w:line="360" w:lineRule="auto"/>
        <w:ind w:right="-82" w:firstLine="472" w:firstLineChars="196"/>
        <w:outlineLvl w:val="9"/>
        <w:rPr>
          <w:rFonts w:ascii="宋体" w:hAnsi="宋体"/>
          <w:color w:val="auto"/>
          <w:sz w:val="24"/>
          <w:szCs w:val="24"/>
        </w:rPr>
      </w:pPr>
      <w:bookmarkStart w:id="53" w:name="_Toc10594"/>
      <w:r>
        <w:rPr>
          <w:rFonts w:hint="eastAsia" w:ascii="宋体" w:hAnsi="宋体"/>
          <w:b/>
          <w:color w:val="auto"/>
          <w:sz w:val="24"/>
          <w:szCs w:val="24"/>
        </w:rPr>
        <w:t>3、……</w:t>
      </w:r>
      <w:bookmarkEnd w:id="53"/>
    </w:p>
    <w:p>
      <w:pPr>
        <w:spacing w:line="360" w:lineRule="auto"/>
        <w:outlineLvl w:val="9"/>
        <w:rPr>
          <w:rFonts w:ascii="宋体" w:hAnsi="宋体"/>
          <w:color w:val="auto"/>
          <w:sz w:val="24"/>
        </w:rPr>
      </w:pPr>
    </w:p>
    <w:p>
      <w:pPr>
        <w:pStyle w:val="2"/>
        <w:spacing w:before="0" w:line="360" w:lineRule="auto"/>
        <w:outlineLvl w:val="9"/>
        <w:rPr>
          <w:rFonts w:ascii="宋体" w:hAnsi="宋体"/>
          <w:color w:val="auto"/>
          <w:szCs w:val="24"/>
        </w:rPr>
        <w:sectPr>
          <w:headerReference r:id="rId12" w:type="first"/>
          <w:pgSz w:w="11906" w:h="16838"/>
          <w:pgMar w:top="1440" w:right="1080" w:bottom="1440" w:left="1080" w:header="851" w:footer="992" w:gutter="0"/>
          <w:pgNumType w:fmt="decimal"/>
          <w:cols w:space="720" w:num="1"/>
          <w:titlePg/>
          <w:docGrid w:type="lines" w:linePitch="286" w:charSpace="0"/>
        </w:sectPr>
      </w:pPr>
    </w:p>
    <w:p>
      <w:pPr>
        <w:spacing w:line="360" w:lineRule="auto"/>
        <w:jc w:val="center"/>
        <w:rPr>
          <w:rFonts w:hint="eastAsia" w:ascii="宋体" w:hAnsi="宋体"/>
          <w:color w:val="auto"/>
          <w:sz w:val="24"/>
          <w:szCs w:val="24"/>
        </w:rPr>
      </w:pPr>
      <w:r>
        <w:rPr>
          <w:rFonts w:hint="eastAsia" w:ascii="宋体" w:hAnsi="宋体" w:cs="宋体"/>
          <w:color w:val="auto"/>
          <w:kern w:val="0"/>
          <w:sz w:val="24"/>
          <w:szCs w:val="24"/>
          <w:lang w:eastAsia="zh-CN"/>
        </w:rPr>
        <w:t>磋商</w:t>
      </w:r>
      <w:r>
        <w:rPr>
          <w:rFonts w:hint="eastAsia" w:ascii="宋体" w:hAnsi="宋体"/>
          <w:color w:val="auto"/>
          <w:sz w:val="24"/>
          <w:szCs w:val="24"/>
        </w:rPr>
        <w:t>响应文件密封信封正面格式</w:t>
      </w:r>
    </w:p>
    <w:p>
      <w:pPr>
        <w:spacing w:line="360" w:lineRule="auto"/>
        <w:jc w:val="center"/>
        <w:rPr>
          <w:rFonts w:hint="eastAsia" w:ascii="宋体" w:hAnsi="宋体"/>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color w:val="auto"/>
                <w:sz w:val="24"/>
                <w:szCs w:val="24"/>
              </w:rPr>
            </w:pPr>
            <w:r>
              <w:rPr>
                <w:rFonts w:hint="eastAsia" w:ascii="宋体" w:hAnsi="宋体"/>
                <w:color w:val="auto"/>
                <w:sz w:val="24"/>
                <w:szCs w:val="24"/>
              </w:rPr>
              <w:t xml:space="preserve">                                                            正（副）本</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项目编号：</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地址：</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电话：</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传真：</w:t>
            </w:r>
            <w:r>
              <w:rPr>
                <w:rFonts w:hint="eastAsia" w:ascii="宋体" w:hAnsi="宋体"/>
                <w:color w:val="auto"/>
                <w:sz w:val="24"/>
                <w:szCs w:val="24"/>
                <w:u w:val="single"/>
              </w:rPr>
              <w:t xml:space="preserve">                          </w:t>
            </w:r>
          </w:p>
        </w:tc>
      </w:tr>
    </w:tbl>
    <w:p>
      <w:pPr>
        <w:spacing w:line="360" w:lineRule="auto"/>
        <w:rPr>
          <w:rFonts w:hint="eastAsia" w:ascii="宋体" w:hAnsi="宋体"/>
          <w:color w:val="auto"/>
          <w:sz w:val="24"/>
          <w:szCs w:val="24"/>
        </w:rPr>
      </w:pPr>
    </w:p>
    <w:p>
      <w:pPr>
        <w:spacing w:line="360" w:lineRule="auto"/>
        <w:jc w:val="center"/>
        <w:rPr>
          <w:rFonts w:hint="eastAsia" w:ascii="宋体" w:hAnsi="宋体"/>
          <w:bCs/>
          <w:color w:val="auto"/>
          <w:sz w:val="24"/>
          <w:szCs w:val="24"/>
        </w:rPr>
      </w:pPr>
      <w:r>
        <w:rPr>
          <w:rFonts w:hint="eastAsia" w:ascii="宋体" w:hAnsi="宋体" w:cs="宋体"/>
          <w:color w:val="auto"/>
          <w:kern w:val="0"/>
          <w:sz w:val="24"/>
          <w:szCs w:val="24"/>
          <w:lang w:eastAsia="zh-CN"/>
        </w:rPr>
        <w:t>磋商</w:t>
      </w:r>
      <w:r>
        <w:rPr>
          <w:rFonts w:hint="eastAsia" w:ascii="宋体" w:hAnsi="宋体"/>
          <w:bCs/>
          <w:color w:val="auto"/>
          <w:sz w:val="24"/>
          <w:szCs w:val="24"/>
        </w:rPr>
        <w:t>响应文件密封信封封口格式</w:t>
      </w:r>
    </w:p>
    <w:p>
      <w:pPr>
        <w:spacing w:line="360" w:lineRule="auto"/>
        <w:rPr>
          <w:rFonts w:hint="eastAsia" w:ascii="宋体" w:hAnsi="宋体"/>
          <w:bCs/>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pPr>
              <w:spacing w:line="360" w:lineRule="auto"/>
              <w:rPr>
                <w:rFonts w:hint="eastAsia" w:ascii="宋体" w:hAnsi="宋体"/>
                <w:bCs/>
                <w:color w:val="auto"/>
                <w:sz w:val="24"/>
                <w:szCs w:val="24"/>
              </w:rPr>
            </w:pPr>
          </w:p>
          <w:p>
            <w:pPr>
              <w:spacing w:line="360" w:lineRule="auto"/>
              <w:rPr>
                <w:rFonts w:hint="eastAsia" w:ascii="宋体" w:hAnsi="宋体"/>
                <w:bCs/>
                <w:color w:val="auto"/>
                <w:sz w:val="24"/>
                <w:szCs w:val="24"/>
              </w:rPr>
            </w:pPr>
          </w:p>
          <w:p>
            <w:pPr>
              <w:spacing w:line="360" w:lineRule="auto"/>
              <w:rPr>
                <w:rFonts w:hint="eastAsia" w:ascii="宋体" w:hAnsi="宋体"/>
                <w:bCs/>
                <w:color w:val="auto"/>
                <w:sz w:val="24"/>
                <w:szCs w:val="24"/>
              </w:rPr>
            </w:pPr>
          </w:p>
          <w:p>
            <w:pPr>
              <w:spacing w:line="360" w:lineRule="auto"/>
              <w:jc w:val="center"/>
              <w:rPr>
                <w:rFonts w:hint="eastAsia" w:ascii="宋体" w:hAnsi="宋体"/>
                <w:bCs/>
                <w:color w:val="auto"/>
                <w:sz w:val="24"/>
                <w:szCs w:val="24"/>
              </w:rPr>
            </w:pPr>
            <w:r>
              <w:rPr>
                <w:rFonts w:hint="eastAsia" w:ascii="宋体" w:hAnsi="宋体"/>
                <w:bCs/>
                <w:color w:val="auto"/>
                <w:sz w:val="24"/>
                <w:szCs w:val="24"/>
              </w:rPr>
              <w:t>……于</w:t>
            </w:r>
            <w:r>
              <w:rPr>
                <w:rFonts w:hint="eastAsia" w:ascii="宋体" w:hAnsi="宋体"/>
                <w:bCs/>
                <w:color w:val="auto"/>
                <w:sz w:val="24"/>
                <w:szCs w:val="24"/>
                <w:u w:val="single"/>
              </w:rPr>
              <w:t xml:space="preserve">     </w:t>
            </w:r>
            <w:r>
              <w:rPr>
                <w:rFonts w:hint="eastAsia" w:ascii="宋体" w:hAnsi="宋体"/>
                <w:bCs/>
                <w:color w:val="auto"/>
                <w:sz w:val="24"/>
                <w:szCs w:val="24"/>
              </w:rPr>
              <w:t>年</w:t>
            </w:r>
            <w:r>
              <w:rPr>
                <w:rFonts w:hint="eastAsia" w:ascii="宋体" w:hAnsi="宋体"/>
                <w:bCs/>
                <w:color w:val="auto"/>
                <w:sz w:val="24"/>
                <w:szCs w:val="24"/>
                <w:u w:val="single"/>
              </w:rPr>
              <w:t xml:space="preserve">    </w:t>
            </w:r>
            <w:r>
              <w:rPr>
                <w:rFonts w:hint="eastAsia" w:ascii="宋体" w:hAnsi="宋体"/>
                <w:bCs/>
                <w:color w:val="auto"/>
                <w:sz w:val="24"/>
                <w:szCs w:val="24"/>
              </w:rPr>
              <w:t>月</w:t>
            </w:r>
            <w:r>
              <w:rPr>
                <w:rFonts w:hint="eastAsia" w:ascii="宋体" w:hAnsi="宋体"/>
                <w:bCs/>
                <w:color w:val="auto"/>
                <w:sz w:val="24"/>
                <w:szCs w:val="24"/>
                <w:u w:val="single"/>
              </w:rPr>
              <w:t xml:space="preserve">    </w:t>
            </w:r>
            <w:r>
              <w:rPr>
                <w:rFonts w:hint="eastAsia" w:ascii="宋体" w:hAnsi="宋体"/>
                <w:bCs/>
                <w:color w:val="auto"/>
                <w:sz w:val="24"/>
                <w:szCs w:val="24"/>
              </w:rPr>
              <w:t>日</w:t>
            </w:r>
            <w:r>
              <w:rPr>
                <w:rFonts w:hint="eastAsia" w:ascii="宋体" w:hAnsi="宋体"/>
                <w:bCs/>
                <w:color w:val="auto"/>
                <w:sz w:val="24"/>
                <w:szCs w:val="24"/>
                <w:u w:val="single"/>
              </w:rPr>
              <w:t xml:space="preserve">    </w:t>
            </w:r>
            <w:r>
              <w:rPr>
                <w:rFonts w:hint="eastAsia" w:ascii="宋体" w:hAnsi="宋体"/>
                <w:bCs/>
                <w:color w:val="auto"/>
                <w:sz w:val="24"/>
                <w:szCs w:val="24"/>
              </w:rPr>
              <w:t>时</w:t>
            </w:r>
            <w:r>
              <w:rPr>
                <w:rFonts w:hint="eastAsia" w:ascii="宋体" w:hAnsi="宋体"/>
                <w:bCs/>
                <w:color w:val="auto"/>
                <w:sz w:val="24"/>
                <w:szCs w:val="24"/>
                <w:u w:val="single"/>
              </w:rPr>
              <w:t xml:space="preserve">   分</w:t>
            </w:r>
            <w:r>
              <w:rPr>
                <w:rFonts w:hint="eastAsia" w:ascii="宋体" w:hAnsi="宋体"/>
                <w:bCs/>
                <w:color w:val="auto"/>
                <w:sz w:val="24"/>
                <w:szCs w:val="24"/>
              </w:rPr>
              <w:t>前不准启封（</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r>
              <w:rPr>
                <w:rFonts w:hint="eastAsia" w:ascii="宋体" w:hAnsi="宋体"/>
                <w:bCs/>
                <w:color w:val="auto"/>
                <w:sz w:val="24"/>
                <w:szCs w:val="24"/>
              </w:rPr>
              <w:t>）……</w:t>
            </w:r>
          </w:p>
          <w:p>
            <w:pPr>
              <w:spacing w:line="360" w:lineRule="auto"/>
              <w:rPr>
                <w:rFonts w:hint="eastAsia" w:ascii="宋体" w:hAnsi="宋体"/>
                <w:bCs/>
                <w:color w:val="auto"/>
                <w:sz w:val="24"/>
                <w:szCs w:val="24"/>
              </w:rPr>
            </w:pPr>
            <w:r>
              <w:rPr>
                <w:rFonts w:ascii="宋体" w:hAnsi="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pPr>
              <w:spacing w:line="360" w:lineRule="auto"/>
              <w:rPr>
                <w:rFonts w:hint="eastAsia" w:ascii="宋体" w:hAnsi="宋体"/>
                <w:bCs/>
                <w:color w:val="auto"/>
                <w:sz w:val="24"/>
                <w:szCs w:val="24"/>
              </w:rPr>
            </w:pPr>
          </w:p>
          <w:p>
            <w:pPr>
              <w:spacing w:line="360" w:lineRule="auto"/>
              <w:ind w:firstLine="3600" w:firstLineChars="1500"/>
              <w:rPr>
                <w:rFonts w:hint="eastAsia" w:ascii="宋体" w:hAnsi="宋体"/>
                <w:bCs/>
                <w:color w:val="auto"/>
                <w:sz w:val="24"/>
                <w:szCs w:val="24"/>
              </w:rPr>
            </w:pPr>
          </w:p>
          <w:p>
            <w:pPr>
              <w:spacing w:line="360" w:lineRule="auto"/>
              <w:ind w:firstLine="4200" w:firstLineChars="1750"/>
              <w:rPr>
                <w:rFonts w:hint="eastAsia" w:ascii="宋体" w:hAnsi="宋体"/>
                <w:bCs/>
                <w:color w:val="auto"/>
                <w:sz w:val="24"/>
                <w:szCs w:val="24"/>
              </w:rPr>
            </w:pPr>
            <w:r>
              <w:rPr>
                <w:rFonts w:hint="eastAsia" w:ascii="宋体" w:hAnsi="宋体"/>
                <w:bCs/>
                <w:color w:val="auto"/>
                <w:sz w:val="24"/>
                <w:szCs w:val="24"/>
              </w:rPr>
              <w:t>（封口处）</w:t>
            </w:r>
          </w:p>
          <w:p>
            <w:pPr>
              <w:spacing w:line="360" w:lineRule="auto"/>
              <w:rPr>
                <w:rFonts w:hint="eastAsia" w:ascii="宋体" w:hAnsi="宋体"/>
                <w:bCs/>
                <w:color w:val="auto"/>
                <w:sz w:val="24"/>
                <w:szCs w:val="24"/>
              </w:rPr>
            </w:pPr>
          </w:p>
        </w:tc>
      </w:tr>
    </w:tbl>
    <w:p>
      <w:pPr>
        <w:rPr>
          <w:color w:val="auto"/>
        </w:rPr>
      </w:pPr>
    </w:p>
    <w:sectPr>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6"/>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5</w:t>
                    </w:r>
                    <w:r>
                      <w:fldChar w:fldCharType="end"/>
                    </w:r>
                  </w:p>
                </w:txbxContent>
              </v:textbox>
            </v:shape>
          </w:pict>
        </mc:Fallback>
      </mc:AlternateContent>
    </w:r>
  </w:p>
  <w:p>
    <w:pPr>
      <w:pStyle w:val="2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pPr>
                                <w:pStyle w:val="26"/>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pPr>
                          <w:pStyle w:val="26"/>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26"/>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2336;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pPr>
                      <w:pStyle w:val="2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邹城市中心店镇鸿山村（时枣行村）东山流域综合治理工程</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b/>
        <w:bCs/>
        <w:sz w:val="15"/>
        <w:szCs w:val="15"/>
      </w:rPr>
    </w:pPr>
    <w:r>
      <w:rPr>
        <w:rFonts w:hint="eastAsia" w:ascii="宋体" w:hAnsi="宋体" w:cs="宋体"/>
        <w:b/>
        <w:bCs/>
        <w:kern w:val="0"/>
        <w:sz w:val="18"/>
        <w:szCs w:val="18"/>
      </w:rPr>
      <w:t xml:space="preserve"> </w:t>
    </w:r>
    <w:r>
      <w:rPr>
        <w:rFonts w:hint="eastAsia" w:ascii="宋体" w:hAnsi="宋体" w:cs="宋体"/>
        <w:b/>
        <w:bCs/>
        <w:kern w:val="0"/>
        <w:sz w:val="18"/>
        <w:szCs w:val="18"/>
        <w:lang w:eastAsia="zh-CN"/>
      </w:rPr>
      <w:t>邹城市中心店镇乡村振兴路域(福美来内部路)环境提升工程</w:t>
    </w:r>
    <w:r>
      <w:rPr>
        <w:rFonts w:hint="eastAsia" w:ascii="宋体" w:hAnsi="宋体" w:cs="宋体"/>
        <w:b/>
        <w:bCs/>
        <w:kern w:val="0"/>
        <w:sz w:val="18"/>
        <w:szCs w:val="18"/>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6" w:space="0"/>
      </w:pBdr>
      <w:wordWrap/>
      <w:jc w:val="left"/>
      <w:rPr>
        <w:rFonts w:hint="default" w:eastAsia="宋体"/>
        <w:sz w:val="21"/>
        <w:szCs w:val="21"/>
        <w:lang w:val="en-US" w:eastAsia="zh-CN"/>
      </w:rPr>
    </w:pPr>
    <w:r>
      <w:rPr>
        <w:rFonts w:hint="eastAsia" w:ascii="宋体" w:hAnsi="宋体" w:cs="宋体"/>
        <w:kern w:val="0"/>
        <w:sz w:val="21"/>
        <w:szCs w:val="21"/>
      </w:rPr>
      <w:t xml:space="preserve">  </w:t>
    </w:r>
    <w:r>
      <w:rPr>
        <w:rFonts w:hint="eastAsia" w:ascii="宋体" w:hAnsi="宋体" w:cs="宋体"/>
        <w:b w:val="0"/>
        <w:bCs w:val="0"/>
        <w:color w:val="auto"/>
        <w:kern w:val="0"/>
        <w:sz w:val="18"/>
        <w:szCs w:val="18"/>
        <w:lang w:eastAsia="zh-CN"/>
      </w:rPr>
      <w:t>邹城市中心店镇乡村振兴路域(福美来内部路)环境提升工程</w:t>
    </w:r>
    <w:r>
      <w:rPr>
        <w:rFonts w:hint="eastAsia" w:ascii="宋体" w:hAnsi="宋体" w:cs="宋体"/>
        <w:kern w:val="0"/>
        <w:sz w:val="18"/>
        <w:szCs w:val="18"/>
      </w:rPr>
      <w:t>竞争性磋商文件</w:t>
    </w:r>
    <w:r>
      <w:rPr>
        <w:rFonts w:hint="eastAsia" w:ascii="宋体" w:hAnsi="宋体" w:cs="宋体"/>
        <w:kern w:val="0"/>
        <w:sz w:val="18"/>
        <w:szCs w:val="18"/>
        <w:lang w:val="en-US" w:eastAsia="zh-CN"/>
      </w:rPr>
      <w:t xml:space="preserve">  </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sz w:val="15"/>
        <w:szCs w:val="15"/>
      </w:rPr>
    </w:pPr>
    <w:r>
      <w:rPr>
        <w:rFonts w:hint="eastAsia" w:ascii="宋体" w:hAnsi="宋体" w:cs="宋体"/>
        <w:kern w:val="0"/>
        <w:sz w:val="18"/>
        <w:szCs w:val="18"/>
        <w:lang w:eastAsia="zh-CN"/>
      </w:rPr>
      <w:t>邹城市中心店镇乡村振兴路域(福美来内部路)环境提升工程</w:t>
    </w:r>
    <w:r>
      <w:rPr>
        <w:rFonts w:hint="eastAsia" w:ascii="宋体" w:hAnsi="宋体" w:cs="宋体"/>
        <w:kern w:val="0"/>
        <w:sz w:val="18"/>
        <w:szCs w:val="18"/>
      </w:rPr>
      <w:t>竞争性磋商文件</w:t>
    </w:r>
  </w:p>
  <w:p>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DBB82"/>
    <w:multiLevelType w:val="singleLevel"/>
    <w:tmpl w:val="BC7DBB82"/>
    <w:lvl w:ilvl="0" w:tentative="0">
      <w:start w:val="1"/>
      <w:numFmt w:val="decimal"/>
      <w:suff w:val="nothing"/>
      <w:lvlText w:val="(%1）"/>
      <w:lvlJc w:val="left"/>
    </w:lvl>
  </w:abstractNum>
  <w:abstractNum w:abstractNumId="1">
    <w:nsid w:val="DFEFB766"/>
    <w:multiLevelType w:val="singleLevel"/>
    <w:tmpl w:val="DFEFB766"/>
    <w:lvl w:ilvl="0" w:tentative="0">
      <w:start w:val="1"/>
      <w:numFmt w:val="decimal"/>
      <w:suff w:val="nothing"/>
      <w:lvlText w:val="(%1）"/>
      <w:lvlJc w:val="left"/>
    </w:lvl>
  </w:abstractNum>
  <w:abstractNum w:abstractNumId="2">
    <w:nsid w:val="508D3106"/>
    <w:multiLevelType w:val="singleLevel"/>
    <w:tmpl w:val="508D3106"/>
    <w:lvl w:ilvl="0" w:tentative="0">
      <w:start w:val="1"/>
      <w:numFmt w:val="chineseCounting"/>
      <w:suff w:val="nothing"/>
      <w:lvlText w:val="（%1）"/>
      <w:lvlJc w:val="left"/>
      <w:rPr>
        <w:rFonts w:hint="eastAsia"/>
      </w:rPr>
    </w:lvl>
  </w:abstractNum>
  <w:abstractNum w:abstractNumId="3">
    <w:nsid w:val="78C8C112"/>
    <w:multiLevelType w:val="singleLevel"/>
    <w:tmpl w:val="78C8C112"/>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M2IxOGYxMzk0OGMyNTI5NjllZjU2ZWU2ZWVhMmIifQ=="/>
  </w:docVars>
  <w:rsids>
    <w:rsidRoot w:val="00172A27"/>
    <w:rsid w:val="00001496"/>
    <w:rsid w:val="00002202"/>
    <w:rsid w:val="000115A0"/>
    <w:rsid w:val="000318E3"/>
    <w:rsid w:val="00037EFF"/>
    <w:rsid w:val="00046BAA"/>
    <w:rsid w:val="0005083D"/>
    <w:rsid w:val="00056405"/>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A53"/>
    <w:rsid w:val="001669D4"/>
    <w:rsid w:val="00166EFE"/>
    <w:rsid w:val="001674A0"/>
    <w:rsid w:val="00180AC6"/>
    <w:rsid w:val="001868D1"/>
    <w:rsid w:val="001921FC"/>
    <w:rsid w:val="001922D3"/>
    <w:rsid w:val="0019475C"/>
    <w:rsid w:val="001A1A25"/>
    <w:rsid w:val="001A2390"/>
    <w:rsid w:val="001A2C24"/>
    <w:rsid w:val="001A3A7F"/>
    <w:rsid w:val="001A6C04"/>
    <w:rsid w:val="001B087F"/>
    <w:rsid w:val="001B223C"/>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22BCE"/>
    <w:rsid w:val="00623E5D"/>
    <w:rsid w:val="0063096E"/>
    <w:rsid w:val="00631810"/>
    <w:rsid w:val="0063568E"/>
    <w:rsid w:val="006432B9"/>
    <w:rsid w:val="00645AB0"/>
    <w:rsid w:val="0065350F"/>
    <w:rsid w:val="00654A2E"/>
    <w:rsid w:val="006579D3"/>
    <w:rsid w:val="00661709"/>
    <w:rsid w:val="00665823"/>
    <w:rsid w:val="00671294"/>
    <w:rsid w:val="00671389"/>
    <w:rsid w:val="006816EF"/>
    <w:rsid w:val="00682554"/>
    <w:rsid w:val="00694378"/>
    <w:rsid w:val="006B2B82"/>
    <w:rsid w:val="006B71B5"/>
    <w:rsid w:val="006C0E23"/>
    <w:rsid w:val="006C3367"/>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3FC7"/>
    <w:rsid w:val="00884566"/>
    <w:rsid w:val="00886AD3"/>
    <w:rsid w:val="008945F8"/>
    <w:rsid w:val="00895872"/>
    <w:rsid w:val="00896238"/>
    <w:rsid w:val="008972FC"/>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76409"/>
    <w:rsid w:val="00B90876"/>
    <w:rsid w:val="00B972E0"/>
    <w:rsid w:val="00BA2384"/>
    <w:rsid w:val="00BB009D"/>
    <w:rsid w:val="00BB1C18"/>
    <w:rsid w:val="00BB2C7D"/>
    <w:rsid w:val="00BB5B4D"/>
    <w:rsid w:val="00BB7E1A"/>
    <w:rsid w:val="00BC1A32"/>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126006"/>
    <w:rsid w:val="019E15FA"/>
    <w:rsid w:val="01B140BF"/>
    <w:rsid w:val="01C04E49"/>
    <w:rsid w:val="01C56903"/>
    <w:rsid w:val="01E5130F"/>
    <w:rsid w:val="022E6ED6"/>
    <w:rsid w:val="024418C5"/>
    <w:rsid w:val="029F53A6"/>
    <w:rsid w:val="02D011EF"/>
    <w:rsid w:val="03333D73"/>
    <w:rsid w:val="034A70C0"/>
    <w:rsid w:val="03567E64"/>
    <w:rsid w:val="039558ED"/>
    <w:rsid w:val="03D8291E"/>
    <w:rsid w:val="03F82FC0"/>
    <w:rsid w:val="03F84D6E"/>
    <w:rsid w:val="040A2CF3"/>
    <w:rsid w:val="04247911"/>
    <w:rsid w:val="042B7EE6"/>
    <w:rsid w:val="04605389"/>
    <w:rsid w:val="04763EE5"/>
    <w:rsid w:val="04B055CA"/>
    <w:rsid w:val="04E84D70"/>
    <w:rsid w:val="04FE1B34"/>
    <w:rsid w:val="0530678A"/>
    <w:rsid w:val="056800F4"/>
    <w:rsid w:val="057559BC"/>
    <w:rsid w:val="0599432F"/>
    <w:rsid w:val="061061E5"/>
    <w:rsid w:val="064847BE"/>
    <w:rsid w:val="065937C6"/>
    <w:rsid w:val="068F04F2"/>
    <w:rsid w:val="06C63BCE"/>
    <w:rsid w:val="07024983"/>
    <w:rsid w:val="076D1F31"/>
    <w:rsid w:val="079F3753"/>
    <w:rsid w:val="082A74C0"/>
    <w:rsid w:val="083C60EB"/>
    <w:rsid w:val="085602B5"/>
    <w:rsid w:val="08707E74"/>
    <w:rsid w:val="09276FF5"/>
    <w:rsid w:val="099E1F14"/>
    <w:rsid w:val="0AAE262A"/>
    <w:rsid w:val="0B1427D5"/>
    <w:rsid w:val="0B612FC8"/>
    <w:rsid w:val="0BE935F9"/>
    <w:rsid w:val="0C24351A"/>
    <w:rsid w:val="0C5F1A85"/>
    <w:rsid w:val="0C6076EF"/>
    <w:rsid w:val="0C665AC7"/>
    <w:rsid w:val="0C727ABA"/>
    <w:rsid w:val="0C7358DA"/>
    <w:rsid w:val="0C88710A"/>
    <w:rsid w:val="0CBE28CD"/>
    <w:rsid w:val="0CD10361"/>
    <w:rsid w:val="0CD30126"/>
    <w:rsid w:val="0CD63DCD"/>
    <w:rsid w:val="0D29380C"/>
    <w:rsid w:val="0D52243E"/>
    <w:rsid w:val="0D5501D9"/>
    <w:rsid w:val="0DCC686B"/>
    <w:rsid w:val="0DDA0A0F"/>
    <w:rsid w:val="0DDE3227"/>
    <w:rsid w:val="0E172295"/>
    <w:rsid w:val="0E530B10"/>
    <w:rsid w:val="0E635A20"/>
    <w:rsid w:val="0EE10C23"/>
    <w:rsid w:val="0F256C33"/>
    <w:rsid w:val="0F647518"/>
    <w:rsid w:val="0F856841"/>
    <w:rsid w:val="0FE5157E"/>
    <w:rsid w:val="10054FA8"/>
    <w:rsid w:val="102E38C6"/>
    <w:rsid w:val="10865ABA"/>
    <w:rsid w:val="10AC68EA"/>
    <w:rsid w:val="10C304B2"/>
    <w:rsid w:val="10E802AE"/>
    <w:rsid w:val="11204641"/>
    <w:rsid w:val="112A6783"/>
    <w:rsid w:val="11A357F2"/>
    <w:rsid w:val="11AC7198"/>
    <w:rsid w:val="11EE5A02"/>
    <w:rsid w:val="121E62E8"/>
    <w:rsid w:val="124F64A1"/>
    <w:rsid w:val="12525F91"/>
    <w:rsid w:val="12580C2B"/>
    <w:rsid w:val="126D6927"/>
    <w:rsid w:val="12A367ED"/>
    <w:rsid w:val="12D22707"/>
    <w:rsid w:val="12F40DC0"/>
    <w:rsid w:val="1301085A"/>
    <w:rsid w:val="13036299"/>
    <w:rsid w:val="134F18E7"/>
    <w:rsid w:val="136046DE"/>
    <w:rsid w:val="136D7BB8"/>
    <w:rsid w:val="13A84EB1"/>
    <w:rsid w:val="13B04414"/>
    <w:rsid w:val="13BA0A3C"/>
    <w:rsid w:val="143B5416"/>
    <w:rsid w:val="1441006B"/>
    <w:rsid w:val="14493297"/>
    <w:rsid w:val="14562094"/>
    <w:rsid w:val="14825BBF"/>
    <w:rsid w:val="149C7709"/>
    <w:rsid w:val="14BD6CF8"/>
    <w:rsid w:val="14CA068E"/>
    <w:rsid w:val="14D346B7"/>
    <w:rsid w:val="14E10453"/>
    <w:rsid w:val="1509626B"/>
    <w:rsid w:val="150F3CC6"/>
    <w:rsid w:val="151D729A"/>
    <w:rsid w:val="152D05F0"/>
    <w:rsid w:val="152D61E3"/>
    <w:rsid w:val="15826B8D"/>
    <w:rsid w:val="158D3597"/>
    <w:rsid w:val="159B7C4F"/>
    <w:rsid w:val="15D96741"/>
    <w:rsid w:val="15F31839"/>
    <w:rsid w:val="1666200B"/>
    <w:rsid w:val="16C47BA4"/>
    <w:rsid w:val="16D25540"/>
    <w:rsid w:val="16F2389F"/>
    <w:rsid w:val="17020FAB"/>
    <w:rsid w:val="170F37A6"/>
    <w:rsid w:val="17525EE6"/>
    <w:rsid w:val="17A50911"/>
    <w:rsid w:val="17A728DB"/>
    <w:rsid w:val="17AC1CA0"/>
    <w:rsid w:val="17AF79E2"/>
    <w:rsid w:val="17BF5E77"/>
    <w:rsid w:val="180050FE"/>
    <w:rsid w:val="18EB2DBB"/>
    <w:rsid w:val="18F0565A"/>
    <w:rsid w:val="18F16CB3"/>
    <w:rsid w:val="18FB47B8"/>
    <w:rsid w:val="1901426D"/>
    <w:rsid w:val="191504FB"/>
    <w:rsid w:val="195919B3"/>
    <w:rsid w:val="19765977"/>
    <w:rsid w:val="1A07140F"/>
    <w:rsid w:val="1A07652D"/>
    <w:rsid w:val="1A0B293A"/>
    <w:rsid w:val="1A200269"/>
    <w:rsid w:val="1A5F2610"/>
    <w:rsid w:val="1A813044"/>
    <w:rsid w:val="1AB07CF9"/>
    <w:rsid w:val="1AD17A45"/>
    <w:rsid w:val="1B332CB8"/>
    <w:rsid w:val="1B4B27A6"/>
    <w:rsid w:val="1B5340FA"/>
    <w:rsid w:val="1B593EEC"/>
    <w:rsid w:val="1B8236BA"/>
    <w:rsid w:val="1BBE01F3"/>
    <w:rsid w:val="1BC2301B"/>
    <w:rsid w:val="1C2E5379"/>
    <w:rsid w:val="1C750501"/>
    <w:rsid w:val="1C924681"/>
    <w:rsid w:val="1CB84297"/>
    <w:rsid w:val="1CCE593E"/>
    <w:rsid w:val="1D183933"/>
    <w:rsid w:val="1D271DC8"/>
    <w:rsid w:val="1DA84CB7"/>
    <w:rsid w:val="1DE2466D"/>
    <w:rsid w:val="1E430E84"/>
    <w:rsid w:val="1E737A66"/>
    <w:rsid w:val="1ED6699E"/>
    <w:rsid w:val="1EEC5078"/>
    <w:rsid w:val="1F1076B4"/>
    <w:rsid w:val="1F3D35AB"/>
    <w:rsid w:val="1F3E3BDF"/>
    <w:rsid w:val="1F48203A"/>
    <w:rsid w:val="1F883474"/>
    <w:rsid w:val="1FA21CAE"/>
    <w:rsid w:val="1FAD782F"/>
    <w:rsid w:val="1FE62B6D"/>
    <w:rsid w:val="202109D2"/>
    <w:rsid w:val="204C132C"/>
    <w:rsid w:val="2068152D"/>
    <w:rsid w:val="20820AF5"/>
    <w:rsid w:val="209239FD"/>
    <w:rsid w:val="209C689A"/>
    <w:rsid w:val="21093654"/>
    <w:rsid w:val="21B376AD"/>
    <w:rsid w:val="229879F0"/>
    <w:rsid w:val="22C03E97"/>
    <w:rsid w:val="22CF718A"/>
    <w:rsid w:val="231D4366"/>
    <w:rsid w:val="231E09D8"/>
    <w:rsid w:val="232264E9"/>
    <w:rsid w:val="232748D0"/>
    <w:rsid w:val="23553414"/>
    <w:rsid w:val="239D608F"/>
    <w:rsid w:val="23A67EEB"/>
    <w:rsid w:val="23BE3486"/>
    <w:rsid w:val="24BC2045"/>
    <w:rsid w:val="24C474C9"/>
    <w:rsid w:val="24CE38C9"/>
    <w:rsid w:val="24E33BFF"/>
    <w:rsid w:val="25355402"/>
    <w:rsid w:val="256C2A6E"/>
    <w:rsid w:val="25A22934"/>
    <w:rsid w:val="25C12DBA"/>
    <w:rsid w:val="25D9247A"/>
    <w:rsid w:val="2629450F"/>
    <w:rsid w:val="26451DBB"/>
    <w:rsid w:val="26C568DA"/>
    <w:rsid w:val="26D24163"/>
    <w:rsid w:val="26D5059B"/>
    <w:rsid w:val="26D818A9"/>
    <w:rsid w:val="273D0B66"/>
    <w:rsid w:val="27461ED6"/>
    <w:rsid w:val="27791B20"/>
    <w:rsid w:val="27870033"/>
    <w:rsid w:val="279B2A28"/>
    <w:rsid w:val="28441A80"/>
    <w:rsid w:val="28E8466A"/>
    <w:rsid w:val="290C5E08"/>
    <w:rsid w:val="29945D79"/>
    <w:rsid w:val="29997CC5"/>
    <w:rsid w:val="29AC7A30"/>
    <w:rsid w:val="29C130D3"/>
    <w:rsid w:val="2A080115"/>
    <w:rsid w:val="2A5306A1"/>
    <w:rsid w:val="2A6C1915"/>
    <w:rsid w:val="2A762340"/>
    <w:rsid w:val="2A810E15"/>
    <w:rsid w:val="2A986A3E"/>
    <w:rsid w:val="2ABC7FF4"/>
    <w:rsid w:val="2AC86999"/>
    <w:rsid w:val="2B4F2E3B"/>
    <w:rsid w:val="2B7B0043"/>
    <w:rsid w:val="2BDF043E"/>
    <w:rsid w:val="2BEE242F"/>
    <w:rsid w:val="2C040291"/>
    <w:rsid w:val="2C191F5E"/>
    <w:rsid w:val="2C26606D"/>
    <w:rsid w:val="2C3B686F"/>
    <w:rsid w:val="2C673F8F"/>
    <w:rsid w:val="2C6B7F24"/>
    <w:rsid w:val="2C8B1087"/>
    <w:rsid w:val="2CD47877"/>
    <w:rsid w:val="2CDE24A4"/>
    <w:rsid w:val="2CF73565"/>
    <w:rsid w:val="2D26209C"/>
    <w:rsid w:val="2DCA5DCE"/>
    <w:rsid w:val="2DE7182C"/>
    <w:rsid w:val="2E032D5E"/>
    <w:rsid w:val="2E104B78"/>
    <w:rsid w:val="2E177139"/>
    <w:rsid w:val="2E461810"/>
    <w:rsid w:val="2EC102CF"/>
    <w:rsid w:val="2EFA4B83"/>
    <w:rsid w:val="2F44231D"/>
    <w:rsid w:val="2F921775"/>
    <w:rsid w:val="2FA33530"/>
    <w:rsid w:val="300B1B55"/>
    <w:rsid w:val="300C27FE"/>
    <w:rsid w:val="30455EAC"/>
    <w:rsid w:val="31244B45"/>
    <w:rsid w:val="31344570"/>
    <w:rsid w:val="313A6116"/>
    <w:rsid w:val="31BC6B2B"/>
    <w:rsid w:val="321112EA"/>
    <w:rsid w:val="32747D62"/>
    <w:rsid w:val="32AC3044"/>
    <w:rsid w:val="32B06230"/>
    <w:rsid w:val="32F04CDF"/>
    <w:rsid w:val="32FB3683"/>
    <w:rsid w:val="331B50EC"/>
    <w:rsid w:val="33410DFB"/>
    <w:rsid w:val="3344327C"/>
    <w:rsid w:val="33E721A0"/>
    <w:rsid w:val="34220587"/>
    <w:rsid w:val="344A2B14"/>
    <w:rsid w:val="346C4839"/>
    <w:rsid w:val="34B234AB"/>
    <w:rsid w:val="34BA1A48"/>
    <w:rsid w:val="34EB7E53"/>
    <w:rsid w:val="34F4322C"/>
    <w:rsid w:val="350606FD"/>
    <w:rsid w:val="3511416E"/>
    <w:rsid w:val="35C93186"/>
    <w:rsid w:val="3606477F"/>
    <w:rsid w:val="363475D8"/>
    <w:rsid w:val="3663145F"/>
    <w:rsid w:val="36AA33F6"/>
    <w:rsid w:val="370E7E29"/>
    <w:rsid w:val="375B3D1D"/>
    <w:rsid w:val="37757EA8"/>
    <w:rsid w:val="379F4F25"/>
    <w:rsid w:val="37DB37D6"/>
    <w:rsid w:val="382A2DCE"/>
    <w:rsid w:val="384D672F"/>
    <w:rsid w:val="38537B36"/>
    <w:rsid w:val="38650971"/>
    <w:rsid w:val="39496958"/>
    <w:rsid w:val="397F500E"/>
    <w:rsid w:val="398919E9"/>
    <w:rsid w:val="39BE5599"/>
    <w:rsid w:val="3A146373"/>
    <w:rsid w:val="3A4A2EE1"/>
    <w:rsid w:val="3A6C0780"/>
    <w:rsid w:val="3A92742B"/>
    <w:rsid w:val="3A953785"/>
    <w:rsid w:val="3AE12C2D"/>
    <w:rsid w:val="3AF37A62"/>
    <w:rsid w:val="3B061570"/>
    <w:rsid w:val="3B295232"/>
    <w:rsid w:val="3B410038"/>
    <w:rsid w:val="3B4B5394"/>
    <w:rsid w:val="3B7F4DD8"/>
    <w:rsid w:val="3B914B86"/>
    <w:rsid w:val="3BA27ACD"/>
    <w:rsid w:val="3BA27F3E"/>
    <w:rsid w:val="3C324A97"/>
    <w:rsid w:val="3C4271A8"/>
    <w:rsid w:val="3C5D383C"/>
    <w:rsid w:val="3C5D3E50"/>
    <w:rsid w:val="3C9D5BCB"/>
    <w:rsid w:val="3CDD2778"/>
    <w:rsid w:val="3D015D3A"/>
    <w:rsid w:val="3D052D66"/>
    <w:rsid w:val="3D207DC0"/>
    <w:rsid w:val="3D803103"/>
    <w:rsid w:val="3D8C5F4C"/>
    <w:rsid w:val="3DA83EFA"/>
    <w:rsid w:val="3E616E13"/>
    <w:rsid w:val="3EB5661C"/>
    <w:rsid w:val="3EC87EDC"/>
    <w:rsid w:val="3EEC6A1B"/>
    <w:rsid w:val="3F040E29"/>
    <w:rsid w:val="3F1433ED"/>
    <w:rsid w:val="3F2A5A1C"/>
    <w:rsid w:val="3F702F92"/>
    <w:rsid w:val="3F762A0F"/>
    <w:rsid w:val="3F9C49E9"/>
    <w:rsid w:val="3FB94B3D"/>
    <w:rsid w:val="3FD54206"/>
    <w:rsid w:val="3FD72405"/>
    <w:rsid w:val="40B70141"/>
    <w:rsid w:val="41656898"/>
    <w:rsid w:val="41FB6721"/>
    <w:rsid w:val="42DE4A51"/>
    <w:rsid w:val="42F20DCB"/>
    <w:rsid w:val="4332119D"/>
    <w:rsid w:val="434864E2"/>
    <w:rsid w:val="438B2456"/>
    <w:rsid w:val="439873F8"/>
    <w:rsid w:val="43D56439"/>
    <w:rsid w:val="43F26D23"/>
    <w:rsid w:val="4436276D"/>
    <w:rsid w:val="443D7EE2"/>
    <w:rsid w:val="44676DCB"/>
    <w:rsid w:val="446E7B78"/>
    <w:rsid w:val="4471488C"/>
    <w:rsid w:val="449D27EC"/>
    <w:rsid w:val="44D22496"/>
    <w:rsid w:val="44DF4BB3"/>
    <w:rsid w:val="451B7A9E"/>
    <w:rsid w:val="45410E18"/>
    <w:rsid w:val="45725A27"/>
    <w:rsid w:val="45BC6EF2"/>
    <w:rsid w:val="45DF7DD0"/>
    <w:rsid w:val="4626062E"/>
    <w:rsid w:val="472509C6"/>
    <w:rsid w:val="474A4216"/>
    <w:rsid w:val="478B1E23"/>
    <w:rsid w:val="480F1C53"/>
    <w:rsid w:val="481855B1"/>
    <w:rsid w:val="481A3696"/>
    <w:rsid w:val="4922622C"/>
    <w:rsid w:val="496C529A"/>
    <w:rsid w:val="49BC6688"/>
    <w:rsid w:val="49E35145"/>
    <w:rsid w:val="4A2861F7"/>
    <w:rsid w:val="4A2D5CBA"/>
    <w:rsid w:val="4A727F0E"/>
    <w:rsid w:val="4A851654"/>
    <w:rsid w:val="4AAB79E7"/>
    <w:rsid w:val="4AD20BCB"/>
    <w:rsid w:val="4AF51685"/>
    <w:rsid w:val="4AF616DD"/>
    <w:rsid w:val="4B470965"/>
    <w:rsid w:val="4B550211"/>
    <w:rsid w:val="4B554952"/>
    <w:rsid w:val="4B637C0F"/>
    <w:rsid w:val="4B70165E"/>
    <w:rsid w:val="4B860BDD"/>
    <w:rsid w:val="4C235CCD"/>
    <w:rsid w:val="4C34144D"/>
    <w:rsid w:val="4C676045"/>
    <w:rsid w:val="4CD2389B"/>
    <w:rsid w:val="4CD52B3A"/>
    <w:rsid w:val="4CE94821"/>
    <w:rsid w:val="4CEE3060"/>
    <w:rsid w:val="4CFE492A"/>
    <w:rsid w:val="4D425ABB"/>
    <w:rsid w:val="4DC60A73"/>
    <w:rsid w:val="4DD77BBE"/>
    <w:rsid w:val="4DE11B7D"/>
    <w:rsid w:val="4E3F065B"/>
    <w:rsid w:val="4EA01857"/>
    <w:rsid w:val="4EBB6B08"/>
    <w:rsid w:val="4ECA7876"/>
    <w:rsid w:val="4EDE26B2"/>
    <w:rsid w:val="4F2C6C47"/>
    <w:rsid w:val="4F3E483D"/>
    <w:rsid w:val="4F846A83"/>
    <w:rsid w:val="4FAE3B00"/>
    <w:rsid w:val="4FBC5295"/>
    <w:rsid w:val="4FFA40C6"/>
    <w:rsid w:val="500C47D7"/>
    <w:rsid w:val="504137C0"/>
    <w:rsid w:val="508E75C7"/>
    <w:rsid w:val="50EB7742"/>
    <w:rsid w:val="50EF2622"/>
    <w:rsid w:val="512C73D2"/>
    <w:rsid w:val="51792F7D"/>
    <w:rsid w:val="518615D6"/>
    <w:rsid w:val="51C97887"/>
    <w:rsid w:val="51D51447"/>
    <w:rsid w:val="51F0603B"/>
    <w:rsid w:val="5272350A"/>
    <w:rsid w:val="528A2602"/>
    <w:rsid w:val="52DE64AA"/>
    <w:rsid w:val="52EC3766"/>
    <w:rsid w:val="53171F82"/>
    <w:rsid w:val="53422DC2"/>
    <w:rsid w:val="53BE0110"/>
    <w:rsid w:val="54266B0F"/>
    <w:rsid w:val="545743A8"/>
    <w:rsid w:val="5482715A"/>
    <w:rsid w:val="54A37EEE"/>
    <w:rsid w:val="54C96B2C"/>
    <w:rsid w:val="5501034D"/>
    <w:rsid w:val="55442D10"/>
    <w:rsid w:val="554F0CA1"/>
    <w:rsid w:val="55861F85"/>
    <w:rsid w:val="559B2D78"/>
    <w:rsid w:val="559F6E56"/>
    <w:rsid w:val="5604091D"/>
    <w:rsid w:val="560C32E1"/>
    <w:rsid w:val="56325F75"/>
    <w:rsid w:val="56496330"/>
    <w:rsid w:val="56B10B5F"/>
    <w:rsid w:val="56C109C9"/>
    <w:rsid w:val="56C1236A"/>
    <w:rsid w:val="56D44B7D"/>
    <w:rsid w:val="56F25234"/>
    <w:rsid w:val="572528F9"/>
    <w:rsid w:val="57914155"/>
    <w:rsid w:val="57C65BAE"/>
    <w:rsid w:val="58070251"/>
    <w:rsid w:val="58736890"/>
    <w:rsid w:val="58A91308"/>
    <w:rsid w:val="58B336C6"/>
    <w:rsid w:val="58D72319"/>
    <w:rsid w:val="59181005"/>
    <w:rsid w:val="591F6673"/>
    <w:rsid w:val="597E384D"/>
    <w:rsid w:val="5993342B"/>
    <w:rsid w:val="5994085A"/>
    <w:rsid w:val="59C04B5B"/>
    <w:rsid w:val="59C61F2F"/>
    <w:rsid w:val="59D8203F"/>
    <w:rsid w:val="59DE4FE1"/>
    <w:rsid w:val="5A2450EA"/>
    <w:rsid w:val="5A640128"/>
    <w:rsid w:val="5A811902"/>
    <w:rsid w:val="5A903350"/>
    <w:rsid w:val="5A92474A"/>
    <w:rsid w:val="5AE825BC"/>
    <w:rsid w:val="5B5872DB"/>
    <w:rsid w:val="5B8017FE"/>
    <w:rsid w:val="5B9D08B5"/>
    <w:rsid w:val="5BA25330"/>
    <w:rsid w:val="5BD1511E"/>
    <w:rsid w:val="5BE036DF"/>
    <w:rsid w:val="5C0B3B2B"/>
    <w:rsid w:val="5C4E05A1"/>
    <w:rsid w:val="5C5F1839"/>
    <w:rsid w:val="5CD71A0A"/>
    <w:rsid w:val="5CF22818"/>
    <w:rsid w:val="5CFD6159"/>
    <w:rsid w:val="5D250B83"/>
    <w:rsid w:val="5D296AE2"/>
    <w:rsid w:val="5D4C4DAB"/>
    <w:rsid w:val="5D8E0D0F"/>
    <w:rsid w:val="5E0A2761"/>
    <w:rsid w:val="5E8B0E48"/>
    <w:rsid w:val="5EE60DC2"/>
    <w:rsid w:val="5EFD0600"/>
    <w:rsid w:val="5EFE61EB"/>
    <w:rsid w:val="5F092B01"/>
    <w:rsid w:val="5F5C4A79"/>
    <w:rsid w:val="5F7A2117"/>
    <w:rsid w:val="60161979"/>
    <w:rsid w:val="60B86951"/>
    <w:rsid w:val="60C413D5"/>
    <w:rsid w:val="60D333C6"/>
    <w:rsid w:val="60EA02FE"/>
    <w:rsid w:val="60F15F42"/>
    <w:rsid w:val="61252E31"/>
    <w:rsid w:val="613A4786"/>
    <w:rsid w:val="61463CD9"/>
    <w:rsid w:val="614F5761"/>
    <w:rsid w:val="61772657"/>
    <w:rsid w:val="61942442"/>
    <w:rsid w:val="61F7246A"/>
    <w:rsid w:val="6200079A"/>
    <w:rsid w:val="62BC57C9"/>
    <w:rsid w:val="62E0001C"/>
    <w:rsid w:val="632170F5"/>
    <w:rsid w:val="63275C4B"/>
    <w:rsid w:val="638A36D6"/>
    <w:rsid w:val="639F1C85"/>
    <w:rsid w:val="63A67F77"/>
    <w:rsid w:val="63C60C97"/>
    <w:rsid w:val="64663B6A"/>
    <w:rsid w:val="64666967"/>
    <w:rsid w:val="64925346"/>
    <w:rsid w:val="655B1BDC"/>
    <w:rsid w:val="65685219"/>
    <w:rsid w:val="65951AAE"/>
    <w:rsid w:val="65982E30"/>
    <w:rsid w:val="65C0487F"/>
    <w:rsid w:val="667F1AEE"/>
    <w:rsid w:val="66A55805"/>
    <w:rsid w:val="66DB3793"/>
    <w:rsid w:val="66E07D38"/>
    <w:rsid w:val="66ED36D5"/>
    <w:rsid w:val="670723FC"/>
    <w:rsid w:val="672227C4"/>
    <w:rsid w:val="676254A4"/>
    <w:rsid w:val="67954F6E"/>
    <w:rsid w:val="67F307F2"/>
    <w:rsid w:val="67F330AB"/>
    <w:rsid w:val="683055A2"/>
    <w:rsid w:val="68B95F59"/>
    <w:rsid w:val="68BB130F"/>
    <w:rsid w:val="68CA3301"/>
    <w:rsid w:val="68FB2328"/>
    <w:rsid w:val="691C1F18"/>
    <w:rsid w:val="69213601"/>
    <w:rsid w:val="692C3EF9"/>
    <w:rsid w:val="699679EB"/>
    <w:rsid w:val="6A205AF9"/>
    <w:rsid w:val="6A30723E"/>
    <w:rsid w:val="6A9667FA"/>
    <w:rsid w:val="6ABE4125"/>
    <w:rsid w:val="6B054AC4"/>
    <w:rsid w:val="6B0D1EB5"/>
    <w:rsid w:val="6B422D37"/>
    <w:rsid w:val="6B58349A"/>
    <w:rsid w:val="6C1B3E73"/>
    <w:rsid w:val="6C3D3BF8"/>
    <w:rsid w:val="6C551158"/>
    <w:rsid w:val="6C7F5930"/>
    <w:rsid w:val="6C8A14E3"/>
    <w:rsid w:val="6C8E0AE9"/>
    <w:rsid w:val="6D5A4DC3"/>
    <w:rsid w:val="6D746183"/>
    <w:rsid w:val="6DF42BCE"/>
    <w:rsid w:val="6E090B60"/>
    <w:rsid w:val="6E315BD0"/>
    <w:rsid w:val="6E331D73"/>
    <w:rsid w:val="6E361220"/>
    <w:rsid w:val="6E3A0F94"/>
    <w:rsid w:val="6E656967"/>
    <w:rsid w:val="6E701D92"/>
    <w:rsid w:val="6E9B274D"/>
    <w:rsid w:val="6E9F0223"/>
    <w:rsid w:val="6EA01116"/>
    <w:rsid w:val="6EAF0AA9"/>
    <w:rsid w:val="6F5F0599"/>
    <w:rsid w:val="6F601137"/>
    <w:rsid w:val="6F7E6554"/>
    <w:rsid w:val="6F9117CD"/>
    <w:rsid w:val="6F9D0A75"/>
    <w:rsid w:val="6FE90965"/>
    <w:rsid w:val="700F79D5"/>
    <w:rsid w:val="701E44BC"/>
    <w:rsid w:val="70B60CB2"/>
    <w:rsid w:val="71436346"/>
    <w:rsid w:val="71D56BD0"/>
    <w:rsid w:val="71E07AB4"/>
    <w:rsid w:val="721E4A97"/>
    <w:rsid w:val="72395053"/>
    <w:rsid w:val="72452668"/>
    <w:rsid w:val="726B5B54"/>
    <w:rsid w:val="7305535E"/>
    <w:rsid w:val="730862A0"/>
    <w:rsid w:val="731107FB"/>
    <w:rsid w:val="73316377"/>
    <w:rsid w:val="735132C1"/>
    <w:rsid w:val="73593BFF"/>
    <w:rsid w:val="73634A7D"/>
    <w:rsid w:val="73AB0A9F"/>
    <w:rsid w:val="74021DFF"/>
    <w:rsid w:val="740B53A5"/>
    <w:rsid w:val="741E120C"/>
    <w:rsid w:val="744A3547"/>
    <w:rsid w:val="747458D7"/>
    <w:rsid w:val="747A1CEA"/>
    <w:rsid w:val="74A120DE"/>
    <w:rsid w:val="74AF2F5D"/>
    <w:rsid w:val="74B135C7"/>
    <w:rsid w:val="74D81899"/>
    <w:rsid w:val="75360521"/>
    <w:rsid w:val="759172D9"/>
    <w:rsid w:val="75F97E8B"/>
    <w:rsid w:val="76016CFA"/>
    <w:rsid w:val="765A667E"/>
    <w:rsid w:val="765B2D19"/>
    <w:rsid w:val="76F77834"/>
    <w:rsid w:val="775C0B69"/>
    <w:rsid w:val="78565C9F"/>
    <w:rsid w:val="786C6182"/>
    <w:rsid w:val="786E3E8C"/>
    <w:rsid w:val="7894368C"/>
    <w:rsid w:val="789A1CB7"/>
    <w:rsid w:val="789C44F8"/>
    <w:rsid w:val="78F30652"/>
    <w:rsid w:val="792C6F50"/>
    <w:rsid w:val="79861A7E"/>
    <w:rsid w:val="799D05BD"/>
    <w:rsid w:val="79B2476E"/>
    <w:rsid w:val="79BF0534"/>
    <w:rsid w:val="79E507F1"/>
    <w:rsid w:val="79F4601C"/>
    <w:rsid w:val="79FA5CDF"/>
    <w:rsid w:val="7A0922E4"/>
    <w:rsid w:val="7A31700D"/>
    <w:rsid w:val="7A590988"/>
    <w:rsid w:val="7A613399"/>
    <w:rsid w:val="7A95503E"/>
    <w:rsid w:val="7AB6477F"/>
    <w:rsid w:val="7AB67B89"/>
    <w:rsid w:val="7AC51B7A"/>
    <w:rsid w:val="7B166879"/>
    <w:rsid w:val="7B211412"/>
    <w:rsid w:val="7B352E44"/>
    <w:rsid w:val="7B676657"/>
    <w:rsid w:val="7B7850B5"/>
    <w:rsid w:val="7BC657CB"/>
    <w:rsid w:val="7C3A6597"/>
    <w:rsid w:val="7C5337BC"/>
    <w:rsid w:val="7C773348"/>
    <w:rsid w:val="7CB41EA6"/>
    <w:rsid w:val="7CBC5715"/>
    <w:rsid w:val="7D222FEF"/>
    <w:rsid w:val="7D2304AB"/>
    <w:rsid w:val="7D457DF7"/>
    <w:rsid w:val="7D7653AD"/>
    <w:rsid w:val="7E8B642C"/>
    <w:rsid w:val="7EA57F21"/>
    <w:rsid w:val="7EB268B9"/>
    <w:rsid w:val="7ECC5996"/>
    <w:rsid w:val="7F0974E4"/>
    <w:rsid w:val="7F6D5063"/>
    <w:rsid w:val="7F9E21F8"/>
    <w:rsid w:val="7FA44126"/>
    <w:rsid w:val="7FAA5067"/>
    <w:rsid w:val="7FB040E1"/>
    <w:rsid w:val="7FCE14D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6"/>
    <w:qFormat/>
    <w:uiPriority w:val="0"/>
    <w:pPr>
      <w:keepNext/>
      <w:keepLines/>
      <w:spacing w:line="360" w:lineRule="auto"/>
      <w:outlineLvl w:val="2"/>
    </w:pPr>
    <w:rPr>
      <w:b/>
      <w:bCs/>
      <w:sz w:val="24"/>
      <w:szCs w:val="32"/>
    </w:rPr>
  </w:style>
  <w:style w:type="paragraph" w:styleId="6">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9"/>
    <w:qFormat/>
    <w:uiPriority w:val="0"/>
    <w:pPr>
      <w:keepNext/>
      <w:keepLines/>
      <w:spacing w:before="280" w:after="290" w:line="372" w:lineRule="auto"/>
      <w:outlineLvl w:val="4"/>
    </w:pPr>
    <w:rPr>
      <w:b/>
      <w:sz w:val="28"/>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0"/>
    </w:rPr>
  </w:style>
  <w:style w:type="paragraph" w:styleId="8">
    <w:name w:val="toc 7"/>
    <w:basedOn w:val="1"/>
    <w:next w:val="1"/>
    <w:semiHidden/>
    <w:qFormat/>
    <w:uiPriority w:val="0"/>
    <w:pPr>
      <w:ind w:left="1260"/>
      <w:jc w:val="left"/>
    </w:pPr>
    <w:rPr>
      <w:sz w:val="18"/>
      <w:szCs w:val="18"/>
    </w:rPr>
  </w:style>
  <w:style w:type="paragraph" w:styleId="9">
    <w:name w:val="Normal Indent"/>
    <w:basedOn w:val="1"/>
    <w:qFormat/>
    <w:uiPriority w:val="0"/>
    <w:pPr>
      <w:adjustRightInd w:val="0"/>
      <w:spacing w:line="360" w:lineRule="atLeast"/>
      <w:ind w:firstLine="420"/>
      <w:textAlignment w:val="baseline"/>
    </w:pPr>
    <w:rPr>
      <w:szCs w:val="20"/>
    </w:rPr>
  </w:style>
  <w:style w:type="paragraph" w:styleId="10">
    <w:name w:val="Document Map"/>
    <w:basedOn w:val="1"/>
    <w:link w:val="87"/>
    <w:qFormat/>
    <w:uiPriority w:val="0"/>
    <w:pPr>
      <w:shd w:val="clear" w:color="auto" w:fill="000080"/>
    </w:pPr>
  </w:style>
  <w:style w:type="paragraph" w:styleId="11">
    <w:name w:val="annotation text"/>
    <w:basedOn w:val="1"/>
    <w:link w:val="65"/>
    <w:qFormat/>
    <w:uiPriority w:val="0"/>
    <w:pPr>
      <w:jc w:val="left"/>
    </w:pPr>
    <w:rPr>
      <w:rFonts w:asciiTheme="minorHAnsi" w:hAnsiTheme="minorHAnsi" w:cstheme="minorBidi"/>
    </w:rPr>
  </w:style>
  <w:style w:type="paragraph" w:styleId="12">
    <w:name w:val="Body Text 3"/>
    <w:basedOn w:val="1"/>
    <w:link w:val="67"/>
    <w:qFormat/>
    <w:uiPriority w:val="0"/>
    <w:pPr>
      <w:spacing w:after="120"/>
    </w:pPr>
    <w:rPr>
      <w:rFonts w:asciiTheme="minorHAnsi" w:hAnsiTheme="minorHAnsi" w:cstheme="minorBidi"/>
      <w:sz w:val="16"/>
      <w:szCs w:val="22"/>
    </w:rPr>
  </w:style>
  <w:style w:type="paragraph" w:styleId="13">
    <w:name w:val="Closing"/>
    <w:basedOn w:val="1"/>
    <w:link w:val="63"/>
    <w:qFormat/>
    <w:uiPriority w:val="0"/>
    <w:pPr>
      <w:ind w:left="100" w:leftChars="2100"/>
    </w:pPr>
    <w:rPr>
      <w:rFonts w:asciiTheme="minorHAnsi" w:hAnsiTheme="minorHAnsi" w:eastAsiaTheme="minorEastAsia" w:cstheme="minorBidi"/>
      <w:sz w:val="28"/>
      <w:szCs w:val="28"/>
    </w:rPr>
  </w:style>
  <w:style w:type="paragraph" w:styleId="14">
    <w:name w:val="Body Text"/>
    <w:basedOn w:val="1"/>
    <w:next w:val="15"/>
    <w:link w:val="61"/>
    <w:qFormat/>
    <w:uiPriority w:val="0"/>
    <w:rPr>
      <w:rFonts w:ascii="宋体" w:hAnsiTheme="minorHAnsi" w:cstheme="minorBidi"/>
      <w:sz w:val="32"/>
      <w:szCs w:val="22"/>
    </w:rPr>
  </w:style>
  <w:style w:type="paragraph" w:styleId="15">
    <w:name w:val="Body Text 2"/>
    <w:basedOn w:val="1"/>
    <w:next w:val="1"/>
    <w:link w:val="103"/>
    <w:qFormat/>
    <w:uiPriority w:val="0"/>
    <w:rPr>
      <w:rFonts w:ascii="宋体" w:hAnsi="宋体"/>
      <w:b/>
      <w:bCs/>
      <w:sz w:val="24"/>
    </w:rPr>
  </w:style>
  <w:style w:type="paragraph" w:styleId="16">
    <w:name w:val="Body Text Indent"/>
    <w:basedOn w:val="1"/>
    <w:link w:val="68"/>
    <w:qFormat/>
    <w:uiPriority w:val="0"/>
    <w:pPr>
      <w:spacing w:after="120"/>
      <w:ind w:left="420" w:leftChars="200"/>
    </w:pPr>
    <w:rPr>
      <w:rFonts w:asciiTheme="minorHAnsi" w:hAnsiTheme="minorHAnsi" w:cstheme="minorBidi"/>
      <w:szCs w:val="22"/>
    </w:rPr>
  </w:style>
  <w:style w:type="paragraph" w:styleId="17">
    <w:name w:val="toc 5"/>
    <w:basedOn w:val="1"/>
    <w:next w:val="1"/>
    <w:semiHidden/>
    <w:qFormat/>
    <w:uiPriority w:val="0"/>
    <w:pPr>
      <w:ind w:left="840"/>
      <w:jc w:val="left"/>
    </w:pPr>
    <w:rPr>
      <w:sz w:val="18"/>
      <w:szCs w:val="18"/>
    </w:rPr>
  </w:style>
  <w:style w:type="paragraph" w:styleId="18">
    <w:name w:val="toc 3"/>
    <w:basedOn w:val="1"/>
    <w:next w:val="1"/>
    <w:semiHidden/>
    <w:qFormat/>
    <w:uiPriority w:val="0"/>
    <w:pPr>
      <w:ind w:left="420"/>
      <w:jc w:val="left"/>
    </w:pPr>
    <w:rPr>
      <w:i/>
      <w:iCs/>
      <w:sz w:val="20"/>
      <w:szCs w:val="20"/>
    </w:rPr>
  </w:style>
  <w:style w:type="paragraph" w:styleId="19">
    <w:name w:val="Plain Text"/>
    <w:basedOn w:val="1"/>
    <w:link w:val="64"/>
    <w:qFormat/>
    <w:uiPriority w:val="0"/>
    <w:pPr>
      <w:adjustRightInd w:val="0"/>
      <w:jc w:val="left"/>
      <w:textAlignment w:val="baseline"/>
    </w:pPr>
    <w:rPr>
      <w:rFonts w:ascii="宋体" w:hAnsi="Courier New" w:cstheme="minorBidi"/>
      <w:sz w:val="24"/>
      <w:szCs w:val="22"/>
    </w:rPr>
  </w:style>
  <w:style w:type="paragraph" w:styleId="20">
    <w:name w:val="toc 8"/>
    <w:basedOn w:val="1"/>
    <w:next w:val="1"/>
    <w:semiHidden/>
    <w:qFormat/>
    <w:uiPriority w:val="0"/>
    <w:pPr>
      <w:ind w:left="1470"/>
      <w:jc w:val="left"/>
    </w:pPr>
    <w:rPr>
      <w:sz w:val="18"/>
      <w:szCs w:val="18"/>
    </w:rPr>
  </w:style>
  <w:style w:type="paragraph" w:styleId="21">
    <w:name w:val="Date"/>
    <w:basedOn w:val="1"/>
    <w:next w:val="1"/>
    <w:link w:val="66"/>
    <w:qFormat/>
    <w:uiPriority w:val="0"/>
    <w:rPr>
      <w:rFonts w:asciiTheme="minorHAnsi" w:hAnsiTheme="minorHAnsi" w:cstheme="minorBidi"/>
      <w:szCs w:val="22"/>
    </w:rPr>
  </w:style>
  <w:style w:type="paragraph" w:styleId="22">
    <w:name w:val="Body Text Indent 2"/>
    <w:basedOn w:val="1"/>
    <w:next w:val="23"/>
    <w:link w:val="74"/>
    <w:qFormat/>
    <w:uiPriority w:val="0"/>
    <w:pPr>
      <w:ind w:left="-178" w:leftChars="-85" w:firstLine="739" w:firstLineChars="264"/>
      <w:jc w:val="left"/>
    </w:pPr>
    <w:rPr>
      <w:rFonts w:ascii="宋体"/>
      <w:sz w:val="28"/>
    </w:rPr>
  </w:style>
  <w:style w:type="paragraph" w:customStyle="1" w:styleId="23">
    <w:name w:val="reader-word-layer reader-word-s46-2"/>
    <w:basedOn w:val="1"/>
    <w:next w:val="24"/>
    <w:qFormat/>
    <w:uiPriority w:val="0"/>
    <w:pPr>
      <w:widowControl/>
      <w:spacing w:before="280" w:after="280"/>
      <w:jc w:val="both"/>
    </w:pPr>
    <w:rPr>
      <w:rFonts w:ascii="宋体"/>
      <w:sz w:val="24"/>
    </w:rPr>
  </w:style>
  <w:style w:type="paragraph" w:customStyle="1" w:styleId="24">
    <w:name w:val="xl35"/>
    <w:basedOn w:val="1"/>
    <w:next w:val="1"/>
    <w:qFormat/>
    <w:uiPriority w:val="0"/>
    <w:pPr>
      <w:widowControl/>
      <w:spacing w:before="100" w:beforeAutospacing="1" w:after="100" w:afterAutospacing="1"/>
      <w:jc w:val="center"/>
    </w:pPr>
    <w:rPr>
      <w:rFonts w:ascii="宋体" w:hAnsi="宋体" w:cs="宋体"/>
      <w:sz w:val="20"/>
      <w:szCs w:val="20"/>
    </w:rPr>
  </w:style>
  <w:style w:type="paragraph" w:styleId="25">
    <w:name w:val="Balloon Text"/>
    <w:basedOn w:val="1"/>
    <w:link w:val="70"/>
    <w:qFormat/>
    <w:uiPriority w:val="0"/>
    <w:rPr>
      <w:rFonts w:asciiTheme="minorHAnsi" w:hAnsiTheme="minorHAnsi" w:cstheme="minorBidi"/>
      <w:sz w:val="18"/>
      <w:szCs w:val="18"/>
    </w:rPr>
  </w:style>
  <w:style w:type="paragraph" w:styleId="26">
    <w:name w:val="footer"/>
    <w:basedOn w:val="1"/>
    <w:link w:val="62"/>
    <w:qFormat/>
    <w:uiPriority w:val="99"/>
    <w:pPr>
      <w:tabs>
        <w:tab w:val="center" w:pos="4153"/>
        <w:tab w:val="right" w:pos="8306"/>
      </w:tabs>
      <w:snapToGrid w:val="0"/>
      <w:jc w:val="left"/>
    </w:pPr>
    <w:rPr>
      <w:rFonts w:asciiTheme="minorHAnsi" w:hAnsiTheme="minorHAnsi" w:cstheme="minorBidi"/>
      <w:sz w:val="18"/>
      <w:szCs w:val="18"/>
    </w:rPr>
  </w:style>
  <w:style w:type="paragraph" w:styleId="27">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2"/>
    <w:next w:val="1"/>
    <w:qFormat/>
    <w:uiPriority w:val="0"/>
    <w:pPr>
      <w:spacing w:after="120"/>
      <w:jc w:val="left"/>
    </w:pPr>
    <w:rPr>
      <w:rFonts w:ascii="Times New Roman" w:hAnsi="Times New Roman"/>
      <w:b/>
      <w:bCs/>
      <w:caps/>
      <w:sz w:val="20"/>
    </w:rPr>
  </w:style>
  <w:style w:type="paragraph" w:styleId="29">
    <w:name w:val="toc 4"/>
    <w:basedOn w:val="1"/>
    <w:next w:val="1"/>
    <w:semiHidden/>
    <w:qFormat/>
    <w:uiPriority w:val="0"/>
    <w:pPr>
      <w:ind w:left="630"/>
      <w:jc w:val="left"/>
    </w:pPr>
    <w:rPr>
      <w:sz w:val="18"/>
      <w:szCs w:val="18"/>
    </w:rPr>
  </w:style>
  <w:style w:type="paragraph" w:styleId="30">
    <w:name w:val="List"/>
    <w:basedOn w:val="1"/>
    <w:qFormat/>
    <w:uiPriority w:val="0"/>
    <w:pPr>
      <w:ind w:left="420" w:hanging="420"/>
    </w:pPr>
    <w:rPr>
      <w:szCs w:val="20"/>
      <w:lang w:bidi="he-IL"/>
    </w:rPr>
  </w:style>
  <w:style w:type="paragraph" w:styleId="31">
    <w:name w:val="toc 6"/>
    <w:basedOn w:val="1"/>
    <w:next w:val="1"/>
    <w:qFormat/>
    <w:uiPriority w:val="39"/>
    <w:pPr>
      <w:ind w:left="1050"/>
      <w:jc w:val="left"/>
    </w:pPr>
    <w:rPr>
      <w:sz w:val="18"/>
      <w:szCs w:val="18"/>
    </w:rPr>
  </w:style>
  <w:style w:type="paragraph" w:styleId="32">
    <w:name w:val="toc 2"/>
    <w:basedOn w:val="1"/>
    <w:next w:val="1"/>
    <w:qFormat/>
    <w:uiPriority w:val="0"/>
    <w:pPr>
      <w:ind w:left="210"/>
      <w:jc w:val="left"/>
    </w:pPr>
    <w:rPr>
      <w:smallCaps/>
      <w:sz w:val="20"/>
      <w:szCs w:val="20"/>
    </w:rPr>
  </w:style>
  <w:style w:type="paragraph" w:styleId="33">
    <w:name w:val="toc 9"/>
    <w:basedOn w:val="1"/>
    <w:next w:val="1"/>
    <w:semiHidden/>
    <w:qFormat/>
    <w:uiPriority w:val="0"/>
    <w:pPr>
      <w:ind w:left="1680"/>
      <w:jc w:val="left"/>
    </w:pPr>
    <w:rPr>
      <w:sz w:val="18"/>
      <w:szCs w:val="18"/>
    </w:rPr>
  </w:style>
  <w:style w:type="paragraph" w:styleId="34">
    <w:name w:val="Message Header"/>
    <w:basedOn w:val="1"/>
    <w:next w:val="1"/>
    <w:link w:val="104"/>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5">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6">
    <w:name w:val="Normal (Web)"/>
    <w:basedOn w:val="1"/>
    <w:unhideWhenUsed/>
    <w:qFormat/>
    <w:uiPriority w:val="0"/>
    <w:rPr>
      <w:sz w:val="24"/>
    </w:rPr>
  </w:style>
  <w:style w:type="paragraph" w:styleId="37">
    <w:name w:val="annotation subject"/>
    <w:basedOn w:val="11"/>
    <w:next w:val="11"/>
    <w:link w:val="69"/>
    <w:qFormat/>
    <w:uiPriority w:val="0"/>
    <w:rPr>
      <w:rFonts w:ascii="Times New Roman" w:hAnsi="Times New Roman" w:cs="Times New Roman"/>
      <w:b/>
      <w:bCs/>
    </w:rPr>
  </w:style>
  <w:style w:type="paragraph" w:styleId="38">
    <w:name w:val="Body Text First Indent"/>
    <w:basedOn w:val="14"/>
    <w:next w:val="31"/>
    <w:link w:val="118"/>
    <w:unhideWhenUsed/>
    <w:qFormat/>
    <w:uiPriority w:val="0"/>
    <w:pPr>
      <w:spacing w:after="120" w:line="312" w:lineRule="auto"/>
      <w:ind w:firstLine="420"/>
    </w:pPr>
    <w:rPr>
      <w:rFonts w:ascii="Calibri"/>
      <w:kern w:val="0"/>
      <w:sz w:val="20"/>
      <w:szCs w:val="24"/>
    </w:rPr>
  </w:style>
  <w:style w:type="table" w:styleId="40">
    <w:name w:val="Table Grid"/>
    <w:basedOn w:val="3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rPr>
  </w:style>
  <w:style w:type="character" w:styleId="43">
    <w:name w:val="page number"/>
    <w:basedOn w:val="41"/>
    <w:qFormat/>
    <w:uiPriority w:val="0"/>
    <w:rPr>
      <w:szCs w:val="21"/>
    </w:rPr>
  </w:style>
  <w:style w:type="character" w:styleId="44">
    <w:name w:val="FollowedHyperlink"/>
    <w:basedOn w:val="41"/>
    <w:qFormat/>
    <w:uiPriority w:val="0"/>
    <w:rPr>
      <w:rFonts w:hint="default" w:ascii="Times New Roman" w:hAnsi="Times New Roman" w:cs="Times New Roman"/>
      <w:color w:val="000000"/>
      <w:u w:val="none"/>
    </w:rPr>
  </w:style>
  <w:style w:type="character" w:styleId="45">
    <w:name w:val="Emphasis"/>
    <w:basedOn w:val="41"/>
    <w:qFormat/>
    <w:uiPriority w:val="0"/>
    <w:rPr>
      <w:i/>
      <w:iCs/>
      <w:szCs w:val="21"/>
    </w:rPr>
  </w:style>
  <w:style w:type="character" w:styleId="46">
    <w:name w:val="HTML Definition"/>
    <w:basedOn w:val="41"/>
    <w:qFormat/>
    <w:uiPriority w:val="0"/>
  </w:style>
  <w:style w:type="character" w:styleId="47">
    <w:name w:val="HTML Variable"/>
    <w:basedOn w:val="41"/>
    <w:qFormat/>
    <w:uiPriority w:val="0"/>
  </w:style>
  <w:style w:type="character" w:styleId="48">
    <w:name w:val="Hyperlink"/>
    <w:basedOn w:val="41"/>
    <w:qFormat/>
    <w:uiPriority w:val="0"/>
    <w:rPr>
      <w:color w:val="0000FF"/>
      <w:szCs w:val="21"/>
      <w:u w:val="single"/>
    </w:rPr>
  </w:style>
  <w:style w:type="character" w:styleId="49">
    <w:name w:val="HTML Code"/>
    <w:basedOn w:val="41"/>
    <w:qFormat/>
    <w:uiPriority w:val="0"/>
    <w:rPr>
      <w:rFonts w:ascii="Consolas" w:hAnsi="Consolas" w:eastAsia="Consolas" w:cs="Consolas"/>
      <w:color w:val="C7254E"/>
      <w:sz w:val="21"/>
      <w:szCs w:val="21"/>
      <w:shd w:val="clear" w:color="auto" w:fill="F9F2F4"/>
    </w:rPr>
  </w:style>
  <w:style w:type="character" w:styleId="50">
    <w:name w:val="annotation reference"/>
    <w:basedOn w:val="41"/>
    <w:qFormat/>
    <w:uiPriority w:val="0"/>
    <w:rPr>
      <w:sz w:val="21"/>
      <w:szCs w:val="21"/>
    </w:rPr>
  </w:style>
  <w:style w:type="character" w:styleId="51">
    <w:name w:val="HTML Cite"/>
    <w:basedOn w:val="41"/>
    <w:qFormat/>
    <w:uiPriority w:val="0"/>
  </w:style>
  <w:style w:type="character" w:styleId="52">
    <w:name w:val="HTML Keyboard"/>
    <w:basedOn w:val="41"/>
    <w:qFormat/>
    <w:uiPriority w:val="0"/>
    <w:rPr>
      <w:rFonts w:hint="default" w:ascii="Consolas" w:hAnsi="Consolas" w:eastAsia="Consolas" w:cs="Consolas"/>
      <w:color w:val="FFFFFF"/>
      <w:sz w:val="21"/>
      <w:szCs w:val="21"/>
      <w:shd w:val="clear" w:color="auto" w:fill="333333"/>
    </w:rPr>
  </w:style>
  <w:style w:type="character" w:styleId="53">
    <w:name w:val="HTML Sample"/>
    <w:basedOn w:val="41"/>
    <w:qFormat/>
    <w:uiPriority w:val="0"/>
    <w:rPr>
      <w:rFonts w:hint="default" w:ascii="Consolas" w:hAnsi="Consolas" w:eastAsia="Consolas" w:cs="Consolas"/>
      <w:sz w:val="21"/>
      <w:szCs w:val="21"/>
    </w:rPr>
  </w:style>
  <w:style w:type="paragraph" w:customStyle="1" w:styleId="54">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55">
    <w:name w:val="标题 2 字符1"/>
    <w:basedOn w:val="41"/>
    <w:link w:val="4"/>
    <w:qFormat/>
    <w:uiPriority w:val="0"/>
    <w:rPr>
      <w:rFonts w:ascii="Arial" w:hAnsi="Arial" w:eastAsia="黑体" w:cs="Times New Roman"/>
      <w:b/>
      <w:bCs/>
      <w:sz w:val="32"/>
      <w:szCs w:val="32"/>
    </w:rPr>
  </w:style>
  <w:style w:type="character" w:customStyle="1" w:styleId="56">
    <w:name w:val="标题 3 字符"/>
    <w:basedOn w:val="41"/>
    <w:link w:val="5"/>
    <w:qFormat/>
    <w:uiPriority w:val="0"/>
    <w:rPr>
      <w:rFonts w:ascii="Times New Roman" w:hAnsi="Times New Roman" w:eastAsia="宋体" w:cs="Times New Roman"/>
      <w:b/>
      <w:bCs/>
      <w:sz w:val="24"/>
      <w:szCs w:val="32"/>
    </w:rPr>
  </w:style>
  <w:style w:type="character" w:customStyle="1" w:styleId="57">
    <w:name w:val="标题 1 字符"/>
    <w:basedOn w:val="41"/>
    <w:link w:val="3"/>
    <w:qFormat/>
    <w:uiPriority w:val="0"/>
    <w:rPr>
      <w:rFonts w:ascii="Times New Roman" w:hAnsi="Times New Roman" w:eastAsia="宋体" w:cs="Times New Roman"/>
      <w:b/>
      <w:bCs/>
      <w:kern w:val="44"/>
      <w:sz w:val="44"/>
      <w:szCs w:val="44"/>
    </w:rPr>
  </w:style>
  <w:style w:type="character" w:customStyle="1" w:styleId="58">
    <w:name w:val="标题 4 字符"/>
    <w:basedOn w:val="41"/>
    <w:link w:val="6"/>
    <w:qFormat/>
    <w:uiPriority w:val="0"/>
    <w:rPr>
      <w:rFonts w:ascii="Arial" w:hAnsi="Arial" w:eastAsia="黑体" w:cs="Times New Roman"/>
      <w:b/>
      <w:bCs/>
      <w:sz w:val="28"/>
      <w:szCs w:val="28"/>
    </w:rPr>
  </w:style>
  <w:style w:type="character" w:customStyle="1" w:styleId="59">
    <w:name w:val="标题 5 字符"/>
    <w:basedOn w:val="41"/>
    <w:link w:val="7"/>
    <w:qFormat/>
    <w:uiPriority w:val="0"/>
    <w:rPr>
      <w:rFonts w:ascii="Times New Roman" w:hAnsi="Times New Roman" w:eastAsia="宋体" w:cs="Times New Roman"/>
      <w:b/>
      <w:sz w:val="28"/>
      <w:szCs w:val="20"/>
    </w:rPr>
  </w:style>
  <w:style w:type="character" w:customStyle="1" w:styleId="60">
    <w:name w:val="HTML 预设格式 字符"/>
    <w:link w:val="35"/>
    <w:qFormat/>
    <w:uiPriority w:val="0"/>
    <w:rPr>
      <w:rFonts w:ascii="宋体" w:hAnsi="宋体" w:eastAsia="宋体"/>
      <w:sz w:val="24"/>
    </w:rPr>
  </w:style>
  <w:style w:type="character" w:customStyle="1" w:styleId="61">
    <w:name w:val="正文文本 字符"/>
    <w:link w:val="14"/>
    <w:qFormat/>
    <w:uiPriority w:val="0"/>
    <w:rPr>
      <w:rFonts w:ascii="宋体" w:eastAsia="宋体"/>
      <w:sz w:val="32"/>
    </w:rPr>
  </w:style>
  <w:style w:type="character" w:customStyle="1" w:styleId="62">
    <w:name w:val="页脚 字符"/>
    <w:link w:val="26"/>
    <w:qFormat/>
    <w:uiPriority w:val="99"/>
    <w:rPr>
      <w:rFonts w:eastAsia="宋体"/>
      <w:sz w:val="18"/>
      <w:szCs w:val="18"/>
    </w:rPr>
  </w:style>
  <w:style w:type="character" w:customStyle="1" w:styleId="63">
    <w:name w:val="结束语 字符"/>
    <w:link w:val="13"/>
    <w:qFormat/>
    <w:uiPriority w:val="0"/>
    <w:rPr>
      <w:sz w:val="28"/>
      <w:szCs w:val="28"/>
    </w:rPr>
  </w:style>
  <w:style w:type="character" w:customStyle="1" w:styleId="64">
    <w:name w:val="纯文本 字符"/>
    <w:link w:val="19"/>
    <w:qFormat/>
    <w:uiPriority w:val="0"/>
    <w:rPr>
      <w:rFonts w:ascii="宋体" w:hAnsi="Courier New" w:eastAsia="宋体"/>
      <w:sz w:val="24"/>
    </w:rPr>
  </w:style>
  <w:style w:type="character" w:customStyle="1" w:styleId="65">
    <w:name w:val="批注文字 字符1"/>
    <w:link w:val="11"/>
    <w:qFormat/>
    <w:uiPriority w:val="0"/>
    <w:rPr>
      <w:rFonts w:eastAsia="宋体"/>
      <w:szCs w:val="24"/>
    </w:rPr>
  </w:style>
  <w:style w:type="character" w:customStyle="1" w:styleId="66">
    <w:name w:val="日期 字符"/>
    <w:link w:val="21"/>
    <w:qFormat/>
    <w:uiPriority w:val="0"/>
    <w:rPr>
      <w:rFonts w:eastAsia="宋体"/>
    </w:rPr>
  </w:style>
  <w:style w:type="character" w:customStyle="1" w:styleId="67">
    <w:name w:val="正文文本 3 字符"/>
    <w:link w:val="12"/>
    <w:qFormat/>
    <w:uiPriority w:val="0"/>
    <w:rPr>
      <w:rFonts w:eastAsia="宋体"/>
      <w:sz w:val="16"/>
    </w:rPr>
  </w:style>
  <w:style w:type="character" w:customStyle="1" w:styleId="68">
    <w:name w:val="正文文本缩进 字符"/>
    <w:link w:val="16"/>
    <w:qFormat/>
    <w:uiPriority w:val="0"/>
    <w:rPr>
      <w:rFonts w:eastAsia="宋体"/>
    </w:rPr>
  </w:style>
  <w:style w:type="character" w:customStyle="1" w:styleId="69">
    <w:name w:val="批注主题 字符"/>
    <w:link w:val="37"/>
    <w:qFormat/>
    <w:uiPriority w:val="0"/>
    <w:rPr>
      <w:rFonts w:ascii="Times New Roman" w:hAnsi="Times New Roman" w:eastAsia="宋体" w:cs="Times New Roman"/>
      <w:b/>
      <w:bCs/>
      <w:szCs w:val="24"/>
    </w:rPr>
  </w:style>
  <w:style w:type="character" w:customStyle="1" w:styleId="70">
    <w:name w:val="批注框文本 字符"/>
    <w:link w:val="25"/>
    <w:qFormat/>
    <w:uiPriority w:val="0"/>
    <w:rPr>
      <w:rFonts w:eastAsia="宋体"/>
      <w:sz w:val="18"/>
      <w:szCs w:val="18"/>
    </w:rPr>
  </w:style>
  <w:style w:type="character" w:customStyle="1" w:styleId="71">
    <w:name w:val="批注文字 Char2"/>
    <w:basedOn w:val="41"/>
    <w:qFormat/>
    <w:uiPriority w:val="99"/>
    <w:rPr>
      <w:rFonts w:ascii="Times New Roman" w:hAnsi="Times New Roman" w:eastAsia="宋体" w:cs="Times New Roman"/>
      <w:szCs w:val="24"/>
    </w:rPr>
  </w:style>
  <w:style w:type="character" w:customStyle="1" w:styleId="72">
    <w:name w:val="批注主题 Char1"/>
    <w:basedOn w:val="71"/>
    <w:semiHidden/>
    <w:qFormat/>
    <w:uiPriority w:val="99"/>
    <w:rPr>
      <w:rFonts w:ascii="Times New Roman" w:hAnsi="Times New Roman" w:eastAsia="宋体" w:cs="Times New Roman"/>
      <w:b/>
      <w:bCs/>
      <w:szCs w:val="24"/>
    </w:rPr>
  </w:style>
  <w:style w:type="character" w:customStyle="1" w:styleId="73">
    <w:name w:val="批注框文本 Char1"/>
    <w:basedOn w:val="41"/>
    <w:semiHidden/>
    <w:qFormat/>
    <w:uiPriority w:val="99"/>
    <w:rPr>
      <w:rFonts w:ascii="Times New Roman" w:hAnsi="Times New Roman" w:eastAsia="宋体" w:cs="Times New Roman"/>
      <w:sz w:val="18"/>
      <w:szCs w:val="18"/>
    </w:rPr>
  </w:style>
  <w:style w:type="character" w:customStyle="1" w:styleId="74">
    <w:name w:val="正文文本缩进 2 字符"/>
    <w:basedOn w:val="41"/>
    <w:link w:val="22"/>
    <w:qFormat/>
    <w:uiPriority w:val="0"/>
    <w:rPr>
      <w:rFonts w:ascii="宋体" w:hAnsi="Times New Roman" w:eastAsia="宋体" w:cs="Times New Roman"/>
      <w:sz w:val="28"/>
      <w:szCs w:val="24"/>
    </w:rPr>
  </w:style>
  <w:style w:type="character" w:customStyle="1" w:styleId="75">
    <w:name w:val="纯文本 Char2"/>
    <w:basedOn w:val="41"/>
    <w:semiHidden/>
    <w:qFormat/>
    <w:uiPriority w:val="99"/>
    <w:rPr>
      <w:rFonts w:ascii="宋体" w:hAnsi="Courier New" w:eastAsia="宋体" w:cs="Courier New"/>
      <w:szCs w:val="21"/>
    </w:rPr>
  </w:style>
  <w:style w:type="character" w:customStyle="1" w:styleId="76">
    <w:name w:val="正文文本 Char1"/>
    <w:basedOn w:val="41"/>
    <w:semiHidden/>
    <w:qFormat/>
    <w:uiPriority w:val="99"/>
    <w:rPr>
      <w:rFonts w:ascii="Times New Roman" w:hAnsi="Times New Roman" w:eastAsia="宋体" w:cs="Times New Roman"/>
      <w:szCs w:val="24"/>
    </w:rPr>
  </w:style>
  <w:style w:type="character" w:customStyle="1" w:styleId="77">
    <w:name w:val="正文文本缩进 Char1"/>
    <w:basedOn w:val="41"/>
    <w:semiHidden/>
    <w:qFormat/>
    <w:uiPriority w:val="99"/>
    <w:rPr>
      <w:rFonts w:ascii="Times New Roman" w:hAnsi="Times New Roman" w:eastAsia="宋体" w:cs="Times New Roman"/>
      <w:szCs w:val="24"/>
    </w:rPr>
  </w:style>
  <w:style w:type="character" w:customStyle="1" w:styleId="78">
    <w:name w:val="正文文本 3 Char1"/>
    <w:basedOn w:val="41"/>
    <w:semiHidden/>
    <w:qFormat/>
    <w:uiPriority w:val="99"/>
    <w:rPr>
      <w:rFonts w:ascii="Times New Roman" w:hAnsi="Times New Roman" w:eastAsia="宋体" w:cs="Times New Roman"/>
      <w:sz w:val="16"/>
      <w:szCs w:val="16"/>
    </w:rPr>
  </w:style>
  <w:style w:type="character" w:customStyle="1" w:styleId="79">
    <w:name w:val="日期 Char1"/>
    <w:basedOn w:val="41"/>
    <w:semiHidden/>
    <w:qFormat/>
    <w:uiPriority w:val="99"/>
    <w:rPr>
      <w:rFonts w:ascii="Times New Roman" w:hAnsi="Times New Roman" w:eastAsia="宋体" w:cs="Times New Roman"/>
      <w:szCs w:val="24"/>
    </w:rPr>
  </w:style>
  <w:style w:type="character" w:customStyle="1" w:styleId="80">
    <w:name w:val="结束语 Char1"/>
    <w:basedOn w:val="41"/>
    <w:semiHidden/>
    <w:qFormat/>
    <w:uiPriority w:val="99"/>
    <w:rPr>
      <w:rFonts w:ascii="Times New Roman" w:hAnsi="Times New Roman" w:eastAsia="宋体" w:cs="Times New Roman"/>
      <w:szCs w:val="24"/>
    </w:rPr>
  </w:style>
  <w:style w:type="character" w:customStyle="1" w:styleId="81">
    <w:name w:val="HTML 预设格式 Char1"/>
    <w:basedOn w:val="41"/>
    <w:semiHidden/>
    <w:qFormat/>
    <w:uiPriority w:val="99"/>
    <w:rPr>
      <w:rFonts w:ascii="Courier New" w:hAnsi="Courier New" w:eastAsia="宋体" w:cs="Courier New"/>
      <w:sz w:val="20"/>
      <w:szCs w:val="20"/>
    </w:rPr>
  </w:style>
  <w:style w:type="character" w:customStyle="1" w:styleId="82">
    <w:name w:val="页眉 字符"/>
    <w:basedOn w:val="41"/>
    <w:link w:val="27"/>
    <w:qFormat/>
    <w:uiPriority w:val="0"/>
    <w:rPr>
      <w:rFonts w:ascii="Times New Roman" w:hAnsi="Times New Roman" w:eastAsia="宋体" w:cs="Times New Roman"/>
      <w:sz w:val="18"/>
      <w:szCs w:val="18"/>
    </w:rPr>
  </w:style>
  <w:style w:type="character" w:customStyle="1" w:styleId="83">
    <w:name w:val="页脚 Char1"/>
    <w:basedOn w:val="41"/>
    <w:semiHidden/>
    <w:qFormat/>
    <w:uiPriority w:val="99"/>
    <w:rPr>
      <w:rFonts w:ascii="Times New Roman" w:hAnsi="Times New Roman" w:eastAsia="宋体" w:cs="Times New Roman"/>
      <w:sz w:val="18"/>
      <w:szCs w:val="18"/>
    </w:rPr>
  </w:style>
  <w:style w:type="paragraph" w:customStyle="1" w:styleId="84">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5">
    <w:name w:val="Char Char Char Char"/>
    <w:basedOn w:val="1"/>
    <w:qFormat/>
    <w:uiPriority w:val="0"/>
    <w:rPr>
      <w:kern w:val="0"/>
      <w:sz w:val="24"/>
      <w:szCs w:val="20"/>
    </w:rPr>
  </w:style>
  <w:style w:type="paragraph" w:customStyle="1" w:styleId="86">
    <w:name w:val="p0"/>
    <w:basedOn w:val="1"/>
    <w:qFormat/>
    <w:uiPriority w:val="0"/>
    <w:pPr>
      <w:widowControl/>
    </w:pPr>
    <w:rPr>
      <w:kern w:val="0"/>
      <w:szCs w:val="21"/>
    </w:rPr>
  </w:style>
  <w:style w:type="character" w:customStyle="1" w:styleId="87">
    <w:name w:val="文档结构图 字符"/>
    <w:basedOn w:val="41"/>
    <w:link w:val="10"/>
    <w:qFormat/>
    <w:uiPriority w:val="0"/>
    <w:rPr>
      <w:rFonts w:ascii="Times New Roman" w:hAnsi="Times New Roman" w:eastAsia="宋体" w:cs="Times New Roman"/>
      <w:szCs w:val="24"/>
      <w:shd w:val="clear" w:color="auto" w:fill="000080"/>
    </w:rPr>
  </w:style>
  <w:style w:type="paragraph" w:styleId="88">
    <w:name w:val="List Paragraph"/>
    <w:basedOn w:val="1"/>
    <w:qFormat/>
    <w:uiPriority w:val="99"/>
    <w:pPr>
      <w:ind w:firstLine="420" w:firstLineChars="200"/>
    </w:pPr>
  </w:style>
  <w:style w:type="character" w:customStyle="1" w:styleId="89">
    <w:name w:val="批注文字 Char1"/>
    <w:basedOn w:val="41"/>
    <w:semiHidden/>
    <w:qFormat/>
    <w:uiPriority w:val="0"/>
    <w:rPr>
      <w:rFonts w:ascii="Times New Roman" w:hAnsi="Times New Roman" w:eastAsia="宋体" w:cs="Times New Roman"/>
      <w:szCs w:val="20"/>
    </w:rPr>
  </w:style>
  <w:style w:type="character" w:customStyle="1" w:styleId="90">
    <w:name w:val="文档结构图 Char1"/>
    <w:basedOn w:val="41"/>
    <w:semiHidden/>
    <w:qFormat/>
    <w:uiPriority w:val="99"/>
    <w:rPr>
      <w:rFonts w:ascii="宋体"/>
      <w:kern w:val="2"/>
      <w:sz w:val="18"/>
      <w:szCs w:val="18"/>
    </w:rPr>
  </w:style>
  <w:style w:type="character" w:customStyle="1" w:styleId="91">
    <w:name w:val="标题 2 Char1"/>
    <w:basedOn w:val="41"/>
    <w:qFormat/>
    <w:uiPriority w:val="0"/>
    <w:rPr>
      <w:rFonts w:ascii="Arial" w:hAnsi="Arial" w:eastAsia="黑体"/>
      <w:b/>
      <w:bCs/>
      <w:kern w:val="2"/>
      <w:sz w:val="32"/>
      <w:szCs w:val="32"/>
      <w:lang w:val="en-US" w:eastAsia="zh-CN" w:bidi="ar-SA"/>
    </w:rPr>
  </w:style>
  <w:style w:type="character" w:customStyle="1" w:styleId="92">
    <w:name w:val="font11"/>
    <w:basedOn w:val="41"/>
    <w:qFormat/>
    <w:uiPriority w:val="0"/>
    <w:rPr>
      <w:rFonts w:hint="eastAsia" w:ascii="宋体" w:hAnsi="宋体" w:eastAsia="宋体" w:cs="宋体"/>
      <w:color w:val="FF0000"/>
      <w:sz w:val="24"/>
      <w:szCs w:val="24"/>
      <w:u w:val="none"/>
    </w:rPr>
  </w:style>
  <w:style w:type="character" w:customStyle="1" w:styleId="93">
    <w:name w:val="Char Char1"/>
    <w:basedOn w:val="41"/>
    <w:qFormat/>
    <w:uiPriority w:val="0"/>
    <w:rPr>
      <w:rFonts w:eastAsia="宋体"/>
      <w:b/>
      <w:bCs/>
      <w:kern w:val="44"/>
      <w:sz w:val="44"/>
      <w:szCs w:val="44"/>
      <w:lang w:val="en-US" w:eastAsia="zh-CN" w:bidi="ar-SA"/>
    </w:rPr>
  </w:style>
  <w:style w:type="character" w:customStyle="1" w:styleId="94">
    <w:name w:val="disabled6"/>
    <w:basedOn w:val="41"/>
    <w:qFormat/>
    <w:uiPriority w:val="0"/>
    <w:rPr>
      <w:color w:val="929292"/>
      <w:szCs w:val="21"/>
      <w:bdr w:val="single" w:color="929292" w:sz="6" w:space="0"/>
    </w:rPr>
  </w:style>
  <w:style w:type="character" w:customStyle="1" w:styleId="95">
    <w:name w:val="正文1"/>
    <w:qFormat/>
    <w:uiPriority w:val="0"/>
    <w:rPr>
      <w:rFonts w:hint="eastAsia" w:ascii="宋体" w:hAnsi="宋体" w:eastAsia="宋体"/>
      <w:color w:val="000000"/>
    </w:rPr>
  </w:style>
  <w:style w:type="character" w:customStyle="1" w:styleId="96">
    <w:name w:val="标题 2 Char2"/>
    <w:basedOn w:val="41"/>
    <w:qFormat/>
    <w:uiPriority w:val="0"/>
    <w:rPr>
      <w:rFonts w:ascii="Arial" w:hAnsi="Arial" w:eastAsia="黑体" w:cs="Times New Roman"/>
      <w:b/>
      <w:bCs/>
      <w:sz w:val="32"/>
      <w:szCs w:val="32"/>
    </w:rPr>
  </w:style>
  <w:style w:type="character" w:customStyle="1" w:styleId="97">
    <w:name w:val="Char Char Char"/>
    <w:basedOn w:val="41"/>
    <w:qFormat/>
    <w:uiPriority w:val="0"/>
    <w:rPr>
      <w:rFonts w:ascii="Arial" w:hAnsi="Arial" w:eastAsia="黑体"/>
      <w:b/>
      <w:bCs/>
      <w:kern w:val="2"/>
      <w:sz w:val="32"/>
      <w:szCs w:val="32"/>
      <w:lang w:val="en-US" w:eastAsia="zh-CN" w:bidi="ar-SA"/>
    </w:rPr>
  </w:style>
  <w:style w:type="character" w:customStyle="1" w:styleId="98">
    <w:name w:val="font21"/>
    <w:basedOn w:val="41"/>
    <w:qFormat/>
    <w:uiPriority w:val="0"/>
    <w:rPr>
      <w:rFonts w:hint="default" w:ascii="Times New Roman" w:hAnsi="Times New Roman" w:cs="Times New Roman"/>
      <w:color w:val="000000"/>
      <w:sz w:val="24"/>
      <w:szCs w:val="24"/>
      <w:u w:val="none"/>
    </w:rPr>
  </w:style>
  <w:style w:type="character" w:customStyle="1" w:styleId="99">
    <w:name w:val="font31"/>
    <w:basedOn w:val="41"/>
    <w:qFormat/>
    <w:uiPriority w:val="0"/>
    <w:rPr>
      <w:rFonts w:hint="eastAsia" w:ascii="宋体" w:hAnsi="宋体" w:eastAsia="宋体" w:cs="宋体"/>
      <w:color w:val="000000"/>
      <w:sz w:val="24"/>
      <w:szCs w:val="24"/>
      <w:u w:val="none"/>
    </w:rPr>
  </w:style>
  <w:style w:type="character" w:customStyle="1" w:styleId="100">
    <w:name w:val="纯文本 Char1"/>
    <w:qFormat/>
    <w:uiPriority w:val="0"/>
    <w:rPr>
      <w:rFonts w:ascii="宋体" w:hAnsi="Courier New" w:eastAsia="宋体"/>
      <w:sz w:val="24"/>
    </w:rPr>
  </w:style>
  <w:style w:type="character" w:customStyle="1" w:styleId="101">
    <w:name w:val="文档结构图 Char2"/>
    <w:basedOn w:val="41"/>
    <w:semiHidden/>
    <w:qFormat/>
    <w:uiPriority w:val="99"/>
    <w:rPr>
      <w:rFonts w:ascii="宋体" w:hAnsi="Times New Roman" w:eastAsia="宋体" w:cs="Times New Roman"/>
      <w:sz w:val="18"/>
      <w:szCs w:val="18"/>
    </w:rPr>
  </w:style>
  <w:style w:type="character" w:customStyle="1" w:styleId="102">
    <w:name w:val="页眉 Char1"/>
    <w:basedOn w:val="41"/>
    <w:semiHidden/>
    <w:qFormat/>
    <w:uiPriority w:val="99"/>
    <w:rPr>
      <w:rFonts w:ascii="Times New Roman" w:hAnsi="Times New Roman" w:eastAsia="宋体" w:cs="Times New Roman"/>
      <w:sz w:val="18"/>
      <w:szCs w:val="18"/>
    </w:rPr>
  </w:style>
  <w:style w:type="character" w:customStyle="1" w:styleId="103">
    <w:name w:val="正文文本 2 字符"/>
    <w:basedOn w:val="41"/>
    <w:link w:val="15"/>
    <w:qFormat/>
    <w:uiPriority w:val="0"/>
    <w:rPr>
      <w:rFonts w:ascii="宋体" w:hAnsi="宋体" w:eastAsia="宋体" w:cs="Times New Roman"/>
      <w:b/>
      <w:bCs/>
      <w:sz w:val="24"/>
      <w:szCs w:val="24"/>
    </w:rPr>
  </w:style>
  <w:style w:type="character" w:customStyle="1" w:styleId="104">
    <w:name w:val="信息标题 字符"/>
    <w:basedOn w:val="41"/>
    <w:link w:val="34"/>
    <w:qFormat/>
    <w:uiPriority w:val="0"/>
    <w:rPr>
      <w:rFonts w:ascii="Arial" w:hAnsi="Arial" w:eastAsia="宋体" w:cs="Times New Roman"/>
      <w:sz w:val="24"/>
      <w:szCs w:val="24"/>
    </w:rPr>
  </w:style>
  <w:style w:type="character" w:customStyle="1" w:styleId="105">
    <w:name w:val="正文文本缩进 2 Char1"/>
    <w:basedOn w:val="41"/>
    <w:semiHidden/>
    <w:qFormat/>
    <w:uiPriority w:val="99"/>
    <w:rPr>
      <w:rFonts w:ascii="Times New Roman" w:hAnsi="Times New Roman" w:eastAsia="宋体" w:cs="Times New Roman"/>
      <w:szCs w:val="24"/>
    </w:rPr>
  </w:style>
  <w:style w:type="paragraph" w:customStyle="1" w:styleId="106">
    <w:name w:val="Char2"/>
    <w:basedOn w:val="1"/>
    <w:qFormat/>
    <w:uiPriority w:val="0"/>
    <w:pPr>
      <w:widowControl/>
      <w:spacing w:after="160" w:line="240" w:lineRule="exact"/>
      <w:jc w:val="left"/>
    </w:pPr>
  </w:style>
  <w:style w:type="paragraph" w:customStyle="1" w:styleId="107">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108">
    <w:name w:val="Char"/>
    <w:basedOn w:val="1"/>
    <w:qFormat/>
    <w:uiPriority w:val="0"/>
  </w:style>
  <w:style w:type="paragraph" w:customStyle="1" w:styleId="109">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10">
    <w:name w:val="Char Char Char Char1"/>
    <w:basedOn w:val="1"/>
    <w:qFormat/>
    <w:uiPriority w:val="0"/>
    <w:rPr>
      <w:kern w:val="0"/>
      <w:sz w:val="24"/>
      <w:szCs w:val="20"/>
    </w:rPr>
  </w:style>
  <w:style w:type="paragraph" w:customStyle="1" w:styleId="111">
    <w:name w:val="列出段落1"/>
    <w:basedOn w:val="1"/>
    <w:qFormat/>
    <w:uiPriority w:val="34"/>
    <w:pPr>
      <w:ind w:firstLine="420" w:firstLineChars="200"/>
    </w:pPr>
  </w:style>
  <w:style w:type="paragraph" w:customStyle="1" w:styleId="112">
    <w:name w:val="样式 标题 2 + Times New Roman 四号 非加粗 段前: 5 磅 段后: 0 磅 行距: 固定值 20..."/>
    <w:basedOn w:val="4"/>
    <w:qFormat/>
    <w:uiPriority w:val="0"/>
    <w:pPr>
      <w:spacing w:before="100" w:after="0" w:line="400" w:lineRule="exact"/>
    </w:pPr>
    <w:rPr>
      <w:rFonts w:ascii="Times New Roman" w:hAnsi="Times New Roman"/>
      <w:bCs w:val="0"/>
      <w:sz w:val="28"/>
      <w:szCs w:val="20"/>
    </w:rPr>
  </w:style>
  <w:style w:type="paragraph" w:customStyle="1" w:styleId="113">
    <w:name w:val="Char1"/>
    <w:basedOn w:val="1"/>
    <w:qFormat/>
    <w:uiPriority w:val="0"/>
  </w:style>
  <w:style w:type="paragraph" w:customStyle="1" w:styleId="114">
    <w:name w:val="Char Char11"/>
    <w:basedOn w:val="1"/>
    <w:qFormat/>
    <w:uiPriority w:val="0"/>
    <w:rPr>
      <w:szCs w:val="21"/>
    </w:rPr>
  </w:style>
  <w:style w:type="paragraph" w:customStyle="1" w:styleId="115">
    <w:name w:val="Char Char7"/>
    <w:basedOn w:val="1"/>
    <w:qFormat/>
    <w:uiPriority w:val="0"/>
    <w:rPr>
      <w:szCs w:val="21"/>
    </w:rPr>
  </w:style>
  <w:style w:type="paragraph" w:customStyle="1" w:styleId="116">
    <w:name w:val="Char Char 字元 字元 字元 Char Char Char Char"/>
    <w:basedOn w:val="1"/>
    <w:qFormat/>
    <w:uiPriority w:val="0"/>
    <w:pPr>
      <w:adjustRightInd w:val="0"/>
      <w:spacing w:line="360" w:lineRule="auto"/>
    </w:pPr>
    <w:rPr>
      <w:kern w:val="0"/>
      <w:sz w:val="24"/>
      <w:szCs w:val="20"/>
    </w:rPr>
  </w:style>
  <w:style w:type="paragraph" w:customStyle="1" w:styleId="1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8">
    <w:name w:val="正文文本首行缩进 字符"/>
    <w:basedOn w:val="61"/>
    <w:link w:val="38"/>
    <w:qFormat/>
    <w:uiPriority w:val="0"/>
    <w:rPr>
      <w:rFonts w:ascii="Calibri" w:eastAsia="宋体"/>
      <w:kern w:val="0"/>
      <w:sz w:val="20"/>
      <w:szCs w:val="24"/>
    </w:rPr>
  </w:style>
  <w:style w:type="character" w:customStyle="1" w:styleId="119">
    <w:name w:val="current1"/>
    <w:basedOn w:val="41"/>
    <w:qFormat/>
    <w:uiPriority w:val="0"/>
    <w:rPr>
      <w:b/>
      <w:color w:val="FFFFFF"/>
      <w:shd w:val="clear" w:color="auto" w:fill="000000"/>
    </w:rPr>
  </w:style>
  <w:style w:type="character" w:customStyle="1" w:styleId="120">
    <w:name w:val="disabled9"/>
    <w:basedOn w:val="41"/>
    <w:qFormat/>
    <w:uiPriority w:val="0"/>
    <w:rPr>
      <w:color w:val="DDDDDD"/>
      <w:bdr w:val="single" w:color="EEEEEE" w:sz="6" w:space="0"/>
    </w:rPr>
  </w:style>
  <w:style w:type="character" w:customStyle="1" w:styleId="121">
    <w:name w:val="grp"/>
    <w:basedOn w:val="41"/>
    <w:qFormat/>
    <w:uiPriority w:val="0"/>
    <w:rPr>
      <w:b/>
    </w:rPr>
  </w:style>
  <w:style w:type="character" w:customStyle="1" w:styleId="122">
    <w:name w:val="current7"/>
    <w:basedOn w:val="41"/>
    <w:qFormat/>
    <w:uiPriority w:val="0"/>
    <w:rPr>
      <w:b/>
      <w:color w:val="FF0084"/>
    </w:rPr>
  </w:style>
  <w:style w:type="character" w:customStyle="1" w:styleId="123">
    <w:name w:val="current20"/>
    <w:basedOn w:val="41"/>
    <w:qFormat/>
    <w:uiPriority w:val="0"/>
    <w:rPr>
      <w:b/>
      <w:color w:val="FFFFFF"/>
      <w:bdr w:val="single" w:color="FF5A00" w:sz="12" w:space="0"/>
      <w:shd w:val="clear" w:color="auto" w:fill="FF6C16"/>
    </w:rPr>
  </w:style>
  <w:style w:type="character" w:customStyle="1" w:styleId="124">
    <w:name w:val="disabled2"/>
    <w:basedOn w:val="41"/>
    <w:qFormat/>
    <w:uiPriority w:val="0"/>
    <w:rPr>
      <w:vanish/>
    </w:rPr>
  </w:style>
  <w:style w:type="character" w:customStyle="1" w:styleId="125">
    <w:name w:val="current22"/>
    <w:basedOn w:val="41"/>
    <w:qFormat/>
    <w:uiPriority w:val="0"/>
    <w:rPr>
      <w:b/>
      <w:color w:val="000000"/>
      <w:bdr w:val="single" w:color="E89954" w:sz="6" w:space="0"/>
      <w:shd w:val="clear" w:color="auto" w:fill="FFCA7D"/>
    </w:rPr>
  </w:style>
  <w:style w:type="character" w:customStyle="1" w:styleId="126">
    <w:name w:val="current14"/>
    <w:basedOn w:val="41"/>
    <w:qFormat/>
    <w:uiPriority w:val="0"/>
    <w:rPr>
      <w:b/>
      <w:color w:val="FFFFFF"/>
      <w:shd w:val="clear" w:color="auto" w:fill="313131"/>
    </w:rPr>
  </w:style>
  <w:style w:type="character" w:customStyle="1" w:styleId="127">
    <w:name w:val="disabled10"/>
    <w:basedOn w:val="41"/>
    <w:qFormat/>
    <w:uiPriority w:val="0"/>
    <w:rPr>
      <w:color w:val="808080"/>
      <w:bdr w:val="single" w:color="606060" w:sz="6" w:space="0"/>
    </w:rPr>
  </w:style>
  <w:style w:type="paragraph" w:customStyle="1" w:styleId="128">
    <w:name w:val="首行缩进两字"/>
    <w:basedOn w:val="1"/>
    <w:qFormat/>
    <w:uiPriority w:val="0"/>
    <w:pPr>
      <w:ind w:firstLine="200" w:firstLineChars="200"/>
      <w:jc w:val="left"/>
    </w:pPr>
    <w:rPr>
      <w:rFonts w:hint="eastAsia" w:ascii="宋体" w:hAnsi="宋体"/>
      <w:color w:val="000000"/>
      <w:kern w:val="0"/>
      <w:sz w:val="28"/>
      <w:szCs w:val="20"/>
    </w:rPr>
  </w:style>
  <w:style w:type="character" w:customStyle="1" w:styleId="129">
    <w:name w:val="current5"/>
    <w:basedOn w:val="41"/>
    <w:qFormat/>
    <w:uiPriority w:val="0"/>
    <w:rPr>
      <w:b/>
      <w:color w:val="FFFFFF"/>
      <w:bdr w:val="single" w:color="000080" w:sz="6" w:space="0"/>
      <w:shd w:val="clear" w:color="auto" w:fill="2E6AB1"/>
    </w:rPr>
  </w:style>
  <w:style w:type="character" w:customStyle="1" w:styleId="130">
    <w:name w:val="disabled21"/>
    <w:basedOn w:val="41"/>
    <w:qFormat/>
    <w:uiPriority w:val="0"/>
    <w:rPr>
      <w:vanish/>
    </w:rPr>
  </w:style>
  <w:style w:type="character" w:customStyle="1" w:styleId="131">
    <w:name w:val="current6"/>
    <w:basedOn w:val="41"/>
    <w:qFormat/>
    <w:uiPriority w:val="0"/>
    <w:rPr>
      <w:b/>
      <w:color w:val="000000"/>
    </w:rPr>
  </w:style>
  <w:style w:type="character" w:customStyle="1" w:styleId="132">
    <w:name w:val="标题 2 字符"/>
    <w:basedOn w:val="41"/>
    <w:qFormat/>
    <w:uiPriority w:val="0"/>
    <w:rPr>
      <w:rFonts w:hint="default" w:ascii="Arial" w:hAnsi="Arial" w:eastAsia="黑体" w:cs="Arial"/>
      <w:b/>
      <w:sz w:val="32"/>
      <w:szCs w:val="32"/>
    </w:rPr>
  </w:style>
  <w:style w:type="character" w:customStyle="1" w:styleId="133">
    <w:name w:val="bid"/>
    <w:basedOn w:val="41"/>
    <w:qFormat/>
    <w:uiPriority w:val="0"/>
    <w:rPr>
      <w:b/>
      <w:sz w:val="18"/>
      <w:szCs w:val="18"/>
      <w:bdr w:val="single" w:color="FF9900" w:sz="6" w:space="0"/>
      <w:shd w:val="clear" w:color="auto" w:fill="FFE7C1"/>
    </w:rPr>
  </w:style>
  <w:style w:type="character" w:customStyle="1" w:styleId="134">
    <w:name w:val="disabled4"/>
    <w:basedOn w:val="41"/>
    <w:qFormat/>
    <w:uiPriority w:val="0"/>
    <w:rPr>
      <w:color w:val="DDDDDD"/>
      <w:bdr w:val="single" w:color="EEEEEE" w:sz="6" w:space="0"/>
    </w:rPr>
  </w:style>
  <w:style w:type="character" w:customStyle="1" w:styleId="135">
    <w:name w:val="current4"/>
    <w:basedOn w:val="41"/>
    <w:qFormat/>
    <w:uiPriority w:val="0"/>
    <w:rPr>
      <w:b/>
      <w:color w:val="000000"/>
      <w:bdr w:val="single" w:color="FFFFFF" w:sz="12" w:space="0"/>
    </w:rPr>
  </w:style>
  <w:style w:type="character" w:customStyle="1" w:styleId="136">
    <w:name w:val="current"/>
    <w:basedOn w:val="41"/>
    <w:qFormat/>
    <w:uiPriority w:val="0"/>
    <w:rPr>
      <w:b/>
      <w:color w:val="AAAAAA"/>
      <w:bdr w:val="single" w:color="E0E0E0" w:sz="6" w:space="0"/>
      <w:shd w:val="clear" w:color="auto" w:fill="F0F0F0"/>
    </w:rPr>
  </w:style>
  <w:style w:type="character" w:customStyle="1" w:styleId="137">
    <w:name w:val="current13"/>
    <w:basedOn w:val="41"/>
    <w:qFormat/>
    <w:uiPriority w:val="0"/>
    <w:rPr>
      <w:b/>
      <w:color w:val="FFFFFF"/>
      <w:bdr w:val="single" w:color="000000" w:sz="6" w:space="0"/>
      <w:shd w:val="clear" w:color="auto" w:fill="000000"/>
    </w:rPr>
  </w:style>
  <w:style w:type="character" w:customStyle="1" w:styleId="138">
    <w:name w:val="current16"/>
    <w:basedOn w:val="41"/>
    <w:qFormat/>
    <w:uiPriority w:val="0"/>
    <w:rPr>
      <w:b/>
      <w:color w:val="FFFFFF"/>
      <w:bdr w:val="single" w:color="D9D300" w:sz="6" w:space="0"/>
      <w:shd w:val="clear" w:color="auto" w:fill="D9D300"/>
    </w:rPr>
  </w:style>
  <w:style w:type="character" w:customStyle="1" w:styleId="139">
    <w:name w:val="disabled7"/>
    <w:basedOn w:val="41"/>
    <w:qFormat/>
    <w:uiPriority w:val="0"/>
    <w:rPr>
      <w:vanish/>
    </w:rPr>
  </w:style>
  <w:style w:type="character" w:customStyle="1" w:styleId="140">
    <w:name w:val="disabled"/>
    <w:basedOn w:val="41"/>
    <w:qFormat/>
    <w:uiPriority w:val="0"/>
    <w:rPr>
      <w:color w:val="CCCCCC"/>
      <w:bdr w:val="single" w:color="F3F3F3" w:sz="6" w:space="0"/>
    </w:rPr>
  </w:style>
  <w:style w:type="character" w:customStyle="1" w:styleId="141">
    <w:name w:val="页脚 字符1"/>
    <w:basedOn w:val="41"/>
    <w:qFormat/>
    <w:uiPriority w:val="0"/>
    <w:rPr>
      <w:kern w:val="2"/>
      <w:sz w:val="18"/>
      <w:szCs w:val="18"/>
    </w:rPr>
  </w:style>
  <w:style w:type="character" w:customStyle="1" w:styleId="142">
    <w:name w:val="disabled5"/>
    <w:basedOn w:val="41"/>
    <w:qFormat/>
    <w:uiPriority w:val="0"/>
    <w:rPr>
      <w:vanish/>
    </w:rPr>
  </w:style>
  <w:style w:type="character" w:customStyle="1" w:styleId="143">
    <w:name w:val="current8"/>
    <w:basedOn w:val="41"/>
    <w:qFormat/>
    <w:uiPriority w:val="0"/>
    <w:rPr>
      <w:b/>
      <w:color w:val="000000"/>
      <w:bdr w:val="single" w:color="FFFFFF" w:sz="6" w:space="0"/>
      <w:shd w:val="clear" w:color="auto" w:fill="FFFFFF"/>
    </w:rPr>
  </w:style>
  <w:style w:type="character" w:customStyle="1" w:styleId="144">
    <w:name w:val="current21"/>
    <w:basedOn w:val="41"/>
    <w:qFormat/>
    <w:uiPriority w:val="0"/>
    <w:rPr>
      <w:b/>
      <w:color w:val="FFFFFF"/>
      <w:bdr w:val="single" w:color="AAD83E" w:sz="6" w:space="0"/>
      <w:shd w:val="clear" w:color="auto" w:fill="AAD83E"/>
    </w:rPr>
  </w:style>
  <w:style w:type="character" w:customStyle="1" w:styleId="145">
    <w:name w:val="current19"/>
    <w:basedOn w:val="41"/>
    <w:qFormat/>
    <w:uiPriority w:val="0"/>
    <w:rPr>
      <w:b/>
      <w:color w:val="444444"/>
      <w:bdr w:val="single" w:color="B7D8EE" w:sz="6" w:space="0"/>
      <w:shd w:val="clear" w:color="auto" w:fill="D2EAF6"/>
    </w:rPr>
  </w:style>
  <w:style w:type="character" w:customStyle="1" w:styleId="146">
    <w:name w:val="current12"/>
    <w:basedOn w:val="41"/>
    <w:qFormat/>
    <w:uiPriority w:val="0"/>
    <w:rPr>
      <w:b/>
      <w:color w:val="FFFFFF"/>
      <w:bdr w:val="single" w:color="B2E05D" w:sz="6" w:space="0"/>
      <w:shd w:val="clear" w:color="auto" w:fill="B2E05D"/>
    </w:rPr>
  </w:style>
  <w:style w:type="character" w:customStyle="1" w:styleId="147">
    <w:name w:val="disabled23"/>
    <w:basedOn w:val="41"/>
    <w:qFormat/>
    <w:uiPriority w:val="0"/>
    <w:rPr>
      <w:color w:val="CCCCCC"/>
      <w:bdr w:val="single" w:color="CCCCCC" w:sz="6" w:space="0"/>
    </w:rPr>
  </w:style>
  <w:style w:type="character" w:customStyle="1" w:styleId="148">
    <w:name w:val="cremain"/>
    <w:basedOn w:val="41"/>
    <w:qFormat/>
    <w:uiPriority w:val="0"/>
    <w:rPr>
      <w:color w:val="FF0000"/>
    </w:rPr>
  </w:style>
  <w:style w:type="character" w:customStyle="1" w:styleId="149">
    <w:name w:val="disabled8"/>
    <w:basedOn w:val="41"/>
    <w:qFormat/>
    <w:uiPriority w:val="0"/>
    <w:rPr>
      <w:color w:val="ADAAAD"/>
    </w:rPr>
  </w:style>
  <w:style w:type="character" w:customStyle="1" w:styleId="150">
    <w:name w:val="bidbd"/>
    <w:basedOn w:val="41"/>
    <w:qFormat/>
    <w:uiPriority w:val="0"/>
    <w:rPr>
      <w:b/>
      <w:sz w:val="18"/>
      <w:szCs w:val="18"/>
      <w:bdr w:val="single" w:color="009933" w:sz="6" w:space="0"/>
      <w:shd w:val="clear" w:color="auto" w:fill="DDFFE8"/>
    </w:rPr>
  </w:style>
  <w:style w:type="character" w:customStyle="1" w:styleId="151">
    <w:name w:val="current9"/>
    <w:basedOn w:val="41"/>
    <w:qFormat/>
    <w:uiPriority w:val="0"/>
    <w:rPr>
      <w:b/>
      <w:color w:val="FFFFFF"/>
      <w:bdr w:val="single" w:color="FFFFFF" w:sz="6" w:space="0"/>
      <w:shd w:val="clear" w:color="auto" w:fill="606060"/>
    </w:rPr>
  </w:style>
  <w:style w:type="character" w:customStyle="1" w:styleId="152">
    <w:name w:val="file"/>
    <w:basedOn w:val="41"/>
    <w:qFormat/>
    <w:uiPriority w:val="0"/>
  </w:style>
  <w:style w:type="character" w:customStyle="1" w:styleId="153">
    <w:name w:val="disabled14"/>
    <w:basedOn w:val="41"/>
    <w:qFormat/>
    <w:uiPriority w:val="0"/>
    <w:rPr>
      <w:color w:val="DDDDDD"/>
      <w:bdr w:val="single" w:color="EEEEEE" w:sz="6" w:space="0"/>
    </w:rPr>
  </w:style>
  <w:style w:type="character" w:customStyle="1" w:styleId="154">
    <w:name w:val="disabled19"/>
    <w:basedOn w:val="41"/>
    <w:qFormat/>
    <w:uiPriority w:val="0"/>
    <w:rPr>
      <w:vanish/>
    </w:rPr>
  </w:style>
  <w:style w:type="character" w:customStyle="1" w:styleId="155">
    <w:name w:val="disabled16"/>
    <w:basedOn w:val="41"/>
    <w:qFormat/>
    <w:uiPriority w:val="0"/>
    <w:rPr>
      <w:color w:val="797979"/>
      <w:shd w:val="clear" w:color="auto" w:fill="C1C1C1"/>
    </w:rPr>
  </w:style>
  <w:style w:type="character" w:customStyle="1" w:styleId="156">
    <w:name w:val="current15"/>
    <w:basedOn w:val="41"/>
    <w:qFormat/>
    <w:uiPriority w:val="0"/>
    <w:rPr>
      <w:b/>
      <w:color w:val="303030"/>
      <w:shd w:val="clear" w:color="auto" w:fill="FFFFFF"/>
    </w:rPr>
  </w:style>
  <w:style w:type="character" w:customStyle="1" w:styleId="157">
    <w:name w:val="current11"/>
    <w:basedOn w:val="41"/>
    <w:qFormat/>
    <w:uiPriority w:val="0"/>
    <w:rPr>
      <w:b/>
      <w:color w:val="FF6500"/>
      <w:bdr w:val="single" w:color="FF6500" w:sz="6" w:space="0"/>
      <w:shd w:val="clear" w:color="auto" w:fill="FFBE94"/>
    </w:rPr>
  </w:style>
  <w:style w:type="character" w:customStyle="1" w:styleId="158">
    <w:name w:val="folder"/>
    <w:basedOn w:val="41"/>
    <w:qFormat/>
    <w:uiPriority w:val="0"/>
  </w:style>
  <w:style w:type="character" w:customStyle="1" w:styleId="159">
    <w:name w:val="Char Char Char1"/>
    <w:basedOn w:val="41"/>
    <w:qFormat/>
    <w:uiPriority w:val="0"/>
    <w:rPr>
      <w:rFonts w:hint="default" w:ascii="Arial" w:hAnsi="Arial" w:eastAsia="黑体" w:cs="Arial"/>
      <w:b/>
      <w:kern w:val="2"/>
      <w:sz w:val="32"/>
      <w:szCs w:val="32"/>
      <w:lang w:val="en-US" w:eastAsia="zh-CN"/>
    </w:rPr>
  </w:style>
  <w:style w:type="character" w:customStyle="1" w:styleId="160">
    <w:name w:val="disabled22"/>
    <w:basedOn w:val="41"/>
    <w:qFormat/>
    <w:uiPriority w:val="0"/>
    <w:rPr>
      <w:color w:val="CCCCCC"/>
      <w:bdr w:val="single" w:color="F3F3F3" w:sz="6" w:space="0"/>
    </w:rPr>
  </w:style>
  <w:style w:type="character" w:customStyle="1" w:styleId="161">
    <w:name w:val="z-窗体底端 字符"/>
    <w:basedOn w:val="41"/>
    <w:qFormat/>
    <w:uiPriority w:val="0"/>
    <w:rPr>
      <w:rFonts w:hint="default" w:ascii="Arial" w:hAnsi="Arial" w:cs="Arial"/>
      <w:vanish/>
      <w:sz w:val="16"/>
      <w:szCs w:val="16"/>
    </w:rPr>
  </w:style>
  <w:style w:type="character" w:customStyle="1" w:styleId="162">
    <w:name w:val="current3"/>
    <w:basedOn w:val="41"/>
    <w:qFormat/>
    <w:uiPriority w:val="0"/>
    <w:rPr>
      <w:b/>
      <w:color w:val="FFFFFF"/>
      <w:bdr w:val="single" w:color="000099" w:sz="6" w:space="0"/>
      <w:shd w:val="clear" w:color="auto" w:fill="000099"/>
    </w:rPr>
  </w:style>
  <w:style w:type="character" w:customStyle="1" w:styleId="163">
    <w:name w:val="disabled13"/>
    <w:basedOn w:val="41"/>
    <w:qFormat/>
    <w:uiPriority w:val="0"/>
    <w:rPr>
      <w:color w:val="CCCCCC"/>
      <w:bdr w:val="single" w:color="F3F3F3" w:sz="6" w:space="0"/>
    </w:rPr>
  </w:style>
  <w:style w:type="character" w:customStyle="1" w:styleId="164">
    <w:name w:val="sp12"/>
    <w:basedOn w:val="41"/>
    <w:qFormat/>
    <w:uiPriority w:val="0"/>
    <w:rPr>
      <w:u w:val="single"/>
    </w:rPr>
  </w:style>
  <w:style w:type="character" w:customStyle="1" w:styleId="165">
    <w:name w:val="disabled18"/>
    <w:basedOn w:val="41"/>
    <w:qFormat/>
    <w:uiPriority w:val="0"/>
    <w:rPr>
      <w:vanish/>
    </w:rPr>
  </w:style>
  <w:style w:type="character" w:customStyle="1" w:styleId="166">
    <w:name w:val="current17"/>
    <w:basedOn w:val="41"/>
    <w:qFormat/>
    <w:uiPriority w:val="0"/>
    <w:rPr>
      <w:color w:val="6D643C"/>
      <w:shd w:val="clear" w:color="auto" w:fill="F6EFCC"/>
    </w:rPr>
  </w:style>
  <w:style w:type="character" w:customStyle="1" w:styleId="167">
    <w:name w:val="disabled20"/>
    <w:basedOn w:val="41"/>
    <w:qFormat/>
    <w:uiPriority w:val="0"/>
    <w:rPr>
      <w:vanish/>
    </w:rPr>
  </w:style>
  <w:style w:type="character" w:customStyle="1" w:styleId="168">
    <w:name w:val="current10"/>
    <w:basedOn w:val="41"/>
    <w:qFormat/>
    <w:uiPriority w:val="0"/>
    <w:rPr>
      <w:b/>
      <w:color w:val="99210B"/>
    </w:rPr>
  </w:style>
  <w:style w:type="character" w:customStyle="1" w:styleId="169">
    <w:name w:val="current18"/>
    <w:basedOn w:val="41"/>
    <w:qFormat/>
    <w:uiPriority w:val="0"/>
    <w:rPr>
      <w:b/>
      <w:color w:val="000000"/>
    </w:rPr>
  </w:style>
  <w:style w:type="character" w:customStyle="1" w:styleId="170">
    <w:name w:val="z-窗体顶端 字符"/>
    <w:basedOn w:val="41"/>
    <w:qFormat/>
    <w:uiPriority w:val="0"/>
    <w:rPr>
      <w:rFonts w:hint="default" w:ascii="Arial" w:hAnsi="Arial" w:cs="Arial"/>
      <w:vanish/>
      <w:sz w:val="16"/>
      <w:szCs w:val="16"/>
    </w:rPr>
  </w:style>
  <w:style w:type="character" w:customStyle="1" w:styleId="171">
    <w:name w:val="disabled1"/>
    <w:basedOn w:val="41"/>
    <w:qFormat/>
    <w:uiPriority w:val="0"/>
    <w:rPr>
      <w:color w:val="444444"/>
      <w:shd w:val="clear" w:color="auto" w:fill="000000"/>
    </w:rPr>
  </w:style>
  <w:style w:type="character" w:customStyle="1" w:styleId="172">
    <w:name w:val="disabled3"/>
    <w:basedOn w:val="41"/>
    <w:qFormat/>
    <w:uiPriority w:val="0"/>
    <w:rPr>
      <w:vanish/>
    </w:rPr>
  </w:style>
  <w:style w:type="character" w:customStyle="1" w:styleId="173">
    <w:name w:val="批注文字 字符"/>
    <w:basedOn w:val="41"/>
    <w:qFormat/>
    <w:uiPriority w:val="0"/>
    <w:rPr>
      <w:kern w:val="2"/>
      <w:sz w:val="21"/>
      <w:szCs w:val="21"/>
    </w:rPr>
  </w:style>
  <w:style w:type="character" w:customStyle="1" w:styleId="174">
    <w:name w:val="disabled12"/>
    <w:basedOn w:val="41"/>
    <w:qFormat/>
    <w:uiPriority w:val="0"/>
    <w:rPr>
      <w:color w:val="FFE3C6"/>
      <w:bdr w:val="single" w:color="FFE3C6" w:sz="6" w:space="0"/>
    </w:rPr>
  </w:style>
  <w:style w:type="character" w:customStyle="1" w:styleId="175">
    <w:name w:val="disabled11"/>
    <w:basedOn w:val="41"/>
    <w:qFormat/>
    <w:uiPriority w:val="0"/>
    <w:rPr>
      <w:color w:val="ADAAAD"/>
    </w:rPr>
  </w:style>
  <w:style w:type="character" w:customStyle="1" w:styleId="176">
    <w:name w:val="font01"/>
    <w:basedOn w:val="41"/>
    <w:qFormat/>
    <w:uiPriority w:val="0"/>
    <w:rPr>
      <w:rFonts w:hint="eastAsia" w:ascii="宋体" w:hAnsi="宋体" w:eastAsia="宋体" w:cs="宋体"/>
      <w:color w:val="000000"/>
      <w:sz w:val="22"/>
      <w:szCs w:val="22"/>
      <w:u w:val="none"/>
    </w:rPr>
  </w:style>
  <w:style w:type="character" w:customStyle="1" w:styleId="177">
    <w:name w:val="disabled17"/>
    <w:basedOn w:val="41"/>
    <w:qFormat/>
    <w:uiPriority w:val="0"/>
    <w:rPr>
      <w:color w:val="DDDDDD"/>
      <w:bdr w:val="single" w:color="EEEEEE" w:sz="6" w:space="0"/>
    </w:rPr>
  </w:style>
  <w:style w:type="character" w:customStyle="1" w:styleId="178">
    <w:name w:val="disabled15"/>
    <w:basedOn w:val="41"/>
    <w:qFormat/>
    <w:uiPriority w:val="0"/>
    <w:rPr>
      <w:color w:val="868686"/>
      <w:shd w:val="clear" w:color="auto" w:fill="3E3E3E"/>
    </w:rPr>
  </w:style>
  <w:style w:type="character" w:customStyle="1" w:styleId="179">
    <w:name w:val="current2"/>
    <w:basedOn w:val="41"/>
    <w:qFormat/>
    <w:uiPriority w:val="0"/>
    <w:rPr>
      <w:color w:val="000000"/>
      <w:shd w:val="clear" w:color="auto" w:fill="FFFFFF"/>
    </w:rPr>
  </w:style>
  <w:style w:type="character" w:customStyle="1" w:styleId="180">
    <w:name w:val="正文文本缩进 字符1"/>
    <w:basedOn w:val="41"/>
    <w:qFormat/>
    <w:uiPriority w:val="0"/>
    <w:rPr>
      <w:kern w:val="2"/>
      <w:sz w:val="21"/>
      <w:szCs w:val="21"/>
    </w:rPr>
  </w:style>
  <w:style w:type="character" w:customStyle="1" w:styleId="181">
    <w:name w:val="批注主题 字符1"/>
    <w:basedOn w:val="65"/>
    <w:qFormat/>
    <w:uiPriority w:val="0"/>
    <w:rPr>
      <w:rFonts w:eastAsia="宋体"/>
      <w:b/>
      <w:kern w:val="2"/>
      <w:sz w:val="21"/>
      <w:szCs w:val="21"/>
    </w:rPr>
  </w:style>
  <w:style w:type="character" w:customStyle="1" w:styleId="182">
    <w:name w:val="文档结构图 字符1"/>
    <w:basedOn w:val="41"/>
    <w:qFormat/>
    <w:uiPriority w:val="0"/>
    <w:rPr>
      <w:rFonts w:hint="eastAsia" w:ascii="Microsoft YaHei UI" w:hAnsi="Microsoft YaHei UI" w:eastAsia="Microsoft YaHei UI" w:cs="Microsoft YaHei UI"/>
      <w:kern w:val="2"/>
      <w:sz w:val="18"/>
      <w:szCs w:val="18"/>
    </w:rPr>
  </w:style>
  <w:style w:type="character" w:customStyle="1" w:styleId="183">
    <w:name w:val="日期 字符1"/>
    <w:basedOn w:val="41"/>
    <w:qFormat/>
    <w:uiPriority w:val="0"/>
    <w:rPr>
      <w:kern w:val="2"/>
      <w:sz w:val="21"/>
      <w:szCs w:val="21"/>
    </w:rPr>
  </w:style>
  <w:style w:type="character" w:customStyle="1" w:styleId="184">
    <w:name w:val="正文文本缩进 2 字符1"/>
    <w:basedOn w:val="41"/>
    <w:qFormat/>
    <w:uiPriority w:val="0"/>
    <w:rPr>
      <w:kern w:val="2"/>
      <w:sz w:val="21"/>
      <w:szCs w:val="21"/>
    </w:rPr>
  </w:style>
  <w:style w:type="character" w:customStyle="1" w:styleId="185">
    <w:name w:val="批注框文本 字符1"/>
    <w:basedOn w:val="41"/>
    <w:qFormat/>
    <w:uiPriority w:val="0"/>
    <w:rPr>
      <w:kern w:val="2"/>
      <w:sz w:val="18"/>
      <w:szCs w:val="18"/>
    </w:rPr>
  </w:style>
  <w:style w:type="character" w:customStyle="1" w:styleId="186">
    <w:name w:val="页眉 字符1"/>
    <w:basedOn w:val="41"/>
    <w:qFormat/>
    <w:uiPriority w:val="0"/>
    <w:rPr>
      <w:kern w:val="2"/>
      <w:sz w:val="18"/>
      <w:szCs w:val="18"/>
    </w:rPr>
  </w:style>
  <w:style w:type="character" w:customStyle="1" w:styleId="187">
    <w:name w:val="z-窗体顶端 字符1"/>
    <w:basedOn w:val="41"/>
    <w:qFormat/>
    <w:uiPriority w:val="0"/>
    <w:rPr>
      <w:rFonts w:hint="default" w:ascii="Arial" w:hAnsi="Arial" w:cs="Arial"/>
      <w:vanish/>
      <w:kern w:val="2"/>
      <w:sz w:val="16"/>
      <w:szCs w:val="16"/>
    </w:rPr>
  </w:style>
  <w:style w:type="character" w:customStyle="1" w:styleId="188">
    <w:name w:val="z-窗体底端 字符1"/>
    <w:basedOn w:val="41"/>
    <w:qFormat/>
    <w:uiPriority w:val="0"/>
    <w:rPr>
      <w:rFonts w:hint="default" w:ascii="Arial" w:hAnsi="Arial" w:cs="Arial"/>
      <w:vanish/>
      <w:kern w:val="2"/>
      <w:sz w:val="16"/>
      <w:szCs w:val="16"/>
    </w:rPr>
  </w:style>
  <w:style w:type="paragraph" w:customStyle="1" w:styleId="189">
    <w:name w:val="Table Paragraph"/>
    <w:basedOn w:val="1"/>
    <w:qFormat/>
    <w:uiPriority w:val="99"/>
    <w:rPr>
      <w:rFonts w:ascii="宋体" w:hAnsi="宋体" w:cs="宋体"/>
      <w:lang w:val="zh-CN"/>
    </w:rPr>
  </w:style>
  <w:style w:type="paragraph" w:customStyle="1" w:styleId="19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F29D0-6DBE-4816-9DEA-7177AF4511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33737</Words>
  <Characters>35352</Characters>
  <Lines>235</Lines>
  <Paragraphs>66</Paragraphs>
  <TotalTime>5</TotalTime>
  <ScaleCrop>false</ScaleCrop>
  <LinksUpToDate>false</LinksUpToDate>
  <CharactersWithSpaces>39132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茶剧</cp:lastModifiedBy>
  <cp:lastPrinted>2021-08-06T03:21:00Z</cp:lastPrinted>
  <dcterms:modified xsi:type="dcterms:W3CDTF">2023-08-16T01:09:54Z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AD1648F0CBD24630BBD3D76023BAECC2_13</vt:lpwstr>
  </property>
</Properties>
</file>