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kern w:val="16"/>
          <w:sz w:val="56"/>
          <w:szCs w:val="56"/>
          <w:lang w:bidi="ar"/>
        </w:rPr>
      </w:pPr>
    </w:p>
    <w:p>
      <w:pPr>
        <w:pStyle w:val="41"/>
        <w:jc w:val="center"/>
        <w:outlineLvl w:val="0"/>
        <w:rPr>
          <w:rFonts w:hint="eastAsia" w:hAnsi="宋体"/>
          <w:b/>
          <w:color w:val="auto"/>
          <w:spacing w:val="0"/>
          <w:sz w:val="52"/>
          <w:szCs w:val="52"/>
          <w:lang w:eastAsia="zh-CN"/>
        </w:rPr>
      </w:pPr>
      <w:bookmarkStart w:id="0" w:name="_Toc14057"/>
      <w:bookmarkEnd w:id="0"/>
      <w:bookmarkStart w:id="1" w:name="_Toc381880843"/>
      <w:r>
        <w:rPr>
          <w:rFonts w:hint="eastAsia" w:hAnsi="宋体"/>
          <w:b/>
          <w:color w:val="auto"/>
          <w:spacing w:val="0"/>
          <w:sz w:val="52"/>
          <w:szCs w:val="52"/>
          <w:lang w:eastAsia="zh-CN"/>
        </w:rPr>
        <w:t>邹城市看庄镇前圪村卫生室医疗设备</w:t>
      </w:r>
    </w:p>
    <w:p>
      <w:pPr>
        <w:pStyle w:val="41"/>
        <w:jc w:val="center"/>
        <w:outlineLvl w:val="0"/>
        <w:rPr>
          <w:rFonts w:hint="eastAsia" w:hAnsi="宋体"/>
          <w:b/>
          <w:color w:val="auto"/>
          <w:spacing w:val="0"/>
          <w:sz w:val="52"/>
          <w:szCs w:val="52"/>
          <w:lang w:eastAsia="zh-CN"/>
        </w:rPr>
      </w:pPr>
      <w:r>
        <w:rPr>
          <w:rFonts w:hint="eastAsia" w:hAnsi="宋体"/>
          <w:b/>
          <w:color w:val="auto"/>
          <w:spacing w:val="0"/>
          <w:sz w:val="52"/>
          <w:szCs w:val="52"/>
          <w:lang w:eastAsia="zh-CN"/>
        </w:rPr>
        <w:t>采购项目</w:t>
      </w:r>
    </w:p>
    <w:p>
      <w:pPr>
        <w:pStyle w:val="41"/>
        <w:jc w:val="center"/>
        <w:rPr>
          <w:rFonts w:hint="eastAsia" w:hAnsi="宋体"/>
          <w:b/>
          <w:color w:val="auto"/>
          <w:spacing w:val="0"/>
          <w:sz w:val="52"/>
          <w:szCs w:val="52"/>
          <w:lang w:eastAsia="zh-CN"/>
        </w:rPr>
      </w:pPr>
    </w:p>
    <w:bookmarkEnd w:id="1"/>
    <w:p>
      <w:pPr>
        <w:pStyle w:val="41"/>
        <w:jc w:val="center"/>
        <w:outlineLvl w:val="0"/>
        <w:rPr>
          <w:rFonts w:hint="eastAsia" w:hAnsi="宋体"/>
          <w:b/>
          <w:color w:val="auto"/>
          <w:sz w:val="84"/>
          <w:szCs w:val="84"/>
        </w:rPr>
      </w:pPr>
      <w:bookmarkStart w:id="2" w:name="_Toc6343"/>
      <w:bookmarkEnd w:id="2"/>
      <w:r>
        <w:rPr>
          <w:rFonts w:hint="eastAsia" w:hAnsi="宋体"/>
          <w:b/>
          <w:color w:val="auto"/>
          <w:sz w:val="84"/>
          <w:szCs w:val="84"/>
        </w:rPr>
        <w:t>竞争性磋商文件</w:t>
      </w:r>
    </w:p>
    <w:p>
      <w:pPr>
        <w:jc w:val="center"/>
        <w:rPr>
          <w:rFonts w:hint="eastAsia" w:ascii="宋体" w:hAnsi="宋体"/>
          <w:b/>
          <w:color w:val="auto"/>
          <w:sz w:val="28"/>
          <w:szCs w:val="28"/>
        </w:rPr>
      </w:pPr>
    </w:p>
    <w:p>
      <w:pPr>
        <w:jc w:val="center"/>
        <w:outlineLvl w:val="0"/>
        <w:rPr>
          <w:rFonts w:hint="eastAsia" w:ascii="宋体" w:hAnsi="宋体"/>
          <w:b/>
          <w:color w:val="auto"/>
          <w:sz w:val="28"/>
          <w:szCs w:val="28"/>
        </w:rPr>
      </w:pPr>
      <w:bookmarkStart w:id="3" w:name="_Toc3147"/>
      <w:bookmarkEnd w:id="3"/>
      <w:r>
        <w:rPr>
          <w:rFonts w:hint="eastAsia" w:ascii="宋体" w:hAnsi="宋体"/>
          <w:b/>
          <w:color w:val="auto"/>
          <w:sz w:val="28"/>
          <w:szCs w:val="28"/>
        </w:rPr>
        <w:t>项目编号：</w:t>
      </w:r>
      <w:r>
        <w:rPr>
          <w:rFonts w:hint="eastAsia" w:ascii="宋体" w:hAnsi="宋体"/>
          <w:b/>
          <w:color w:val="auto"/>
          <w:sz w:val="28"/>
          <w:szCs w:val="28"/>
          <w:lang w:eastAsia="zh-CN"/>
        </w:rPr>
        <w:t>SXYXGS-2023-</w:t>
      </w:r>
      <w:r>
        <w:rPr>
          <w:rFonts w:hint="eastAsia" w:ascii="宋体" w:hAnsi="宋体" w:eastAsia="宋体"/>
          <w:b/>
          <w:color w:val="auto"/>
          <w:sz w:val="28"/>
          <w:szCs w:val="28"/>
          <w:lang w:eastAsia="zh-CN"/>
        </w:rPr>
        <w:t>00</w:t>
      </w:r>
      <w:r>
        <w:rPr>
          <w:rFonts w:hint="eastAsia" w:ascii="宋体" w:hAnsi="宋体" w:eastAsia="宋体"/>
          <w:b/>
          <w:color w:val="auto"/>
          <w:sz w:val="28"/>
          <w:szCs w:val="28"/>
          <w:lang w:val="en-US" w:eastAsia="zh-CN"/>
        </w:rPr>
        <w:t>2</w:t>
      </w:r>
    </w:p>
    <w:p>
      <w:pPr>
        <w:jc w:val="center"/>
        <w:rPr>
          <w:rFonts w:hint="eastAsia" w:ascii="宋体" w:hAnsi="宋体"/>
          <w:b/>
          <w:color w:val="auto"/>
          <w:sz w:val="36"/>
          <w:szCs w:val="36"/>
        </w:rPr>
      </w:pPr>
    </w:p>
    <w:p>
      <w:pPr>
        <w:pStyle w:val="41"/>
        <w:widowControl/>
        <w:jc w:val="center"/>
        <w:rPr>
          <w:rFonts w:hint="eastAsia" w:ascii="宋体" w:hAnsi="宋体"/>
          <w:b/>
          <w:color w:val="auto"/>
          <w:sz w:val="32"/>
          <w:szCs w:val="32"/>
        </w:rPr>
      </w:pPr>
      <w:r>
        <w:rPr>
          <w:rFonts w:hint="eastAsia" w:ascii="宋体" w:hAnsi="宋体"/>
          <w:b/>
          <w:color w:val="auto"/>
          <w:sz w:val="32"/>
          <w:szCs w:val="32"/>
        </w:rPr>
        <w:drawing>
          <wp:anchor distT="0" distB="0" distL="0" distR="0" simplePos="0" relativeHeight="251659264" behindDoc="0" locked="0" layoutInCell="1" allowOverlap="1">
            <wp:simplePos x="0" y="0"/>
            <wp:positionH relativeFrom="column">
              <wp:posOffset>1651000</wp:posOffset>
            </wp:positionH>
            <wp:positionV relativeFrom="paragraph">
              <wp:posOffset>228600</wp:posOffset>
            </wp:positionV>
            <wp:extent cx="2552700" cy="2019300"/>
            <wp:effectExtent l="0" t="0" r="0" b="0"/>
            <wp:wrapNone/>
            <wp:docPr id="1" name="_x0000_s1043"/>
            <wp:cNvGraphicFramePr/>
            <a:graphic xmlns:a="http://schemas.openxmlformats.org/drawingml/2006/main">
              <a:graphicData uri="http://schemas.openxmlformats.org/drawingml/2006/picture">
                <pic:pic xmlns:pic="http://schemas.openxmlformats.org/drawingml/2006/picture">
                  <pic:nvPicPr>
                    <pic:cNvPr id="1" name="_x0000_s1043"/>
                    <pic:cNvPicPr/>
                  </pic:nvPicPr>
                  <pic:blipFill>
                    <a:blip r:embed="rId10"/>
                    <a:stretch>
                      <a:fillRect/>
                    </a:stretch>
                  </pic:blipFill>
                  <pic:spPr>
                    <a:xfrm>
                      <a:off x="0" y="0"/>
                      <a:ext cx="2552700" cy="2019300"/>
                    </a:xfrm>
                    <a:prstGeom prst="rect">
                      <a:avLst/>
                    </a:prstGeom>
                  </pic:spPr>
                </pic:pic>
              </a:graphicData>
            </a:graphic>
          </wp:anchor>
        </w:drawing>
      </w:r>
    </w:p>
    <w:p>
      <w:pPr>
        <w:jc w:val="center"/>
        <w:rPr>
          <w:rFonts w:hint="eastAsia" w:ascii="宋体" w:hAnsi="宋体"/>
          <w:b/>
          <w:color w:val="auto"/>
          <w:sz w:val="36"/>
          <w:szCs w:val="36"/>
        </w:rPr>
      </w:pPr>
    </w:p>
    <w:p>
      <w:pPr>
        <w:pStyle w:val="111"/>
        <w:widowControl/>
        <w:spacing w:beforeAutospacing="0" w:afterAutospacing="0" w:line="640" w:lineRule="exact"/>
        <w:jc w:val="center"/>
        <w:rPr>
          <w:rFonts w:hint="eastAsia" w:ascii="宋体" w:hAnsi="宋体"/>
          <w:b/>
          <w:color w:val="auto"/>
          <w:sz w:val="36"/>
          <w:szCs w:val="36"/>
        </w:rPr>
      </w:pPr>
    </w:p>
    <w:p>
      <w:pPr>
        <w:pStyle w:val="111"/>
        <w:widowControl/>
        <w:spacing w:beforeAutospacing="0" w:afterAutospacing="0" w:line="640" w:lineRule="exact"/>
        <w:jc w:val="center"/>
        <w:rPr>
          <w:rFonts w:hint="eastAsia" w:ascii="宋体" w:hAnsi="宋体"/>
          <w:b/>
          <w:color w:val="auto"/>
          <w:sz w:val="36"/>
          <w:szCs w:val="36"/>
        </w:rPr>
      </w:pPr>
    </w:p>
    <w:p>
      <w:pPr>
        <w:pStyle w:val="111"/>
        <w:widowControl/>
        <w:spacing w:beforeAutospacing="0" w:afterAutospacing="0" w:line="640" w:lineRule="exact"/>
        <w:jc w:val="center"/>
        <w:rPr>
          <w:rFonts w:hint="eastAsia" w:ascii="宋体" w:hAnsi="宋体"/>
          <w:b/>
          <w:color w:val="auto"/>
          <w:sz w:val="36"/>
          <w:szCs w:val="36"/>
        </w:rPr>
      </w:pPr>
    </w:p>
    <w:p>
      <w:pPr>
        <w:pStyle w:val="111"/>
        <w:widowControl/>
        <w:spacing w:beforeAutospacing="0" w:afterAutospacing="0" w:line="640" w:lineRule="exact"/>
        <w:jc w:val="center"/>
        <w:rPr>
          <w:rFonts w:hint="eastAsia" w:ascii="宋体" w:hAnsi="宋体"/>
          <w:b/>
          <w:color w:val="auto"/>
          <w:sz w:val="36"/>
          <w:szCs w:val="36"/>
        </w:rPr>
      </w:pPr>
    </w:p>
    <w:p>
      <w:pPr>
        <w:pStyle w:val="111"/>
        <w:widowControl/>
        <w:spacing w:beforeAutospacing="0" w:afterAutospacing="0" w:line="640" w:lineRule="exact"/>
        <w:jc w:val="center"/>
        <w:rPr>
          <w:rFonts w:hint="eastAsia" w:ascii="宋体" w:hAnsi="宋体"/>
          <w:b/>
          <w:color w:val="auto"/>
          <w:sz w:val="36"/>
          <w:szCs w:val="36"/>
        </w:rPr>
      </w:pPr>
    </w:p>
    <w:p>
      <w:pPr>
        <w:keepNext w:val="0"/>
        <w:keepLines w:val="0"/>
        <w:pageBreakBefore w:val="0"/>
        <w:widowControl w:val="0"/>
        <w:kinsoku/>
        <w:wordWrap/>
        <w:overflowPunct/>
        <w:topLinePunct w:val="0"/>
        <w:autoSpaceDE/>
        <w:autoSpaceDN/>
        <w:bidi w:val="0"/>
        <w:spacing w:beforeAutospacing="0" w:afterAutospacing="0" w:line="600" w:lineRule="auto"/>
        <w:jc w:val="center"/>
        <w:outlineLvl w:val="0"/>
        <w:rPr>
          <w:rFonts w:hint="eastAsia" w:ascii="宋体" w:hAnsi="宋体"/>
          <w:b/>
          <w:color w:val="auto"/>
          <w:sz w:val="32"/>
          <w:szCs w:val="28"/>
          <w:lang w:val="en-US" w:eastAsia="zh-CN"/>
        </w:rPr>
      </w:pPr>
      <w:bookmarkStart w:id="4" w:name="_Toc4117"/>
      <w:bookmarkEnd w:id="4"/>
      <w:r>
        <w:rPr>
          <w:rFonts w:hint="eastAsia" w:ascii="宋体" w:hAnsi="宋体"/>
          <w:b/>
          <w:color w:val="auto"/>
          <w:sz w:val="32"/>
          <w:szCs w:val="28"/>
          <w:lang w:val="en-US" w:eastAsia="zh-CN"/>
        </w:rPr>
        <w:t xml:space="preserve"> </w:t>
      </w:r>
      <w:r>
        <w:rPr>
          <w:rFonts w:hint="eastAsia" w:ascii="宋体" w:hAnsi="宋体"/>
          <w:b/>
          <w:color w:val="auto"/>
          <w:sz w:val="32"/>
          <w:szCs w:val="28"/>
        </w:rPr>
        <w:t>采 购 人：</w:t>
      </w:r>
      <w:r>
        <w:rPr>
          <w:rFonts w:hint="eastAsia" w:ascii="宋体" w:hAnsi="宋体"/>
          <w:b/>
          <w:color w:val="auto"/>
          <w:sz w:val="32"/>
          <w:szCs w:val="28"/>
          <w:u w:val="single"/>
          <w:lang w:eastAsia="zh-CN"/>
        </w:rPr>
        <w:t>邹城市看庄镇人民政府</w:t>
      </w:r>
      <w:r>
        <w:rPr>
          <w:rFonts w:hint="eastAsia" w:ascii="宋体" w:hAnsi="宋体"/>
          <w:b/>
          <w:color w:val="auto"/>
          <w:sz w:val="32"/>
          <w:szCs w:val="28"/>
        </w:rPr>
        <w:t>（盖单位章）</w:t>
      </w:r>
    </w:p>
    <w:p>
      <w:pPr>
        <w:keepNext w:val="0"/>
        <w:keepLines w:val="0"/>
        <w:pageBreakBefore w:val="0"/>
        <w:widowControl w:val="0"/>
        <w:kinsoku/>
        <w:wordWrap/>
        <w:overflowPunct/>
        <w:topLinePunct w:val="0"/>
        <w:autoSpaceDE/>
        <w:autoSpaceDN/>
        <w:bidi w:val="0"/>
        <w:spacing w:beforeAutospacing="0" w:afterAutospacing="0" w:line="600" w:lineRule="auto"/>
        <w:jc w:val="center"/>
        <w:outlineLvl w:val="0"/>
        <w:rPr>
          <w:rFonts w:hint="eastAsia" w:ascii="宋体" w:hAnsi="宋体"/>
          <w:b/>
          <w:color w:val="auto"/>
          <w:sz w:val="32"/>
          <w:szCs w:val="28"/>
          <w:lang w:val="en-US" w:eastAsia="zh-CN"/>
        </w:rPr>
      </w:pPr>
      <w:bookmarkStart w:id="5" w:name="_Toc11434"/>
      <w:bookmarkEnd w:id="5"/>
      <w:r>
        <w:rPr>
          <w:rFonts w:hint="eastAsia" w:ascii="宋体" w:hAnsi="宋体"/>
          <w:b/>
          <w:color w:val="auto"/>
          <w:sz w:val="32"/>
          <w:szCs w:val="28"/>
          <w:lang w:val="en-US" w:eastAsia="zh-CN"/>
        </w:rPr>
        <w:t xml:space="preserve"> </w:t>
      </w:r>
      <w:r>
        <w:rPr>
          <w:rFonts w:hint="eastAsia" w:ascii="宋体" w:hAnsi="宋体"/>
          <w:b/>
          <w:color w:val="auto"/>
          <w:sz w:val="32"/>
          <w:szCs w:val="28"/>
        </w:rPr>
        <w:t>代理机构：</w:t>
      </w:r>
      <w:r>
        <w:rPr>
          <w:rFonts w:hint="eastAsia" w:ascii="宋体" w:hAnsi="宋体"/>
          <w:b/>
          <w:color w:val="auto"/>
          <w:sz w:val="32"/>
          <w:szCs w:val="28"/>
          <w:u w:val="single"/>
        </w:rPr>
        <w:t xml:space="preserve"> </w:t>
      </w:r>
      <w:r>
        <w:rPr>
          <w:rFonts w:hint="eastAsia" w:ascii="宋体" w:hAnsi="宋体"/>
          <w:b/>
          <w:color w:val="auto"/>
          <w:sz w:val="32"/>
          <w:szCs w:val="28"/>
          <w:u w:val="single"/>
          <w:lang w:val="en-US" w:eastAsia="zh-CN"/>
        </w:rPr>
        <w:t xml:space="preserve">  圣祥</w:t>
      </w:r>
      <w:r>
        <w:rPr>
          <w:rFonts w:hint="eastAsia" w:ascii="宋体" w:hAnsi="宋体"/>
          <w:b/>
          <w:color w:val="auto"/>
          <w:sz w:val="32"/>
          <w:szCs w:val="28"/>
          <w:u w:val="single"/>
        </w:rPr>
        <w:t>有限公司</w:t>
      </w:r>
      <w:r>
        <w:rPr>
          <w:rFonts w:hint="eastAsia" w:ascii="宋体" w:hAnsi="宋体"/>
          <w:b/>
          <w:color w:val="auto"/>
          <w:sz w:val="32"/>
          <w:szCs w:val="28"/>
          <w:u w:val="single"/>
          <w:lang w:val="en-US" w:eastAsia="zh-CN"/>
        </w:rPr>
        <w:t xml:space="preserve">   </w:t>
      </w:r>
      <w:r>
        <w:rPr>
          <w:rFonts w:hint="eastAsia" w:ascii="宋体" w:hAnsi="宋体"/>
          <w:b/>
          <w:color w:val="auto"/>
          <w:sz w:val="32"/>
          <w:szCs w:val="28"/>
          <w:u w:val="single"/>
        </w:rPr>
        <w:t xml:space="preserve"> </w:t>
      </w:r>
      <w:r>
        <w:rPr>
          <w:rFonts w:hint="eastAsia" w:ascii="宋体" w:hAnsi="宋体"/>
          <w:b/>
          <w:color w:val="auto"/>
          <w:sz w:val="32"/>
          <w:szCs w:val="28"/>
        </w:rPr>
        <w:t>（盖单位章）</w:t>
      </w:r>
    </w:p>
    <w:p>
      <w:pPr>
        <w:keepNext w:val="0"/>
        <w:keepLines w:val="0"/>
        <w:pageBreakBefore w:val="0"/>
        <w:widowControl w:val="0"/>
        <w:kinsoku/>
        <w:wordWrap/>
        <w:overflowPunct/>
        <w:topLinePunct w:val="0"/>
        <w:autoSpaceDE/>
        <w:autoSpaceDN/>
        <w:bidi w:val="0"/>
        <w:spacing w:beforeAutospacing="0" w:afterAutospacing="0" w:line="600" w:lineRule="auto"/>
        <w:jc w:val="center"/>
        <w:rPr>
          <w:rFonts w:hint="eastAsia" w:ascii="宋体" w:hAnsi="宋体"/>
          <w:b/>
          <w:color w:val="auto"/>
          <w:sz w:val="32"/>
          <w:szCs w:val="28"/>
        </w:rPr>
      </w:pPr>
      <w:r>
        <w:rPr>
          <w:rFonts w:hint="eastAsia" w:ascii="宋体" w:hAnsi="宋体"/>
          <w:b/>
          <w:color w:val="auto"/>
          <w:sz w:val="32"/>
          <w:szCs w:val="28"/>
        </w:rPr>
        <w:t>二〇二</w:t>
      </w:r>
      <w:r>
        <w:rPr>
          <w:rFonts w:hint="eastAsia" w:ascii="宋体" w:hAnsi="宋体"/>
          <w:b/>
          <w:color w:val="auto"/>
          <w:sz w:val="32"/>
          <w:szCs w:val="28"/>
          <w:lang w:val="en-US" w:eastAsia="zh-CN"/>
        </w:rPr>
        <w:t>三</w:t>
      </w:r>
      <w:r>
        <w:rPr>
          <w:rFonts w:hint="eastAsia" w:ascii="宋体" w:hAnsi="宋体"/>
          <w:b/>
          <w:color w:val="auto"/>
          <w:sz w:val="32"/>
          <w:szCs w:val="28"/>
        </w:rPr>
        <w:t>年</w:t>
      </w:r>
      <w:r>
        <w:rPr>
          <w:rFonts w:hint="eastAsia" w:ascii="宋体" w:hAnsi="宋体"/>
          <w:b/>
          <w:color w:val="auto"/>
          <w:sz w:val="32"/>
          <w:szCs w:val="28"/>
          <w:lang w:val="en-US" w:eastAsia="zh-CN"/>
        </w:rPr>
        <w:t>三</w:t>
      </w:r>
      <w:r>
        <w:rPr>
          <w:rFonts w:hint="eastAsia" w:ascii="宋体" w:hAnsi="宋体"/>
          <w:b/>
          <w:color w:val="auto"/>
          <w:sz w:val="32"/>
          <w:szCs w:val="28"/>
        </w:rPr>
        <w:t>月</w:t>
      </w:r>
    </w:p>
    <w:p>
      <w:pPr>
        <w:keepNext w:val="0"/>
        <w:keepLines w:val="0"/>
        <w:pageBreakBefore w:val="0"/>
        <w:widowControl w:val="0"/>
        <w:tabs>
          <w:tab w:val="left" w:pos="1080"/>
        </w:tabs>
        <w:kinsoku/>
        <w:wordWrap/>
        <w:overflowPunct/>
        <w:topLinePunct w:val="0"/>
        <w:autoSpaceDE/>
        <w:autoSpaceDN/>
        <w:bidi w:val="0"/>
        <w:snapToGrid w:val="0"/>
        <w:spacing w:beforeAutospacing="0" w:afterAutospacing="0" w:line="600" w:lineRule="auto"/>
        <w:jc w:val="center"/>
        <w:rPr>
          <w:rFonts w:hint="eastAsia" w:ascii="宋体" w:hAnsi="宋体"/>
          <w:b/>
          <w:bCs/>
          <w:color w:val="auto"/>
          <w:sz w:val="44"/>
          <w:szCs w:val="44"/>
        </w:rPr>
        <w:sectPr>
          <w:footerReference r:id="rId6" w:type="first"/>
          <w:headerReference r:id="rId3" w:type="default"/>
          <w:footerReference r:id="rId4" w:type="default"/>
          <w:footerReference r:id="rId5" w:type="even"/>
          <w:pgSz w:w="11906" w:h="16838"/>
          <w:pgMar w:top="1418" w:right="1418" w:bottom="1418" w:left="1418" w:header="851" w:footer="992" w:gutter="0"/>
          <w:pgNumType w:fmt="decimal" w:start="0"/>
          <w:cols w:space="720" w:num="1"/>
          <w:docGrid w:type="lines" w:linePitch="286" w:charSpace="0"/>
        </w:sectPr>
      </w:pPr>
    </w:p>
    <w:p>
      <w:pPr>
        <w:spacing w:before="0" w:beforeAutospacing="0" w:after="0" w:afterAutospacing="0" w:line="240" w:lineRule="auto"/>
        <w:ind w:left="0" w:leftChars="0" w:right="0" w:rightChars="0" w:firstLine="0" w:firstLineChars="0"/>
        <w:jc w:val="center"/>
        <w:rPr>
          <w:rFonts w:ascii="宋体" w:hAnsi="宋体" w:eastAsia="宋体"/>
          <w:b/>
          <w:bCs/>
          <w:color w:val="auto"/>
          <w:sz w:val="28"/>
          <w:szCs w:val="36"/>
        </w:rPr>
      </w:pPr>
      <w:r>
        <w:rPr>
          <w:rFonts w:ascii="宋体" w:hAnsi="宋体" w:eastAsia="宋体"/>
          <w:b/>
          <w:bCs/>
          <w:color w:val="auto"/>
          <w:sz w:val="28"/>
          <w:szCs w:val="36"/>
        </w:rPr>
        <w:t>目</w:t>
      </w:r>
      <w:r>
        <w:rPr>
          <w:rFonts w:hint="eastAsia" w:ascii="宋体" w:hAnsi="宋体" w:eastAsia="宋体"/>
          <w:b/>
          <w:bCs/>
          <w:color w:val="auto"/>
          <w:sz w:val="28"/>
          <w:szCs w:val="36"/>
          <w:lang w:val="en-US" w:eastAsia="zh-CN"/>
        </w:rPr>
        <w:t xml:space="preserve">  </w:t>
      </w:r>
      <w:r>
        <w:rPr>
          <w:rFonts w:ascii="宋体" w:hAnsi="宋体" w:eastAsia="宋体"/>
          <w:b/>
          <w:bCs/>
          <w:color w:val="auto"/>
          <w:sz w:val="28"/>
          <w:szCs w:val="36"/>
        </w:rPr>
        <w:t>录</w:t>
      </w:r>
    </w:p>
    <w:p>
      <w:pPr>
        <w:pStyle w:val="139"/>
        <w:tabs>
          <w:tab w:val="right" w:leader="dot" w:pos="9746"/>
        </w:tabs>
        <w:rPr>
          <w:rFonts w:hint="eastAsia" w:ascii="宋体" w:hAnsi="宋体"/>
          <w:b/>
          <w:caps/>
          <w:color w:val="auto"/>
          <w:sz w:val="24"/>
        </w:rPr>
      </w:pPr>
      <w:r>
        <w:rPr>
          <w:rFonts w:hint="eastAsia" w:ascii="宋体" w:hAnsi="宋体"/>
          <w:b/>
          <w:caps/>
          <w:color w:val="auto"/>
          <w:sz w:val="24"/>
        </w:rPr>
        <w:fldChar w:fldCharType="begin"/>
      </w:r>
      <w:r>
        <w:rPr>
          <w:rFonts w:hint="eastAsia" w:ascii="宋体" w:hAnsi="宋体"/>
          <w:b/>
          <w:caps/>
          <w:color w:val="auto"/>
          <w:sz w:val="24"/>
        </w:rPr>
        <w:instrText xml:space="preserve">TOC \o "1-1" \h \u </w:instrText>
      </w:r>
      <w:r>
        <w:rPr>
          <w:rFonts w:hint="eastAsia" w:ascii="宋体" w:hAnsi="宋体"/>
          <w:b/>
          <w:caps/>
          <w:color w:val="auto"/>
          <w:sz w:val="24"/>
        </w:rPr>
        <w:fldChar w:fldCharType="separate"/>
      </w:r>
    </w:p>
    <w:p>
      <w:pPr>
        <w:pStyle w:val="139"/>
        <w:tabs>
          <w:tab w:val="right" w:leader="dot" w:pos="9746"/>
        </w:tabs>
        <w:rPr>
          <w:rFonts w:hint="eastAsia" w:ascii="宋体" w:hAnsi="宋体"/>
          <w:b/>
          <w:bCs/>
          <w:caps/>
          <w:color w:val="auto"/>
          <w:sz w:val="24"/>
          <w:szCs w:val="24"/>
        </w:rPr>
      </w:pPr>
      <w:r>
        <w:rPr>
          <w:rFonts w:hint="eastAsia" w:ascii="宋体" w:hAnsi="宋体"/>
          <w:b/>
          <w:bCs/>
          <w:caps/>
          <w:color w:val="auto"/>
          <w:sz w:val="24"/>
          <w:szCs w:val="24"/>
        </w:rPr>
        <w:fldChar w:fldCharType="begin"/>
      </w:r>
      <w:r>
        <w:rPr>
          <w:rFonts w:hint="eastAsia" w:ascii="宋体" w:hAnsi="宋体"/>
          <w:b/>
          <w:bCs/>
          <w:caps/>
          <w:color w:val="auto"/>
          <w:sz w:val="24"/>
          <w:szCs w:val="24"/>
        </w:rPr>
        <w:instrText xml:space="preserve"> HYPERLINK \l _Toc22080 </w:instrText>
      </w:r>
      <w:r>
        <w:rPr>
          <w:rFonts w:hint="eastAsia" w:ascii="宋体" w:hAnsi="宋体"/>
          <w:b/>
          <w:bCs/>
          <w:caps/>
          <w:color w:val="auto"/>
          <w:sz w:val="24"/>
          <w:szCs w:val="24"/>
        </w:rPr>
        <w:fldChar w:fldCharType="separate"/>
      </w:r>
      <w:r>
        <w:rPr>
          <w:rFonts w:hint="eastAsia"/>
          <w:b/>
          <w:bCs/>
          <w:color w:val="auto"/>
          <w:sz w:val="24"/>
          <w:szCs w:val="24"/>
        </w:rPr>
        <w:t>第一部分  竞争性磋商公告</w:t>
      </w:r>
      <w:r>
        <w:rPr>
          <w:b/>
          <w:bCs/>
          <w:color w:val="auto"/>
          <w:sz w:val="24"/>
          <w:szCs w:val="24"/>
        </w:rPr>
        <w:tab/>
      </w:r>
      <w:r>
        <w:rPr>
          <w:b/>
          <w:bCs/>
          <w:color w:val="auto"/>
          <w:sz w:val="24"/>
          <w:szCs w:val="24"/>
        </w:rPr>
        <w:fldChar w:fldCharType="begin"/>
      </w:r>
      <w:r>
        <w:rPr>
          <w:b/>
          <w:bCs/>
          <w:color w:val="auto"/>
          <w:sz w:val="24"/>
          <w:szCs w:val="24"/>
        </w:rPr>
        <w:instrText xml:space="preserve"> PAGEREF _Toc22080 \h </w:instrText>
      </w:r>
      <w:r>
        <w:rPr>
          <w:b/>
          <w:bCs/>
          <w:color w:val="auto"/>
          <w:sz w:val="24"/>
          <w:szCs w:val="24"/>
        </w:rPr>
        <w:fldChar w:fldCharType="separate"/>
      </w:r>
      <w:r>
        <w:rPr>
          <w:b/>
          <w:bCs/>
          <w:color w:val="auto"/>
          <w:sz w:val="24"/>
          <w:szCs w:val="24"/>
        </w:rPr>
        <w:t>2</w:t>
      </w:r>
      <w:r>
        <w:rPr>
          <w:b/>
          <w:bCs/>
          <w:color w:val="auto"/>
          <w:sz w:val="24"/>
          <w:szCs w:val="24"/>
        </w:rPr>
        <w:fldChar w:fldCharType="end"/>
      </w:r>
      <w:r>
        <w:rPr>
          <w:rFonts w:hint="eastAsia" w:ascii="宋体" w:hAnsi="宋体"/>
          <w:b/>
          <w:bCs/>
          <w:caps/>
          <w:color w:val="auto"/>
          <w:sz w:val="24"/>
          <w:szCs w:val="24"/>
        </w:rPr>
        <w:fldChar w:fldCharType="end"/>
      </w:r>
    </w:p>
    <w:p>
      <w:pPr>
        <w:pStyle w:val="139"/>
        <w:tabs>
          <w:tab w:val="right" w:leader="dot" w:pos="9746"/>
        </w:tabs>
        <w:rPr>
          <w:rFonts w:hint="eastAsia" w:ascii="宋体" w:hAnsi="宋体"/>
          <w:b/>
          <w:bCs/>
          <w:caps/>
          <w:color w:val="auto"/>
          <w:sz w:val="24"/>
          <w:szCs w:val="24"/>
        </w:rPr>
      </w:pPr>
      <w:r>
        <w:rPr>
          <w:rFonts w:hint="eastAsia" w:ascii="宋体" w:hAnsi="宋体"/>
          <w:b/>
          <w:bCs/>
          <w:caps/>
          <w:color w:val="auto"/>
          <w:sz w:val="24"/>
          <w:szCs w:val="24"/>
        </w:rPr>
        <w:fldChar w:fldCharType="begin"/>
      </w:r>
      <w:r>
        <w:rPr>
          <w:rFonts w:hint="eastAsia" w:ascii="宋体" w:hAnsi="宋体"/>
          <w:b/>
          <w:bCs/>
          <w:caps/>
          <w:color w:val="auto"/>
          <w:sz w:val="24"/>
          <w:szCs w:val="24"/>
        </w:rPr>
        <w:instrText xml:space="preserve"> HYPERLINK \l _Toc13810 </w:instrText>
      </w:r>
      <w:r>
        <w:rPr>
          <w:rFonts w:hint="eastAsia" w:ascii="宋体" w:hAnsi="宋体"/>
          <w:b/>
          <w:bCs/>
          <w:caps/>
          <w:color w:val="auto"/>
          <w:sz w:val="24"/>
          <w:szCs w:val="24"/>
        </w:rPr>
        <w:fldChar w:fldCharType="separate"/>
      </w:r>
      <w:r>
        <w:rPr>
          <w:rFonts w:hint="eastAsia" w:ascii="宋体" w:hAnsi="宋体" w:eastAsia="宋体"/>
          <w:b/>
          <w:bCs/>
          <w:color w:val="auto"/>
          <w:sz w:val="24"/>
          <w:szCs w:val="24"/>
        </w:rPr>
        <w:t>第</w:t>
      </w:r>
      <w:r>
        <w:rPr>
          <w:rFonts w:hint="eastAsia" w:ascii="宋体" w:hAnsi="宋体" w:eastAsia="宋体"/>
          <w:b/>
          <w:bCs/>
          <w:color w:val="auto"/>
          <w:sz w:val="24"/>
          <w:szCs w:val="24"/>
          <w:lang w:eastAsia="zh-CN"/>
        </w:rPr>
        <w:t>二</w:t>
      </w:r>
      <w:r>
        <w:rPr>
          <w:rFonts w:hint="eastAsia" w:ascii="宋体" w:hAnsi="宋体" w:eastAsia="宋体"/>
          <w:b/>
          <w:bCs/>
          <w:color w:val="auto"/>
          <w:sz w:val="24"/>
          <w:szCs w:val="24"/>
        </w:rPr>
        <w:t>部分  供应商须知及供应商须知前附表</w:t>
      </w:r>
      <w:r>
        <w:rPr>
          <w:b/>
          <w:bCs/>
          <w:color w:val="auto"/>
          <w:sz w:val="24"/>
          <w:szCs w:val="24"/>
        </w:rPr>
        <w:tab/>
      </w:r>
      <w:r>
        <w:rPr>
          <w:b/>
          <w:bCs/>
          <w:color w:val="auto"/>
          <w:sz w:val="24"/>
          <w:szCs w:val="24"/>
        </w:rPr>
        <w:fldChar w:fldCharType="begin"/>
      </w:r>
      <w:r>
        <w:rPr>
          <w:b/>
          <w:bCs/>
          <w:color w:val="auto"/>
          <w:sz w:val="24"/>
          <w:szCs w:val="24"/>
        </w:rPr>
        <w:instrText xml:space="preserve"> PAGEREF _Toc13810 \h </w:instrText>
      </w:r>
      <w:r>
        <w:rPr>
          <w:b/>
          <w:bCs/>
          <w:color w:val="auto"/>
          <w:sz w:val="24"/>
          <w:szCs w:val="24"/>
        </w:rPr>
        <w:fldChar w:fldCharType="separate"/>
      </w:r>
      <w:r>
        <w:rPr>
          <w:b/>
          <w:bCs/>
          <w:color w:val="auto"/>
          <w:sz w:val="24"/>
          <w:szCs w:val="24"/>
        </w:rPr>
        <w:t>4</w:t>
      </w:r>
      <w:r>
        <w:rPr>
          <w:b/>
          <w:bCs/>
          <w:color w:val="auto"/>
          <w:sz w:val="24"/>
          <w:szCs w:val="24"/>
        </w:rPr>
        <w:fldChar w:fldCharType="end"/>
      </w:r>
      <w:r>
        <w:rPr>
          <w:rFonts w:hint="eastAsia" w:ascii="宋体" w:hAnsi="宋体"/>
          <w:b/>
          <w:bCs/>
          <w:caps/>
          <w:color w:val="auto"/>
          <w:sz w:val="24"/>
          <w:szCs w:val="24"/>
        </w:rPr>
        <w:fldChar w:fldCharType="end"/>
      </w:r>
    </w:p>
    <w:p>
      <w:pPr>
        <w:pStyle w:val="139"/>
        <w:tabs>
          <w:tab w:val="right" w:leader="dot" w:pos="9746"/>
        </w:tabs>
        <w:rPr>
          <w:rFonts w:hint="eastAsia" w:ascii="宋体" w:hAnsi="宋体"/>
          <w:b/>
          <w:bCs/>
          <w:caps/>
          <w:color w:val="auto"/>
          <w:sz w:val="24"/>
          <w:szCs w:val="24"/>
        </w:rPr>
      </w:pPr>
      <w:r>
        <w:rPr>
          <w:rFonts w:hint="eastAsia" w:ascii="宋体" w:hAnsi="宋体"/>
          <w:b/>
          <w:bCs/>
          <w:caps/>
          <w:color w:val="auto"/>
          <w:sz w:val="24"/>
          <w:szCs w:val="24"/>
        </w:rPr>
        <w:fldChar w:fldCharType="begin"/>
      </w:r>
      <w:r>
        <w:rPr>
          <w:rFonts w:hint="eastAsia" w:ascii="宋体" w:hAnsi="宋体"/>
          <w:b/>
          <w:bCs/>
          <w:caps/>
          <w:color w:val="auto"/>
          <w:sz w:val="24"/>
          <w:szCs w:val="24"/>
        </w:rPr>
        <w:instrText xml:space="preserve"> HYPERLINK \l _Toc12845 </w:instrText>
      </w:r>
      <w:r>
        <w:rPr>
          <w:rFonts w:hint="eastAsia" w:ascii="宋体" w:hAnsi="宋体"/>
          <w:b/>
          <w:bCs/>
          <w:caps/>
          <w:color w:val="auto"/>
          <w:sz w:val="24"/>
          <w:szCs w:val="24"/>
        </w:rPr>
        <w:fldChar w:fldCharType="separate"/>
      </w:r>
      <w:r>
        <w:rPr>
          <w:rFonts w:hint="eastAsia" w:ascii="宋体" w:hAnsi="宋体" w:eastAsia="宋体"/>
          <w:b/>
          <w:bCs/>
          <w:color w:val="auto"/>
          <w:kern w:val="44"/>
          <w:sz w:val="24"/>
          <w:szCs w:val="56"/>
          <w:lang w:val="en-US" w:eastAsia="zh-CN" w:bidi="ar-SA"/>
        </w:rPr>
        <w:t>第三部分  磋商组织、步骤与评审方法</w:t>
      </w:r>
      <w:r>
        <w:rPr>
          <w:b/>
          <w:bCs/>
          <w:color w:val="auto"/>
          <w:sz w:val="24"/>
          <w:szCs w:val="24"/>
        </w:rPr>
        <w:tab/>
      </w:r>
      <w:r>
        <w:rPr>
          <w:b/>
          <w:bCs/>
          <w:color w:val="auto"/>
          <w:sz w:val="24"/>
          <w:szCs w:val="24"/>
        </w:rPr>
        <w:fldChar w:fldCharType="begin"/>
      </w:r>
      <w:r>
        <w:rPr>
          <w:b/>
          <w:bCs/>
          <w:color w:val="auto"/>
          <w:sz w:val="24"/>
          <w:szCs w:val="24"/>
        </w:rPr>
        <w:instrText xml:space="preserve"> PAGEREF _Toc12845 \h </w:instrText>
      </w:r>
      <w:r>
        <w:rPr>
          <w:b/>
          <w:bCs/>
          <w:color w:val="auto"/>
          <w:sz w:val="24"/>
          <w:szCs w:val="24"/>
        </w:rPr>
        <w:fldChar w:fldCharType="separate"/>
      </w:r>
      <w:r>
        <w:rPr>
          <w:b/>
          <w:bCs/>
          <w:color w:val="auto"/>
          <w:sz w:val="24"/>
          <w:szCs w:val="24"/>
        </w:rPr>
        <w:t>10</w:t>
      </w:r>
      <w:r>
        <w:rPr>
          <w:b/>
          <w:bCs/>
          <w:color w:val="auto"/>
          <w:sz w:val="24"/>
          <w:szCs w:val="24"/>
        </w:rPr>
        <w:fldChar w:fldCharType="end"/>
      </w:r>
      <w:r>
        <w:rPr>
          <w:rFonts w:hint="eastAsia" w:ascii="宋体" w:hAnsi="宋体"/>
          <w:b/>
          <w:bCs/>
          <w:caps/>
          <w:color w:val="auto"/>
          <w:sz w:val="24"/>
          <w:szCs w:val="24"/>
        </w:rPr>
        <w:fldChar w:fldCharType="end"/>
      </w:r>
    </w:p>
    <w:p>
      <w:pPr>
        <w:pStyle w:val="139"/>
        <w:tabs>
          <w:tab w:val="right" w:leader="dot" w:pos="9746"/>
        </w:tabs>
        <w:rPr>
          <w:rFonts w:hint="eastAsia" w:ascii="宋体" w:hAnsi="宋体"/>
          <w:b/>
          <w:bCs/>
          <w:caps/>
          <w:color w:val="auto"/>
          <w:sz w:val="24"/>
          <w:szCs w:val="24"/>
        </w:rPr>
      </w:pPr>
      <w:r>
        <w:rPr>
          <w:rFonts w:hint="eastAsia" w:ascii="宋体" w:hAnsi="宋体"/>
          <w:b/>
          <w:bCs/>
          <w:caps/>
          <w:color w:val="auto"/>
          <w:sz w:val="24"/>
          <w:szCs w:val="24"/>
        </w:rPr>
        <w:fldChar w:fldCharType="begin"/>
      </w:r>
      <w:r>
        <w:rPr>
          <w:rFonts w:hint="eastAsia" w:ascii="宋体" w:hAnsi="宋体"/>
          <w:b/>
          <w:bCs/>
          <w:caps/>
          <w:color w:val="auto"/>
          <w:sz w:val="24"/>
          <w:szCs w:val="24"/>
        </w:rPr>
        <w:instrText xml:space="preserve"> HYPERLINK \l _Toc6518 </w:instrText>
      </w:r>
      <w:r>
        <w:rPr>
          <w:rFonts w:hint="eastAsia" w:ascii="宋体" w:hAnsi="宋体"/>
          <w:b/>
          <w:bCs/>
          <w:caps/>
          <w:color w:val="auto"/>
          <w:sz w:val="24"/>
          <w:szCs w:val="24"/>
        </w:rPr>
        <w:fldChar w:fldCharType="separate"/>
      </w:r>
      <w:r>
        <w:rPr>
          <w:rFonts w:hint="eastAsia"/>
          <w:b/>
          <w:bCs/>
          <w:color w:val="auto"/>
          <w:sz w:val="24"/>
          <w:szCs w:val="24"/>
          <w:lang w:val="en-US" w:eastAsia="zh-CN"/>
        </w:rPr>
        <w:t>第四部分  采购内容及要求</w:t>
      </w:r>
      <w:r>
        <w:rPr>
          <w:b/>
          <w:bCs/>
          <w:color w:val="auto"/>
          <w:sz w:val="24"/>
          <w:szCs w:val="24"/>
        </w:rPr>
        <w:tab/>
      </w:r>
      <w:bookmarkStart w:id="44" w:name="_GoBack"/>
      <w:bookmarkEnd w:id="44"/>
      <w:r>
        <w:rPr>
          <w:b/>
          <w:bCs/>
          <w:color w:val="auto"/>
          <w:sz w:val="24"/>
          <w:szCs w:val="24"/>
        </w:rPr>
        <w:fldChar w:fldCharType="begin"/>
      </w:r>
      <w:r>
        <w:rPr>
          <w:b/>
          <w:bCs/>
          <w:color w:val="auto"/>
          <w:sz w:val="24"/>
          <w:szCs w:val="24"/>
        </w:rPr>
        <w:instrText xml:space="preserve"> PAGEREF _Toc6518 \h </w:instrText>
      </w:r>
      <w:r>
        <w:rPr>
          <w:b/>
          <w:bCs/>
          <w:color w:val="auto"/>
          <w:sz w:val="24"/>
          <w:szCs w:val="24"/>
        </w:rPr>
        <w:fldChar w:fldCharType="separate"/>
      </w:r>
      <w:r>
        <w:rPr>
          <w:b/>
          <w:bCs/>
          <w:color w:val="auto"/>
          <w:sz w:val="24"/>
          <w:szCs w:val="24"/>
        </w:rPr>
        <w:t>12</w:t>
      </w:r>
      <w:r>
        <w:rPr>
          <w:b/>
          <w:bCs/>
          <w:color w:val="auto"/>
          <w:sz w:val="24"/>
          <w:szCs w:val="24"/>
        </w:rPr>
        <w:fldChar w:fldCharType="end"/>
      </w:r>
      <w:r>
        <w:rPr>
          <w:rFonts w:hint="eastAsia" w:ascii="宋体" w:hAnsi="宋体"/>
          <w:b/>
          <w:bCs/>
          <w:caps/>
          <w:color w:val="auto"/>
          <w:sz w:val="24"/>
          <w:szCs w:val="24"/>
        </w:rPr>
        <w:fldChar w:fldCharType="end"/>
      </w:r>
    </w:p>
    <w:p>
      <w:pPr>
        <w:pStyle w:val="139"/>
        <w:tabs>
          <w:tab w:val="right" w:leader="dot" w:pos="9746"/>
        </w:tabs>
        <w:rPr>
          <w:rFonts w:hint="eastAsia" w:ascii="宋体" w:hAnsi="宋体"/>
          <w:b/>
          <w:bCs/>
          <w:caps/>
          <w:color w:val="auto"/>
          <w:sz w:val="24"/>
          <w:szCs w:val="24"/>
        </w:rPr>
      </w:pPr>
      <w:r>
        <w:rPr>
          <w:rFonts w:hint="eastAsia" w:ascii="宋体" w:hAnsi="宋体"/>
          <w:b/>
          <w:bCs/>
          <w:caps/>
          <w:color w:val="auto"/>
          <w:sz w:val="24"/>
          <w:szCs w:val="24"/>
        </w:rPr>
        <w:fldChar w:fldCharType="begin"/>
      </w:r>
      <w:r>
        <w:rPr>
          <w:rFonts w:hint="eastAsia" w:ascii="宋体" w:hAnsi="宋体"/>
          <w:b/>
          <w:bCs/>
          <w:caps/>
          <w:color w:val="auto"/>
          <w:sz w:val="24"/>
          <w:szCs w:val="24"/>
        </w:rPr>
        <w:instrText xml:space="preserve"> HYPERLINK \l _Toc1506 </w:instrText>
      </w:r>
      <w:r>
        <w:rPr>
          <w:rFonts w:hint="eastAsia" w:ascii="宋体" w:hAnsi="宋体"/>
          <w:b/>
          <w:bCs/>
          <w:caps/>
          <w:color w:val="auto"/>
          <w:sz w:val="24"/>
          <w:szCs w:val="24"/>
        </w:rPr>
        <w:fldChar w:fldCharType="separate"/>
      </w:r>
      <w:r>
        <w:rPr>
          <w:rFonts w:hint="eastAsia"/>
          <w:b/>
          <w:bCs/>
          <w:color w:val="auto"/>
          <w:sz w:val="24"/>
          <w:szCs w:val="24"/>
          <w:lang w:val="en-US" w:eastAsia="zh-CN"/>
        </w:rPr>
        <w:t>第五部分  合同授予</w:t>
      </w:r>
      <w:r>
        <w:rPr>
          <w:b/>
          <w:bCs/>
          <w:color w:val="auto"/>
          <w:sz w:val="24"/>
          <w:szCs w:val="24"/>
        </w:rPr>
        <w:tab/>
      </w:r>
      <w:r>
        <w:rPr>
          <w:b/>
          <w:bCs/>
          <w:color w:val="auto"/>
          <w:sz w:val="24"/>
          <w:szCs w:val="24"/>
        </w:rPr>
        <w:fldChar w:fldCharType="begin"/>
      </w:r>
      <w:r>
        <w:rPr>
          <w:b/>
          <w:bCs/>
          <w:color w:val="auto"/>
          <w:sz w:val="24"/>
          <w:szCs w:val="24"/>
        </w:rPr>
        <w:instrText xml:space="preserve"> PAGEREF _Toc1506 \h </w:instrText>
      </w:r>
      <w:r>
        <w:rPr>
          <w:b/>
          <w:bCs/>
          <w:color w:val="auto"/>
          <w:sz w:val="24"/>
          <w:szCs w:val="24"/>
        </w:rPr>
        <w:fldChar w:fldCharType="separate"/>
      </w:r>
      <w:r>
        <w:rPr>
          <w:b/>
          <w:bCs/>
          <w:color w:val="auto"/>
          <w:sz w:val="24"/>
          <w:szCs w:val="24"/>
        </w:rPr>
        <w:t>24</w:t>
      </w:r>
      <w:r>
        <w:rPr>
          <w:b/>
          <w:bCs/>
          <w:color w:val="auto"/>
          <w:sz w:val="24"/>
          <w:szCs w:val="24"/>
        </w:rPr>
        <w:fldChar w:fldCharType="end"/>
      </w:r>
      <w:r>
        <w:rPr>
          <w:rFonts w:hint="eastAsia" w:ascii="宋体" w:hAnsi="宋体"/>
          <w:b/>
          <w:bCs/>
          <w:caps/>
          <w:color w:val="auto"/>
          <w:sz w:val="24"/>
          <w:szCs w:val="24"/>
        </w:rPr>
        <w:fldChar w:fldCharType="end"/>
      </w:r>
    </w:p>
    <w:p>
      <w:pPr>
        <w:pStyle w:val="139"/>
        <w:tabs>
          <w:tab w:val="right" w:leader="dot" w:pos="9746"/>
        </w:tabs>
        <w:rPr>
          <w:rFonts w:hint="eastAsia" w:ascii="宋体" w:hAnsi="宋体"/>
          <w:b/>
          <w:bCs/>
          <w:caps/>
          <w:color w:val="auto"/>
          <w:sz w:val="24"/>
          <w:szCs w:val="24"/>
        </w:rPr>
      </w:pPr>
      <w:r>
        <w:rPr>
          <w:rFonts w:hint="eastAsia" w:ascii="宋体" w:hAnsi="宋体"/>
          <w:b/>
          <w:bCs/>
          <w:caps/>
          <w:color w:val="auto"/>
          <w:sz w:val="24"/>
          <w:szCs w:val="24"/>
        </w:rPr>
        <w:fldChar w:fldCharType="begin"/>
      </w:r>
      <w:r>
        <w:rPr>
          <w:rFonts w:hint="eastAsia" w:ascii="宋体" w:hAnsi="宋体"/>
          <w:b/>
          <w:bCs/>
          <w:caps/>
          <w:color w:val="auto"/>
          <w:sz w:val="24"/>
          <w:szCs w:val="24"/>
        </w:rPr>
        <w:instrText xml:space="preserve"> HYPERLINK \l _Toc30515 </w:instrText>
      </w:r>
      <w:r>
        <w:rPr>
          <w:rFonts w:hint="eastAsia" w:ascii="宋体" w:hAnsi="宋体"/>
          <w:b/>
          <w:bCs/>
          <w:caps/>
          <w:color w:val="auto"/>
          <w:sz w:val="24"/>
          <w:szCs w:val="24"/>
        </w:rPr>
        <w:fldChar w:fldCharType="separate"/>
      </w:r>
      <w:r>
        <w:rPr>
          <w:rFonts w:hint="eastAsia" w:ascii="宋体" w:hAnsi="宋体" w:eastAsia="宋体"/>
          <w:b/>
          <w:bCs/>
          <w:color w:val="auto"/>
          <w:sz w:val="24"/>
          <w:szCs w:val="24"/>
        </w:rPr>
        <w:t>第六</w:t>
      </w:r>
      <w:r>
        <w:rPr>
          <w:rFonts w:hint="eastAsia" w:ascii="宋体" w:hAnsi="宋体" w:eastAsia="宋体"/>
          <w:b/>
          <w:bCs/>
          <w:color w:val="auto"/>
          <w:sz w:val="24"/>
          <w:szCs w:val="24"/>
          <w:lang w:eastAsia="zh-CN"/>
        </w:rPr>
        <w:t>部分</w:t>
      </w:r>
      <w:r>
        <w:rPr>
          <w:rFonts w:hint="eastAsia" w:ascii="宋体" w:hAnsi="宋体" w:eastAsia="宋体"/>
          <w:b/>
          <w:bCs/>
          <w:color w:val="auto"/>
          <w:sz w:val="24"/>
          <w:szCs w:val="24"/>
        </w:rPr>
        <w:t xml:space="preserve">  磋商响应文件格式</w:t>
      </w:r>
      <w:r>
        <w:rPr>
          <w:b/>
          <w:bCs/>
          <w:color w:val="auto"/>
          <w:sz w:val="24"/>
          <w:szCs w:val="24"/>
        </w:rPr>
        <w:tab/>
      </w:r>
      <w:r>
        <w:rPr>
          <w:b/>
          <w:bCs/>
          <w:color w:val="auto"/>
          <w:sz w:val="24"/>
          <w:szCs w:val="24"/>
        </w:rPr>
        <w:fldChar w:fldCharType="begin"/>
      </w:r>
      <w:r>
        <w:rPr>
          <w:b/>
          <w:bCs/>
          <w:color w:val="auto"/>
          <w:sz w:val="24"/>
          <w:szCs w:val="24"/>
        </w:rPr>
        <w:instrText xml:space="preserve"> PAGEREF _Toc30515 \h </w:instrText>
      </w:r>
      <w:r>
        <w:rPr>
          <w:b/>
          <w:bCs/>
          <w:color w:val="auto"/>
          <w:sz w:val="24"/>
          <w:szCs w:val="24"/>
        </w:rPr>
        <w:fldChar w:fldCharType="separate"/>
      </w:r>
      <w:r>
        <w:rPr>
          <w:b/>
          <w:bCs/>
          <w:color w:val="auto"/>
          <w:sz w:val="24"/>
          <w:szCs w:val="24"/>
        </w:rPr>
        <w:t>30</w:t>
      </w:r>
      <w:r>
        <w:rPr>
          <w:b/>
          <w:bCs/>
          <w:color w:val="auto"/>
          <w:sz w:val="24"/>
          <w:szCs w:val="24"/>
        </w:rPr>
        <w:fldChar w:fldCharType="end"/>
      </w:r>
      <w:r>
        <w:rPr>
          <w:rFonts w:hint="eastAsia" w:ascii="宋体" w:hAnsi="宋体"/>
          <w:b/>
          <w:bCs/>
          <w:caps/>
          <w:color w:val="auto"/>
          <w:sz w:val="24"/>
          <w:szCs w:val="24"/>
        </w:rPr>
        <w:fldChar w:fldCharType="end"/>
      </w:r>
    </w:p>
    <w:p>
      <w:pPr>
        <w:pStyle w:val="139"/>
        <w:tabs>
          <w:tab w:val="right" w:leader="dot" w:pos="9746"/>
        </w:tabs>
        <w:rPr>
          <w:color w:val="auto"/>
        </w:rPr>
      </w:pPr>
    </w:p>
    <w:p>
      <w:pPr>
        <w:ind w:firstLine="1365" w:firstLineChars="650"/>
        <w:jc w:val="left"/>
        <w:rPr>
          <w:rFonts w:hint="eastAsia" w:ascii="宋体" w:hAnsi="宋体"/>
          <w:caps/>
          <w:color w:val="auto"/>
        </w:rPr>
      </w:pPr>
      <w:r>
        <w:rPr>
          <w:rFonts w:hint="eastAsia" w:ascii="宋体" w:hAnsi="宋体"/>
          <w:caps/>
          <w:color w:val="auto"/>
        </w:rPr>
        <w:fldChar w:fldCharType="end"/>
      </w:r>
    </w:p>
    <w:p>
      <w:pPr>
        <w:ind w:firstLine="1566" w:firstLineChars="650"/>
        <w:jc w:val="left"/>
        <w:rPr>
          <w:rFonts w:hint="eastAsia" w:ascii="宋体" w:hAnsi="宋体"/>
          <w:b/>
          <w:caps/>
          <w:color w:val="auto"/>
          <w:sz w:val="24"/>
        </w:rPr>
      </w:pPr>
    </w:p>
    <w:p>
      <w:pPr>
        <w:ind w:firstLine="1566" w:firstLineChars="650"/>
        <w:jc w:val="left"/>
        <w:rPr>
          <w:rFonts w:hint="eastAsia" w:ascii="宋体" w:hAnsi="宋体"/>
          <w:b/>
          <w:caps/>
          <w:color w:val="auto"/>
          <w:sz w:val="24"/>
        </w:rPr>
      </w:pPr>
    </w:p>
    <w:p>
      <w:pPr>
        <w:rPr>
          <w:rFonts w:hint="eastAsia" w:ascii="宋体" w:hAnsi="宋体"/>
          <w:b/>
          <w:caps/>
          <w:color w:val="auto"/>
          <w:sz w:val="24"/>
          <w:lang w:bidi="ar"/>
        </w:rPr>
        <w:sectPr>
          <w:headerReference r:id="rId7" w:type="default"/>
          <w:footerReference r:id="rId8" w:type="default"/>
          <w:pgSz w:w="11906" w:h="16838"/>
          <w:pgMar w:top="1440" w:right="1080" w:bottom="1440" w:left="1080" w:header="851" w:footer="992" w:gutter="0"/>
          <w:pgNumType w:start="1"/>
          <w:cols w:space="720" w:num="1"/>
          <w:rtlGutter w:val="1"/>
          <w:docGrid w:type="lines" w:linePitch="292" w:charSpace="0"/>
        </w:sectPr>
      </w:pPr>
    </w:p>
    <w:p>
      <w:pPr>
        <w:pStyle w:val="4"/>
        <w:bidi w:val="0"/>
        <w:rPr>
          <w:rFonts w:hint="eastAsia"/>
          <w:color w:val="auto"/>
        </w:rPr>
      </w:pPr>
      <w:bookmarkStart w:id="6" w:name="_Toc22080"/>
      <w:bookmarkEnd w:id="6"/>
      <w:bookmarkStart w:id="7" w:name="_Toc20678"/>
      <w:bookmarkEnd w:id="7"/>
      <w:bookmarkStart w:id="8" w:name="_Toc475954178"/>
      <w:bookmarkStart w:id="9" w:name="_Toc10745"/>
      <w:bookmarkStart w:id="10" w:name="_Toc449"/>
      <w:r>
        <w:rPr>
          <w:rFonts w:hint="eastAsia"/>
          <w:color w:val="auto"/>
        </w:rPr>
        <w:t>第一部分  竞争性磋商公告</w:t>
      </w:r>
    </w:p>
    <w:p>
      <w:pPr>
        <w:keepNext w:val="0"/>
        <w:keepLines w:val="0"/>
        <w:pageBreakBefore w:val="0"/>
        <w:widowControl/>
        <w:shd w:val="clear" w:color="auto" w:fill="FFFFFF"/>
        <w:tabs>
          <w:tab w:val="left" w:pos="840"/>
        </w:tabs>
        <w:kinsoku/>
        <w:wordWrap/>
        <w:overflowPunct/>
        <w:topLinePunct w:val="0"/>
        <w:autoSpaceDE/>
        <w:autoSpaceDN/>
        <w:bidi w:val="0"/>
        <w:spacing w:beforeAutospacing="0" w:afterAutospacing="0" w:line="360" w:lineRule="auto"/>
        <w:jc w:val="center"/>
        <w:rPr>
          <w:rFonts w:hint="eastAsia" w:ascii="宋体" w:hAnsi="宋体"/>
          <w:b/>
          <w:color w:val="auto"/>
          <w:kern w:val="0"/>
          <w:sz w:val="24"/>
          <w:szCs w:val="24"/>
          <w:shd w:val="clear" w:color="auto" w:fill="FFFFFF"/>
          <w:lang w:eastAsia="zh-CN" w:bidi="ar"/>
        </w:rPr>
      </w:pPr>
      <w:r>
        <w:rPr>
          <w:rFonts w:hint="eastAsia" w:ascii="宋体" w:hAnsi="宋体"/>
          <w:b/>
          <w:color w:val="auto"/>
          <w:kern w:val="0"/>
          <w:sz w:val="24"/>
          <w:szCs w:val="24"/>
          <w:shd w:val="clear" w:color="auto" w:fill="FFFFFF"/>
          <w:lang w:eastAsia="zh-CN" w:bidi="ar"/>
        </w:rPr>
        <w:t>邹城市看庄镇前圪村卫生室医疗设备采购项目</w:t>
      </w:r>
      <w:r>
        <w:rPr>
          <w:rFonts w:hint="eastAsia" w:ascii="宋体" w:hAnsi="宋体"/>
          <w:b/>
          <w:color w:val="auto"/>
          <w:kern w:val="16"/>
          <w:sz w:val="24"/>
          <w:szCs w:val="24"/>
          <w:shd w:val="clear" w:color="auto" w:fill="FFFFFF"/>
          <w:lang w:bidi="ar"/>
        </w:rPr>
        <w:t>竞争性磋商公告</w:t>
      </w:r>
      <w:r>
        <w:rPr>
          <w:rFonts w:hint="eastAsia" w:ascii="宋体" w:hAnsi="宋体"/>
          <w:b/>
          <w:color w:val="auto"/>
          <w:sz w:val="24"/>
          <w:szCs w:val="24"/>
          <w:shd w:val="clear" w:color="auto" w:fill="FFFFFF"/>
          <w:lang w:bidi="ar"/>
        </w:rPr>
        <w:t xml:space="preserve"> </w:t>
      </w:r>
    </w:p>
    <w:p>
      <w:pPr>
        <w:keepNext w:val="0"/>
        <w:keepLines w:val="0"/>
        <w:pageBreakBefore w:val="0"/>
        <w:widowControl/>
        <w:shd w:val="clear" w:color="auto" w:fill="FFFFFF"/>
        <w:tabs>
          <w:tab w:val="left" w:pos="840"/>
        </w:tabs>
        <w:kinsoku/>
        <w:wordWrap/>
        <w:overflowPunct/>
        <w:topLinePunct w:val="0"/>
        <w:autoSpaceDE/>
        <w:autoSpaceDN/>
        <w:bidi w:val="0"/>
        <w:spacing w:beforeAutospacing="0" w:afterAutospacing="0" w:line="420" w:lineRule="exact"/>
        <w:ind w:firstLine="422" w:firstLineChars="200"/>
        <w:jc w:val="left"/>
        <w:rPr>
          <w:rFonts w:hint="eastAsia" w:ascii="宋体" w:hAnsi="宋体" w:eastAsia="宋体"/>
          <w:b/>
          <w:color w:val="auto"/>
          <w:sz w:val="21"/>
          <w:szCs w:val="21"/>
          <w:shd w:val="clear" w:color="auto" w:fill="FFFFFF"/>
          <w:lang w:bidi="ar"/>
        </w:rPr>
      </w:pPr>
      <w:r>
        <w:rPr>
          <w:rFonts w:hint="eastAsia" w:ascii="宋体" w:hAnsi="宋体" w:eastAsia="宋体"/>
          <w:b/>
          <w:color w:val="auto"/>
          <w:sz w:val="21"/>
          <w:szCs w:val="21"/>
          <w:shd w:val="clear" w:color="auto" w:fill="FFFFFF"/>
          <w:lang w:bidi="ar"/>
        </w:rPr>
        <w:t>一、采购人：</w:t>
      </w:r>
      <w:r>
        <w:rPr>
          <w:rFonts w:hint="eastAsia" w:ascii="宋体" w:hAnsi="宋体" w:eastAsia="宋体"/>
          <w:b/>
          <w:color w:val="auto"/>
          <w:sz w:val="21"/>
          <w:szCs w:val="21"/>
          <w:shd w:val="clear" w:color="auto" w:fill="FFFFFF"/>
          <w:lang w:eastAsia="zh-CN" w:bidi="ar"/>
        </w:rPr>
        <w:t>邹城市看庄镇人民政府</w:t>
      </w:r>
    </w:p>
    <w:p>
      <w:pPr>
        <w:keepNext w:val="0"/>
        <w:keepLines w:val="0"/>
        <w:pageBreakBefore w:val="0"/>
        <w:kinsoku/>
        <w:wordWrap/>
        <w:overflowPunct/>
        <w:topLinePunct w:val="0"/>
        <w:autoSpaceDE/>
        <w:autoSpaceDN/>
        <w:bidi w:val="0"/>
        <w:spacing w:beforeAutospacing="0" w:afterAutospacing="0" w:line="420" w:lineRule="exact"/>
        <w:ind w:firstLine="422" w:firstLineChars="200"/>
        <w:rPr>
          <w:rFonts w:hint="eastAsia" w:ascii="宋体" w:hAnsi="宋体" w:eastAsia="宋体"/>
          <w:b/>
          <w:color w:val="auto"/>
          <w:sz w:val="21"/>
          <w:szCs w:val="21"/>
          <w:lang w:bidi="ar"/>
        </w:rPr>
      </w:pPr>
      <w:r>
        <w:rPr>
          <w:rFonts w:hint="eastAsia" w:ascii="宋体" w:hAnsi="宋体" w:eastAsia="宋体"/>
          <w:b/>
          <w:color w:val="auto"/>
          <w:sz w:val="21"/>
          <w:szCs w:val="21"/>
          <w:lang w:bidi="ar"/>
        </w:rPr>
        <w:t>二、采购项目名称：</w:t>
      </w:r>
      <w:r>
        <w:rPr>
          <w:rFonts w:hint="eastAsia" w:ascii="宋体" w:hAnsi="宋体" w:eastAsia="宋体"/>
          <w:b/>
          <w:color w:val="auto"/>
          <w:sz w:val="21"/>
          <w:szCs w:val="21"/>
          <w:lang w:eastAsia="zh-CN" w:bidi="ar"/>
        </w:rPr>
        <w:t>邹城市看庄镇前圪村卫生室医疗设备采购项目</w:t>
      </w:r>
    </w:p>
    <w:p>
      <w:pPr>
        <w:keepNext w:val="0"/>
        <w:keepLines w:val="0"/>
        <w:pageBreakBefore w:val="0"/>
        <w:kinsoku/>
        <w:wordWrap/>
        <w:overflowPunct/>
        <w:topLinePunct w:val="0"/>
        <w:autoSpaceDE/>
        <w:autoSpaceDN/>
        <w:bidi w:val="0"/>
        <w:spacing w:beforeAutospacing="0" w:afterAutospacing="0" w:line="420" w:lineRule="exact"/>
        <w:ind w:firstLine="422" w:firstLineChars="200"/>
        <w:rPr>
          <w:rFonts w:hint="eastAsia" w:ascii="宋体" w:hAnsi="宋体" w:eastAsia="宋体"/>
          <w:b/>
          <w:color w:val="auto"/>
          <w:sz w:val="21"/>
          <w:szCs w:val="21"/>
          <w:lang w:bidi="ar"/>
        </w:rPr>
      </w:pPr>
      <w:r>
        <w:rPr>
          <w:rFonts w:hint="eastAsia" w:ascii="宋体" w:hAnsi="宋体" w:eastAsia="宋体"/>
          <w:b/>
          <w:color w:val="auto"/>
          <w:sz w:val="21"/>
          <w:szCs w:val="21"/>
          <w:lang w:bidi="ar"/>
        </w:rPr>
        <w:t>三、采购项目编号</w:t>
      </w:r>
      <w:r>
        <w:rPr>
          <w:rFonts w:hint="eastAsia" w:ascii="宋体" w:hAnsi="宋体" w:eastAsia="宋体"/>
          <w:color w:val="auto"/>
          <w:sz w:val="21"/>
          <w:szCs w:val="21"/>
          <w:lang w:bidi="ar"/>
        </w:rPr>
        <w:t>：</w:t>
      </w:r>
      <w:r>
        <w:rPr>
          <w:rFonts w:hint="eastAsia" w:ascii="宋体" w:hAnsi="宋体" w:eastAsia="宋体"/>
          <w:b/>
          <w:color w:val="auto"/>
          <w:sz w:val="21"/>
          <w:szCs w:val="21"/>
          <w:lang w:eastAsia="zh-CN" w:bidi="ar"/>
        </w:rPr>
        <w:t>SXYXGS-2023-002</w:t>
      </w:r>
    </w:p>
    <w:p>
      <w:pPr>
        <w:keepNext w:val="0"/>
        <w:keepLines w:val="0"/>
        <w:pageBreakBefore w:val="0"/>
        <w:widowControl/>
        <w:shd w:val="clear" w:color="auto" w:fill="FFFFFF"/>
        <w:tabs>
          <w:tab w:val="left" w:pos="840"/>
        </w:tabs>
        <w:kinsoku/>
        <w:wordWrap/>
        <w:overflowPunct/>
        <w:topLinePunct w:val="0"/>
        <w:autoSpaceDE/>
        <w:autoSpaceDN/>
        <w:bidi w:val="0"/>
        <w:spacing w:beforeAutospacing="0" w:afterAutospacing="0" w:line="420" w:lineRule="exact"/>
        <w:ind w:firstLine="422" w:firstLineChars="200"/>
        <w:jc w:val="left"/>
        <w:rPr>
          <w:rFonts w:hint="eastAsia" w:ascii="宋体" w:hAnsi="宋体" w:eastAsia="宋体"/>
          <w:b/>
          <w:color w:val="auto"/>
          <w:kern w:val="0"/>
          <w:sz w:val="21"/>
          <w:szCs w:val="21"/>
          <w:shd w:val="clear" w:color="auto" w:fill="FFFFFF"/>
          <w:lang w:bidi="ar"/>
        </w:rPr>
      </w:pPr>
      <w:r>
        <w:rPr>
          <w:rFonts w:hint="eastAsia" w:ascii="宋体" w:hAnsi="宋体" w:eastAsia="宋体"/>
          <w:b/>
          <w:color w:val="auto"/>
          <w:kern w:val="0"/>
          <w:sz w:val="21"/>
          <w:szCs w:val="21"/>
          <w:shd w:val="clear" w:color="auto" w:fill="FFFFFF"/>
          <w:lang w:bidi="ar"/>
        </w:rPr>
        <w:t>四、采购内容：</w:t>
      </w:r>
    </w:p>
    <w:p>
      <w:pPr>
        <w:keepNext w:val="0"/>
        <w:keepLines w:val="0"/>
        <w:pageBreakBefore w:val="0"/>
        <w:widowControl/>
        <w:shd w:val="clear" w:color="auto" w:fill="FFFFFF"/>
        <w:tabs>
          <w:tab w:val="left" w:pos="840"/>
        </w:tabs>
        <w:kinsoku/>
        <w:wordWrap/>
        <w:overflowPunct/>
        <w:topLinePunct w:val="0"/>
        <w:autoSpaceDE/>
        <w:autoSpaceDN/>
        <w:bidi w:val="0"/>
        <w:spacing w:beforeAutospacing="0" w:afterAutospacing="0" w:line="420" w:lineRule="exact"/>
        <w:ind w:firstLine="420" w:firstLineChars="200"/>
        <w:jc w:val="left"/>
        <w:rPr>
          <w:rFonts w:hint="eastAsia" w:ascii="宋体" w:hAnsi="宋体" w:eastAsia="宋体"/>
          <w:color w:val="auto"/>
          <w:sz w:val="21"/>
          <w:szCs w:val="21"/>
          <w:lang w:val="zh-CN"/>
        </w:rPr>
      </w:pPr>
      <w:r>
        <w:rPr>
          <w:rFonts w:hint="eastAsia" w:ascii="宋体" w:hAnsi="宋体" w:eastAsia="宋体"/>
          <w:color w:val="auto"/>
          <w:sz w:val="21"/>
          <w:szCs w:val="21"/>
          <w:lang w:val="zh-CN"/>
        </w:rPr>
        <w:t>邹城市看庄镇前圪村卫生室医疗设备采购项目，主要内容包括医疗用品及设施的采购。</w:t>
      </w:r>
      <w:r>
        <w:rPr>
          <w:rFonts w:hint="eastAsia" w:ascii="宋体" w:hAnsi="宋体" w:eastAsia="宋体"/>
          <w:color w:val="auto"/>
          <w:sz w:val="21"/>
          <w:szCs w:val="21"/>
          <w:shd w:val="clear" w:color="auto" w:fill="FFFFFF"/>
          <w:lang w:bidi="ar"/>
        </w:rPr>
        <w:t>具体技术参数及规格</w:t>
      </w:r>
      <w:r>
        <w:rPr>
          <w:rFonts w:hint="eastAsia" w:ascii="宋体" w:hAnsi="宋体" w:eastAsia="宋体"/>
          <w:color w:val="auto"/>
          <w:kern w:val="0"/>
          <w:sz w:val="21"/>
          <w:szCs w:val="21"/>
          <w:shd w:val="clear" w:color="auto" w:fill="FFFFFF"/>
          <w:lang w:bidi="ar"/>
        </w:rPr>
        <w:t>详见第四部分采购内容及要求</w:t>
      </w:r>
      <w:r>
        <w:rPr>
          <w:rFonts w:hint="eastAsia" w:ascii="宋体" w:hAnsi="宋体" w:eastAsia="宋体"/>
          <w:color w:val="auto"/>
          <w:sz w:val="21"/>
          <w:szCs w:val="21"/>
          <w:shd w:val="clear" w:color="auto" w:fill="FFFFFF"/>
          <w:lang w:bidi="ar"/>
        </w:rPr>
        <w:t>。</w:t>
      </w:r>
    </w:p>
    <w:p>
      <w:pPr>
        <w:keepNext w:val="0"/>
        <w:keepLines w:val="0"/>
        <w:pageBreakBefore w:val="0"/>
        <w:widowControl/>
        <w:shd w:val="clear" w:color="auto" w:fill="FFFFFF"/>
        <w:tabs>
          <w:tab w:val="left" w:pos="840"/>
        </w:tabs>
        <w:kinsoku/>
        <w:wordWrap/>
        <w:overflowPunct/>
        <w:topLinePunct w:val="0"/>
        <w:autoSpaceDE/>
        <w:autoSpaceDN/>
        <w:bidi w:val="0"/>
        <w:spacing w:beforeAutospacing="0" w:afterAutospacing="0" w:line="420" w:lineRule="exact"/>
        <w:ind w:firstLine="420" w:firstLineChars="200"/>
        <w:jc w:val="left"/>
        <w:rPr>
          <w:rFonts w:hint="eastAsia" w:ascii="宋体" w:hAnsi="宋体" w:eastAsia="宋体"/>
          <w:color w:val="auto"/>
          <w:kern w:val="0"/>
          <w:sz w:val="21"/>
          <w:szCs w:val="21"/>
          <w:shd w:val="clear" w:color="auto" w:fill="FFFFFF"/>
          <w:lang w:bidi="ar"/>
        </w:rPr>
      </w:pPr>
      <w:r>
        <w:rPr>
          <w:rFonts w:hint="eastAsia" w:ascii="宋体" w:hAnsi="宋体" w:eastAsia="宋体"/>
          <w:color w:val="auto"/>
          <w:kern w:val="0"/>
          <w:sz w:val="21"/>
          <w:szCs w:val="21"/>
          <w:shd w:val="clear" w:color="auto" w:fill="FFFFFF"/>
          <w:lang w:bidi="ar"/>
        </w:rPr>
        <w:t>采购预算</w:t>
      </w:r>
      <w:r>
        <w:rPr>
          <w:rFonts w:hint="eastAsia" w:ascii="宋体" w:hAnsi="宋体" w:eastAsia="宋体"/>
          <w:color w:val="auto"/>
          <w:sz w:val="21"/>
          <w:szCs w:val="21"/>
          <w:shd w:val="clear" w:color="auto" w:fill="FFFFFF"/>
          <w:lang w:bidi="ar"/>
        </w:rPr>
        <w:t>：</w:t>
      </w:r>
      <w:r>
        <w:rPr>
          <w:rFonts w:hint="eastAsia" w:ascii="宋体" w:hAnsi="宋体" w:eastAsia="宋体"/>
          <w:color w:val="auto"/>
          <w:sz w:val="21"/>
          <w:szCs w:val="21"/>
          <w:shd w:val="clear" w:color="auto" w:fill="FFFFFF"/>
          <w:lang w:val="en-US" w:eastAsia="zh-CN" w:bidi="ar"/>
        </w:rPr>
        <w:t>12</w:t>
      </w:r>
      <w:r>
        <w:rPr>
          <w:rFonts w:hint="eastAsia" w:ascii="宋体" w:hAnsi="宋体" w:eastAsia="宋体"/>
          <w:color w:val="auto"/>
          <w:sz w:val="21"/>
          <w:szCs w:val="21"/>
          <w:shd w:val="clear" w:color="auto" w:fill="FFFFFF"/>
          <w:lang w:eastAsia="zh-CN" w:bidi="ar"/>
        </w:rPr>
        <w:t>0000</w:t>
      </w:r>
      <w:r>
        <w:rPr>
          <w:rFonts w:hint="eastAsia" w:ascii="宋体" w:hAnsi="宋体" w:eastAsia="宋体"/>
          <w:color w:val="auto"/>
          <w:sz w:val="21"/>
          <w:szCs w:val="21"/>
          <w:shd w:val="clear" w:color="auto" w:fill="FFFFFF"/>
          <w:lang w:val="en-US" w:eastAsia="zh-CN" w:bidi="ar"/>
        </w:rPr>
        <w:t>.00</w:t>
      </w:r>
      <w:r>
        <w:rPr>
          <w:rFonts w:hint="eastAsia" w:ascii="宋体" w:hAnsi="宋体" w:eastAsia="宋体"/>
          <w:color w:val="auto"/>
          <w:kern w:val="0"/>
          <w:sz w:val="21"/>
          <w:szCs w:val="21"/>
          <w:shd w:val="clear" w:color="auto" w:fill="FFFFFF"/>
          <w:lang w:bidi="ar"/>
        </w:rPr>
        <w:t>元。</w:t>
      </w:r>
    </w:p>
    <w:p>
      <w:pPr>
        <w:pStyle w:val="60"/>
        <w:keepNext w:val="0"/>
        <w:keepLines w:val="0"/>
        <w:pageBreakBefore w:val="0"/>
        <w:shd w:val="clear" w:color="auto" w:fill="FFFFFF"/>
        <w:kinsoku/>
        <w:wordWrap/>
        <w:overflowPunct/>
        <w:topLinePunct w:val="0"/>
        <w:autoSpaceDE/>
        <w:autoSpaceDN/>
        <w:bidi w:val="0"/>
        <w:spacing w:beforeAutospacing="0" w:afterAutospacing="0" w:line="420" w:lineRule="exact"/>
        <w:ind w:firstLine="422" w:firstLineChars="200"/>
        <w:rPr>
          <w:rFonts w:hint="eastAsia" w:ascii="宋体" w:hAnsi="宋体" w:eastAsia="宋体"/>
          <w:b/>
          <w:color w:val="auto"/>
          <w:kern w:val="2"/>
          <w:sz w:val="21"/>
          <w:szCs w:val="21"/>
          <w:shd w:val="clear" w:color="auto" w:fill="FFFFFF"/>
        </w:rPr>
      </w:pPr>
      <w:r>
        <w:rPr>
          <w:rFonts w:hint="eastAsia" w:ascii="宋体" w:hAnsi="宋体" w:eastAsia="宋体"/>
          <w:b/>
          <w:color w:val="auto"/>
          <w:kern w:val="2"/>
          <w:sz w:val="21"/>
          <w:szCs w:val="21"/>
          <w:shd w:val="clear" w:color="auto" w:fill="FFFFFF"/>
        </w:rPr>
        <w:t>五、供应商资格要求</w:t>
      </w:r>
      <w:r>
        <w:rPr>
          <w:rFonts w:hint="eastAsia" w:ascii="宋体" w:hAnsi="宋体" w:eastAsia="宋体"/>
          <w:color w:val="auto"/>
          <w:sz w:val="21"/>
          <w:szCs w:val="21"/>
          <w:shd w:val="clear" w:color="auto" w:fill="FFFFFF"/>
        </w:rPr>
        <w:t>：</w:t>
      </w:r>
    </w:p>
    <w:p>
      <w:pPr>
        <w:keepNext w:val="0"/>
        <w:keepLines w:val="0"/>
        <w:pageBreakBefore w:val="0"/>
        <w:kinsoku/>
        <w:wordWrap/>
        <w:overflowPunct/>
        <w:topLinePunct w:val="0"/>
        <w:autoSpaceDE/>
        <w:autoSpaceDN/>
        <w:bidi w:val="0"/>
        <w:spacing w:beforeAutospacing="0" w:afterAutospacing="0" w:line="420" w:lineRule="exact"/>
        <w:ind w:firstLine="420" w:firstLineChars="200"/>
        <w:rPr>
          <w:rFonts w:hint="eastAsia" w:ascii="宋体" w:hAnsi="宋体" w:eastAsia="宋体"/>
          <w:bCs/>
          <w:color w:val="auto"/>
          <w:sz w:val="21"/>
          <w:szCs w:val="21"/>
        </w:rPr>
      </w:pPr>
      <w:r>
        <w:rPr>
          <w:rFonts w:hint="eastAsia" w:ascii="宋体" w:hAnsi="宋体" w:eastAsia="宋体"/>
          <w:bCs/>
          <w:color w:val="auto"/>
          <w:sz w:val="21"/>
          <w:szCs w:val="21"/>
        </w:rPr>
        <w:t>1、具备《政府采购法》第二十二条规定的条件。</w:t>
      </w:r>
    </w:p>
    <w:p>
      <w:pPr>
        <w:keepNext w:val="0"/>
        <w:keepLines w:val="0"/>
        <w:pageBreakBefore w:val="0"/>
        <w:kinsoku/>
        <w:wordWrap/>
        <w:overflowPunct/>
        <w:topLinePunct w:val="0"/>
        <w:autoSpaceDE/>
        <w:autoSpaceDN/>
        <w:bidi w:val="0"/>
        <w:spacing w:beforeAutospacing="0" w:afterAutospacing="0" w:line="420" w:lineRule="exact"/>
        <w:ind w:firstLine="420" w:firstLineChars="200"/>
        <w:rPr>
          <w:rFonts w:hint="eastAsia" w:ascii="宋体" w:hAnsi="宋体" w:eastAsia="宋体"/>
          <w:bCs/>
          <w:color w:val="auto"/>
          <w:sz w:val="21"/>
          <w:szCs w:val="21"/>
        </w:rPr>
      </w:pPr>
      <w:r>
        <w:rPr>
          <w:rFonts w:hint="eastAsia" w:ascii="宋体" w:hAnsi="宋体" w:eastAsia="宋体"/>
          <w:bCs/>
          <w:color w:val="auto"/>
          <w:sz w:val="21"/>
          <w:szCs w:val="21"/>
        </w:rPr>
        <w:t>（1）具有独立承担民事责任的能力；</w:t>
      </w:r>
    </w:p>
    <w:p>
      <w:pPr>
        <w:keepNext w:val="0"/>
        <w:keepLines w:val="0"/>
        <w:pageBreakBefore w:val="0"/>
        <w:kinsoku/>
        <w:wordWrap/>
        <w:overflowPunct/>
        <w:topLinePunct w:val="0"/>
        <w:autoSpaceDE/>
        <w:autoSpaceDN/>
        <w:bidi w:val="0"/>
        <w:spacing w:beforeAutospacing="0" w:afterAutospacing="0" w:line="420" w:lineRule="exact"/>
        <w:ind w:firstLine="420" w:firstLineChars="200"/>
        <w:rPr>
          <w:rFonts w:hint="eastAsia" w:ascii="宋体" w:hAnsi="宋体" w:eastAsia="宋体"/>
          <w:bCs/>
          <w:color w:val="auto"/>
          <w:sz w:val="21"/>
          <w:szCs w:val="21"/>
        </w:rPr>
      </w:pPr>
      <w:r>
        <w:rPr>
          <w:rFonts w:hint="eastAsia" w:ascii="宋体" w:hAnsi="宋体" w:eastAsia="宋体"/>
          <w:bCs/>
          <w:color w:val="auto"/>
          <w:sz w:val="21"/>
          <w:szCs w:val="21"/>
        </w:rPr>
        <w:t>（2）具有良好的商业信誉和健全的财务会计制度；</w:t>
      </w:r>
    </w:p>
    <w:p>
      <w:pPr>
        <w:keepNext w:val="0"/>
        <w:keepLines w:val="0"/>
        <w:pageBreakBefore w:val="0"/>
        <w:kinsoku/>
        <w:wordWrap/>
        <w:overflowPunct/>
        <w:topLinePunct w:val="0"/>
        <w:autoSpaceDE/>
        <w:autoSpaceDN/>
        <w:bidi w:val="0"/>
        <w:spacing w:beforeAutospacing="0" w:afterAutospacing="0" w:line="420" w:lineRule="exact"/>
        <w:ind w:firstLine="420" w:firstLineChars="200"/>
        <w:rPr>
          <w:rFonts w:hint="eastAsia" w:ascii="宋体" w:hAnsi="宋体" w:eastAsia="宋体"/>
          <w:bCs/>
          <w:color w:val="auto"/>
          <w:sz w:val="21"/>
          <w:szCs w:val="21"/>
        </w:rPr>
      </w:pPr>
      <w:r>
        <w:rPr>
          <w:rFonts w:hint="eastAsia" w:ascii="宋体" w:hAnsi="宋体" w:eastAsia="宋体"/>
          <w:bCs/>
          <w:color w:val="auto"/>
          <w:sz w:val="21"/>
          <w:szCs w:val="21"/>
        </w:rPr>
        <w:t>（3）具有履行合同所必需的设备和专业技术能力；</w:t>
      </w:r>
    </w:p>
    <w:p>
      <w:pPr>
        <w:keepNext w:val="0"/>
        <w:keepLines w:val="0"/>
        <w:pageBreakBefore w:val="0"/>
        <w:kinsoku/>
        <w:wordWrap/>
        <w:overflowPunct/>
        <w:topLinePunct w:val="0"/>
        <w:autoSpaceDE/>
        <w:autoSpaceDN/>
        <w:bidi w:val="0"/>
        <w:spacing w:beforeAutospacing="0" w:afterAutospacing="0" w:line="420" w:lineRule="exact"/>
        <w:ind w:firstLine="420" w:firstLineChars="200"/>
        <w:rPr>
          <w:rFonts w:hint="eastAsia" w:ascii="宋体" w:hAnsi="宋体" w:eastAsia="宋体"/>
          <w:bCs/>
          <w:color w:val="auto"/>
          <w:sz w:val="21"/>
          <w:szCs w:val="21"/>
        </w:rPr>
      </w:pPr>
      <w:r>
        <w:rPr>
          <w:rFonts w:hint="eastAsia" w:ascii="宋体" w:hAnsi="宋体" w:eastAsia="宋体"/>
          <w:bCs/>
          <w:color w:val="auto"/>
          <w:sz w:val="21"/>
          <w:szCs w:val="21"/>
        </w:rPr>
        <w:t>（4）有依法缴纳税收和社会保障资金的良好记录；</w:t>
      </w:r>
    </w:p>
    <w:p>
      <w:pPr>
        <w:keepNext w:val="0"/>
        <w:keepLines w:val="0"/>
        <w:pageBreakBefore w:val="0"/>
        <w:kinsoku/>
        <w:wordWrap/>
        <w:overflowPunct/>
        <w:topLinePunct w:val="0"/>
        <w:autoSpaceDE/>
        <w:autoSpaceDN/>
        <w:bidi w:val="0"/>
        <w:spacing w:beforeAutospacing="0" w:afterAutospacing="0" w:line="420" w:lineRule="exact"/>
        <w:ind w:firstLine="420" w:firstLineChars="200"/>
        <w:rPr>
          <w:rFonts w:hint="eastAsia" w:ascii="宋体" w:hAnsi="宋体" w:eastAsia="宋体"/>
          <w:bCs/>
          <w:color w:val="auto"/>
          <w:sz w:val="21"/>
          <w:szCs w:val="21"/>
        </w:rPr>
      </w:pPr>
      <w:r>
        <w:rPr>
          <w:rFonts w:hint="eastAsia" w:ascii="宋体" w:hAnsi="宋体" w:eastAsia="宋体"/>
          <w:bCs/>
          <w:color w:val="auto"/>
          <w:sz w:val="21"/>
          <w:szCs w:val="21"/>
        </w:rPr>
        <w:t>（5）参加政府采购活动前三年内，在经营活动中没有重大违法记录；</w:t>
      </w:r>
    </w:p>
    <w:p>
      <w:pPr>
        <w:keepNext w:val="0"/>
        <w:keepLines w:val="0"/>
        <w:pageBreakBefore w:val="0"/>
        <w:kinsoku/>
        <w:wordWrap/>
        <w:overflowPunct/>
        <w:topLinePunct w:val="0"/>
        <w:autoSpaceDE/>
        <w:autoSpaceDN/>
        <w:bidi w:val="0"/>
        <w:spacing w:beforeAutospacing="0" w:afterAutospacing="0" w:line="420" w:lineRule="exact"/>
        <w:ind w:firstLine="420" w:firstLineChars="200"/>
        <w:rPr>
          <w:rFonts w:hint="eastAsia" w:ascii="宋体" w:hAnsi="宋体" w:eastAsia="宋体"/>
          <w:bCs/>
          <w:color w:val="auto"/>
          <w:sz w:val="21"/>
          <w:szCs w:val="21"/>
        </w:rPr>
      </w:pPr>
      <w:r>
        <w:rPr>
          <w:rFonts w:hint="eastAsia" w:ascii="宋体" w:hAnsi="宋体" w:eastAsia="宋体"/>
          <w:bCs/>
          <w:color w:val="auto"/>
          <w:sz w:val="21"/>
          <w:szCs w:val="21"/>
        </w:rPr>
        <w:t>（6）法律、行政法规规定的其他条件。</w:t>
      </w:r>
    </w:p>
    <w:p>
      <w:pPr>
        <w:keepNext w:val="0"/>
        <w:keepLines w:val="0"/>
        <w:pageBreakBefore w:val="0"/>
        <w:kinsoku/>
        <w:wordWrap/>
        <w:overflowPunct/>
        <w:topLinePunct w:val="0"/>
        <w:autoSpaceDE/>
        <w:autoSpaceDN/>
        <w:bidi w:val="0"/>
        <w:spacing w:beforeAutospacing="0" w:afterAutospacing="0" w:line="420" w:lineRule="exact"/>
        <w:ind w:firstLine="422" w:firstLineChars="200"/>
        <w:rPr>
          <w:rFonts w:hint="eastAsia" w:ascii="宋体" w:hAnsi="宋体" w:eastAsia="宋体"/>
          <w:b/>
          <w:color w:val="auto"/>
          <w:sz w:val="21"/>
          <w:szCs w:val="21"/>
        </w:rPr>
      </w:pPr>
      <w:r>
        <w:rPr>
          <w:rFonts w:hint="eastAsia" w:ascii="宋体" w:hAnsi="宋体" w:eastAsia="宋体"/>
          <w:b/>
          <w:color w:val="auto"/>
          <w:sz w:val="21"/>
          <w:szCs w:val="21"/>
        </w:rPr>
        <w:t>2</w:t>
      </w:r>
      <w:r>
        <w:rPr>
          <w:rFonts w:hint="eastAsia" w:ascii="宋体" w:hAnsi="宋体" w:eastAsia="宋体"/>
          <w:b/>
          <w:color w:val="auto"/>
          <w:sz w:val="21"/>
          <w:szCs w:val="21"/>
          <w:lang w:eastAsia="zh-CN"/>
        </w:rPr>
        <w:t>、</w:t>
      </w:r>
      <w:r>
        <w:rPr>
          <w:rFonts w:hint="eastAsia" w:ascii="宋体" w:hAnsi="宋体" w:eastAsia="宋体"/>
          <w:b/>
          <w:color w:val="auto"/>
          <w:sz w:val="21"/>
          <w:szCs w:val="21"/>
        </w:rPr>
        <w:t>供应商须为国内注册具有独立法人资格，营业执照经营范围包含本项目采购范围相关内容，且能在国内合法销售并提供相应货物的生产厂家或代理商。</w:t>
      </w:r>
    </w:p>
    <w:p>
      <w:pPr>
        <w:keepNext w:val="0"/>
        <w:keepLines w:val="0"/>
        <w:pageBreakBefore w:val="0"/>
        <w:widowControl/>
        <w:kinsoku/>
        <w:wordWrap/>
        <w:overflowPunct/>
        <w:topLinePunct w:val="0"/>
        <w:autoSpaceDE/>
        <w:autoSpaceDN/>
        <w:bidi w:val="0"/>
        <w:snapToGrid w:val="0"/>
        <w:spacing w:beforeAutospacing="0" w:afterAutospacing="0" w:line="420" w:lineRule="exact"/>
        <w:ind w:firstLine="422" w:firstLineChars="200"/>
        <w:jc w:val="left"/>
        <w:rPr>
          <w:rFonts w:hint="eastAsia" w:ascii="宋体" w:hAnsi="宋体" w:eastAsia="宋体"/>
          <w:b/>
          <w:color w:val="auto"/>
          <w:sz w:val="21"/>
          <w:szCs w:val="21"/>
          <w:lang w:val="en-US" w:eastAsia="zh-CN"/>
        </w:rPr>
      </w:pPr>
      <w:r>
        <w:rPr>
          <w:rFonts w:hint="eastAsia" w:ascii="宋体" w:hAnsi="宋体" w:eastAsia="宋体"/>
          <w:b/>
          <w:color w:val="auto"/>
          <w:sz w:val="21"/>
          <w:szCs w:val="21"/>
          <w:lang w:val="en-US" w:eastAsia="zh-CN"/>
        </w:rPr>
        <w:t>3、</w:t>
      </w:r>
      <w:r>
        <w:rPr>
          <w:rFonts w:hint="eastAsia" w:ascii="宋体" w:hAnsi="宋体" w:eastAsia="宋体"/>
          <w:b/>
          <w:color w:val="auto"/>
          <w:sz w:val="21"/>
          <w:szCs w:val="21"/>
        </w:rPr>
        <w:t>供应商为生产厂家的须具有医疗器械生产许可证和医疗器械经营许可证，供应商为代理商的须具有医疗器械经营许可证或医疗器械经营备案凭证。</w:t>
      </w:r>
    </w:p>
    <w:p>
      <w:pPr>
        <w:keepNext w:val="0"/>
        <w:keepLines w:val="0"/>
        <w:pageBreakBefore w:val="0"/>
        <w:widowControl/>
        <w:kinsoku/>
        <w:wordWrap/>
        <w:overflowPunct/>
        <w:topLinePunct w:val="0"/>
        <w:autoSpaceDE/>
        <w:autoSpaceDN/>
        <w:bidi w:val="0"/>
        <w:snapToGrid w:val="0"/>
        <w:spacing w:beforeAutospacing="0" w:afterAutospacing="0" w:line="420" w:lineRule="exact"/>
        <w:ind w:firstLine="422" w:firstLineChars="200"/>
        <w:jc w:val="left"/>
        <w:rPr>
          <w:rFonts w:hint="eastAsia" w:ascii="宋体" w:hAnsi="宋体" w:eastAsia="宋体"/>
          <w:b/>
          <w:color w:val="auto"/>
          <w:sz w:val="21"/>
          <w:szCs w:val="21"/>
          <w:lang w:val="en-US" w:eastAsia="zh-CN"/>
        </w:rPr>
      </w:pPr>
      <w:r>
        <w:rPr>
          <w:rFonts w:hint="eastAsia" w:ascii="宋体" w:hAnsi="宋体" w:eastAsia="宋体"/>
          <w:b/>
          <w:color w:val="auto"/>
          <w:sz w:val="21"/>
          <w:szCs w:val="21"/>
          <w:lang w:val="en-US" w:eastAsia="zh-CN"/>
        </w:rPr>
        <w:t>4、</w:t>
      </w:r>
      <w:r>
        <w:rPr>
          <w:rFonts w:hint="eastAsia" w:ascii="宋体" w:hAnsi="宋体" w:eastAsia="宋体"/>
          <w:b/>
          <w:color w:val="auto"/>
          <w:sz w:val="21"/>
          <w:szCs w:val="21"/>
        </w:rPr>
        <w:t>响应供应商所投医疗器械须具有医疗器械注册证或备案证。</w:t>
      </w:r>
    </w:p>
    <w:p>
      <w:pPr>
        <w:keepNext w:val="0"/>
        <w:keepLines w:val="0"/>
        <w:pageBreakBefore w:val="0"/>
        <w:widowControl w:val="0"/>
        <w:tabs>
          <w:tab w:val="left" w:pos="315"/>
        </w:tabs>
        <w:kinsoku/>
        <w:wordWrap/>
        <w:overflowPunct/>
        <w:topLinePunct w:val="0"/>
        <w:autoSpaceDE/>
        <w:autoSpaceDN/>
        <w:bidi w:val="0"/>
        <w:snapToGrid/>
        <w:spacing w:beforeAutospacing="0" w:afterAutospacing="0" w:line="420" w:lineRule="exact"/>
        <w:ind w:firstLine="420" w:firstLineChars="200"/>
        <w:rPr>
          <w:rFonts w:hint="eastAsia" w:ascii="宋体" w:hAnsi="宋体" w:eastAsia="宋体"/>
          <w:b w:val="0"/>
          <w:bCs/>
          <w:color w:val="auto"/>
          <w:kern w:val="0"/>
          <w:sz w:val="21"/>
          <w:szCs w:val="21"/>
          <w:lang w:val="en-US" w:eastAsia="zh-CN"/>
        </w:rPr>
      </w:pPr>
      <w:r>
        <w:rPr>
          <w:rFonts w:hint="eastAsia" w:ascii="宋体" w:hAnsi="宋体" w:eastAsia="宋体"/>
          <w:b w:val="0"/>
          <w:bCs/>
          <w:color w:val="auto"/>
          <w:kern w:val="0"/>
          <w:sz w:val="21"/>
          <w:szCs w:val="21"/>
          <w:lang w:val="en-US" w:eastAsia="zh-CN"/>
        </w:rPr>
        <w:t>5、一个供应商只能提交一个响应文件。如果供应商之间存在下列互为关联关系（国有控股公司除外）的情形之一的，不得同时参加本项目报价（供应商须提供声明）；</w:t>
      </w:r>
    </w:p>
    <w:p>
      <w:pPr>
        <w:keepNext w:val="0"/>
        <w:keepLines w:val="0"/>
        <w:pageBreakBefore w:val="0"/>
        <w:widowControl w:val="0"/>
        <w:tabs>
          <w:tab w:val="left" w:pos="315"/>
        </w:tabs>
        <w:kinsoku/>
        <w:wordWrap/>
        <w:overflowPunct/>
        <w:topLinePunct w:val="0"/>
        <w:autoSpaceDE/>
        <w:autoSpaceDN/>
        <w:bidi w:val="0"/>
        <w:snapToGrid/>
        <w:spacing w:beforeAutospacing="0" w:afterAutospacing="0" w:line="420" w:lineRule="exact"/>
        <w:ind w:firstLine="420" w:firstLineChars="200"/>
        <w:rPr>
          <w:rFonts w:hint="eastAsia" w:ascii="宋体" w:hAnsi="宋体" w:eastAsia="宋体"/>
          <w:b w:val="0"/>
          <w:bCs/>
          <w:color w:val="auto"/>
          <w:kern w:val="0"/>
          <w:sz w:val="21"/>
          <w:szCs w:val="21"/>
          <w:lang w:val="en-US" w:eastAsia="zh-CN"/>
        </w:rPr>
      </w:pPr>
      <w:r>
        <w:rPr>
          <w:rFonts w:hint="eastAsia" w:ascii="宋体" w:hAnsi="宋体" w:eastAsia="宋体"/>
          <w:b w:val="0"/>
          <w:bCs/>
          <w:color w:val="auto"/>
          <w:kern w:val="0"/>
          <w:sz w:val="21"/>
          <w:szCs w:val="21"/>
          <w:lang w:val="en-US" w:eastAsia="zh-CN"/>
        </w:rPr>
        <w:t>5.1法定代表人为同一人的两个及两个以上法人；</w:t>
      </w:r>
    </w:p>
    <w:p>
      <w:pPr>
        <w:keepNext w:val="0"/>
        <w:keepLines w:val="0"/>
        <w:pageBreakBefore w:val="0"/>
        <w:widowControl w:val="0"/>
        <w:tabs>
          <w:tab w:val="left" w:pos="315"/>
        </w:tabs>
        <w:kinsoku/>
        <w:wordWrap/>
        <w:overflowPunct/>
        <w:topLinePunct w:val="0"/>
        <w:autoSpaceDE/>
        <w:autoSpaceDN/>
        <w:bidi w:val="0"/>
        <w:snapToGrid/>
        <w:spacing w:beforeAutospacing="0" w:afterAutospacing="0" w:line="420" w:lineRule="exact"/>
        <w:ind w:firstLine="420" w:firstLineChars="200"/>
        <w:rPr>
          <w:rFonts w:hint="eastAsia" w:ascii="宋体" w:hAnsi="宋体" w:eastAsia="宋体"/>
          <w:b w:val="0"/>
          <w:bCs/>
          <w:color w:val="auto"/>
          <w:kern w:val="0"/>
          <w:sz w:val="21"/>
          <w:szCs w:val="21"/>
          <w:lang w:val="en-US" w:eastAsia="zh-CN"/>
        </w:rPr>
      </w:pPr>
      <w:r>
        <w:rPr>
          <w:rFonts w:hint="eastAsia" w:ascii="宋体" w:hAnsi="宋体" w:eastAsia="宋体"/>
          <w:b w:val="0"/>
          <w:bCs/>
          <w:color w:val="auto"/>
          <w:kern w:val="0"/>
          <w:sz w:val="21"/>
          <w:szCs w:val="21"/>
          <w:lang w:val="en-US" w:eastAsia="zh-CN"/>
        </w:rPr>
        <w:t>5.2母公司、直接或间接持股 50%及以上的被投资公司；</w:t>
      </w:r>
    </w:p>
    <w:p>
      <w:pPr>
        <w:keepNext w:val="0"/>
        <w:keepLines w:val="0"/>
        <w:pageBreakBefore w:val="0"/>
        <w:widowControl w:val="0"/>
        <w:tabs>
          <w:tab w:val="left" w:pos="315"/>
        </w:tabs>
        <w:kinsoku/>
        <w:wordWrap/>
        <w:overflowPunct/>
        <w:topLinePunct w:val="0"/>
        <w:autoSpaceDE/>
        <w:autoSpaceDN/>
        <w:bidi w:val="0"/>
        <w:snapToGrid/>
        <w:spacing w:beforeAutospacing="0" w:afterAutospacing="0" w:line="420" w:lineRule="exact"/>
        <w:ind w:firstLine="420" w:firstLineChars="200"/>
        <w:rPr>
          <w:rFonts w:hint="eastAsia" w:ascii="宋体" w:hAnsi="宋体" w:eastAsia="宋体"/>
          <w:b w:val="0"/>
          <w:bCs/>
          <w:color w:val="auto"/>
          <w:kern w:val="0"/>
          <w:sz w:val="21"/>
          <w:szCs w:val="21"/>
          <w:lang w:val="en-US" w:eastAsia="zh-CN"/>
        </w:rPr>
      </w:pPr>
      <w:r>
        <w:rPr>
          <w:rFonts w:hint="eastAsia" w:ascii="宋体" w:hAnsi="宋体" w:eastAsia="宋体"/>
          <w:b w:val="0"/>
          <w:bCs/>
          <w:color w:val="auto"/>
          <w:kern w:val="0"/>
          <w:sz w:val="21"/>
          <w:szCs w:val="21"/>
          <w:lang w:val="en-US" w:eastAsia="zh-CN"/>
        </w:rPr>
        <w:t>5.3均为同一家母公司直接或间接持股 50%及以上的被投资公司。</w:t>
      </w:r>
    </w:p>
    <w:p>
      <w:pPr>
        <w:keepNext w:val="0"/>
        <w:keepLines w:val="0"/>
        <w:pageBreakBefore w:val="0"/>
        <w:widowControl w:val="0"/>
        <w:tabs>
          <w:tab w:val="left" w:pos="315"/>
        </w:tabs>
        <w:kinsoku/>
        <w:wordWrap/>
        <w:overflowPunct/>
        <w:topLinePunct w:val="0"/>
        <w:autoSpaceDE/>
        <w:autoSpaceDN/>
        <w:bidi w:val="0"/>
        <w:snapToGrid/>
        <w:spacing w:beforeAutospacing="0" w:afterAutospacing="0" w:line="420" w:lineRule="exact"/>
        <w:ind w:firstLine="420" w:firstLineChars="200"/>
        <w:rPr>
          <w:rFonts w:hint="eastAsia" w:ascii="宋体" w:hAnsi="宋体" w:eastAsia="宋体"/>
          <w:b w:val="0"/>
          <w:bCs/>
          <w:color w:val="auto"/>
          <w:kern w:val="0"/>
          <w:sz w:val="21"/>
          <w:szCs w:val="21"/>
          <w:lang w:val="en-US" w:eastAsia="zh-CN"/>
        </w:rPr>
      </w:pPr>
      <w:r>
        <w:rPr>
          <w:rFonts w:hint="eastAsia" w:ascii="宋体" w:hAnsi="宋体" w:eastAsia="宋体"/>
          <w:b w:val="0"/>
          <w:bCs/>
          <w:color w:val="auto"/>
          <w:kern w:val="0"/>
          <w:sz w:val="21"/>
          <w:szCs w:val="21"/>
          <w:lang w:val="en-US" w:eastAsia="zh-CN"/>
        </w:rPr>
        <w:t>6、开标之日起前三年内无不良信用记录（磋商小组通过“信用中国”“信用山东”及“中国政府采购网”查询）；</w:t>
      </w:r>
    </w:p>
    <w:p>
      <w:pPr>
        <w:keepNext w:val="0"/>
        <w:keepLines w:val="0"/>
        <w:pageBreakBefore w:val="0"/>
        <w:widowControl w:val="0"/>
        <w:tabs>
          <w:tab w:val="left" w:pos="315"/>
        </w:tabs>
        <w:kinsoku/>
        <w:wordWrap/>
        <w:overflowPunct/>
        <w:topLinePunct w:val="0"/>
        <w:autoSpaceDE/>
        <w:autoSpaceDN/>
        <w:bidi w:val="0"/>
        <w:snapToGrid/>
        <w:spacing w:beforeAutospacing="0" w:afterAutospacing="0" w:line="420" w:lineRule="exact"/>
        <w:ind w:firstLine="420" w:firstLineChars="200"/>
        <w:rPr>
          <w:rFonts w:hint="eastAsia" w:ascii="宋体" w:hAnsi="宋体" w:eastAsia="宋体"/>
          <w:b w:val="0"/>
          <w:bCs/>
          <w:color w:val="auto"/>
          <w:kern w:val="0"/>
          <w:sz w:val="21"/>
          <w:szCs w:val="21"/>
          <w:lang w:val="en-US" w:eastAsia="zh-CN"/>
        </w:rPr>
      </w:pPr>
      <w:r>
        <w:rPr>
          <w:rFonts w:hint="eastAsia" w:ascii="宋体" w:hAnsi="宋体" w:eastAsia="宋体"/>
          <w:b w:val="0"/>
          <w:bCs/>
          <w:color w:val="auto"/>
          <w:kern w:val="0"/>
          <w:sz w:val="21"/>
          <w:szCs w:val="21"/>
          <w:lang w:val="en-US" w:eastAsia="zh-CN"/>
        </w:rPr>
        <w:t>7、本项目不接受联合体报价；</w:t>
      </w:r>
    </w:p>
    <w:p>
      <w:pPr>
        <w:keepNext w:val="0"/>
        <w:keepLines w:val="0"/>
        <w:pageBreakBefore w:val="0"/>
        <w:widowControl w:val="0"/>
        <w:tabs>
          <w:tab w:val="left" w:pos="315"/>
        </w:tabs>
        <w:kinsoku/>
        <w:wordWrap/>
        <w:overflowPunct/>
        <w:topLinePunct w:val="0"/>
        <w:autoSpaceDE/>
        <w:autoSpaceDN/>
        <w:bidi w:val="0"/>
        <w:snapToGrid/>
        <w:spacing w:beforeAutospacing="0" w:afterAutospacing="0" w:line="420" w:lineRule="exact"/>
        <w:ind w:firstLine="420" w:firstLineChars="200"/>
        <w:rPr>
          <w:rFonts w:hint="eastAsia" w:ascii="宋体" w:hAnsi="宋体" w:eastAsia="宋体"/>
          <w:b w:val="0"/>
          <w:bCs/>
          <w:color w:val="auto"/>
          <w:kern w:val="0"/>
          <w:sz w:val="21"/>
          <w:szCs w:val="21"/>
          <w:lang w:val="en-US" w:eastAsia="zh-CN"/>
        </w:rPr>
      </w:pPr>
      <w:r>
        <w:rPr>
          <w:rFonts w:hint="eastAsia" w:ascii="宋体" w:hAnsi="宋体" w:eastAsia="宋体"/>
          <w:b w:val="0"/>
          <w:bCs/>
          <w:color w:val="auto"/>
          <w:kern w:val="0"/>
          <w:sz w:val="21"/>
          <w:szCs w:val="21"/>
          <w:lang w:val="en-US" w:eastAsia="zh-CN"/>
        </w:rPr>
        <w:t>8、资格审查方式：资格后审。</w:t>
      </w:r>
    </w:p>
    <w:p>
      <w:pPr>
        <w:pStyle w:val="60"/>
        <w:keepNext w:val="0"/>
        <w:keepLines w:val="0"/>
        <w:pageBreakBefore w:val="0"/>
        <w:shd w:val="clear" w:color="auto" w:fill="FFFFFF"/>
        <w:kinsoku/>
        <w:wordWrap/>
        <w:overflowPunct/>
        <w:topLinePunct w:val="0"/>
        <w:autoSpaceDE/>
        <w:autoSpaceDN/>
        <w:bidi w:val="0"/>
        <w:spacing w:beforeAutospacing="0" w:afterAutospacing="0" w:line="420" w:lineRule="exact"/>
        <w:ind w:firstLine="422" w:firstLineChars="200"/>
        <w:rPr>
          <w:rFonts w:hint="eastAsia" w:ascii="宋体" w:hAnsi="宋体" w:eastAsia="宋体"/>
          <w:b/>
          <w:color w:val="auto"/>
          <w:kern w:val="2"/>
          <w:sz w:val="21"/>
          <w:szCs w:val="21"/>
          <w:shd w:val="clear" w:color="auto" w:fill="FFFFFF"/>
        </w:rPr>
      </w:pPr>
      <w:r>
        <w:rPr>
          <w:rFonts w:hint="eastAsia" w:ascii="宋体" w:hAnsi="宋体" w:eastAsia="宋体"/>
          <w:b/>
          <w:color w:val="auto"/>
          <w:kern w:val="2"/>
          <w:sz w:val="21"/>
          <w:szCs w:val="21"/>
          <w:shd w:val="clear" w:color="auto" w:fill="FFFFFF"/>
        </w:rPr>
        <w:t>六、磋商文件的获取</w:t>
      </w:r>
      <w:r>
        <w:rPr>
          <w:rFonts w:hint="eastAsia" w:ascii="宋体" w:hAnsi="宋体" w:eastAsia="宋体"/>
          <w:color w:val="auto"/>
          <w:sz w:val="21"/>
          <w:szCs w:val="21"/>
          <w:shd w:val="clear" w:color="auto" w:fill="FFFFFF"/>
        </w:rPr>
        <w:t>：</w:t>
      </w:r>
    </w:p>
    <w:p>
      <w:pPr>
        <w:keepNext w:val="0"/>
        <w:keepLines w:val="0"/>
        <w:pageBreakBefore w:val="0"/>
        <w:widowControl/>
        <w:shd w:val="clear" w:color="auto" w:fill="FFFFFF"/>
        <w:kinsoku/>
        <w:wordWrap/>
        <w:overflowPunct/>
        <w:topLinePunct w:val="0"/>
        <w:autoSpaceDE/>
        <w:autoSpaceDN/>
        <w:bidi w:val="0"/>
        <w:spacing w:beforeAutospacing="0" w:afterAutospacing="0" w:line="420" w:lineRule="exact"/>
        <w:ind w:firstLine="420" w:firstLineChars="200"/>
        <w:jc w:val="left"/>
        <w:rPr>
          <w:rFonts w:hint="eastAsia" w:ascii="宋体" w:hAnsi="宋体" w:eastAsia="宋体"/>
          <w:bCs/>
          <w:color w:val="auto"/>
          <w:kern w:val="0"/>
          <w:sz w:val="21"/>
          <w:szCs w:val="21"/>
        </w:rPr>
      </w:pPr>
      <w:r>
        <w:rPr>
          <w:rFonts w:hint="eastAsia" w:ascii="宋体" w:hAnsi="宋体" w:eastAsia="宋体"/>
          <w:bCs/>
          <w:color w:val="auto"/>
          <w:kern w:val="0"/>
          <w:sz w:val="21"/>
          <w:szCs w:val="21"/>
        </w:rPr>
        <w:t>1、时间：</w:t>
      </w:r>
      <w:r>
        <w:rPr>
          <w:rFonts w:hint="eastAsia" w:ascii="宋体" w:hAnsi="宋体" w:eastAsia="宋体"/>
          <w:bCs/>
          <w:color w:val="auto"/>
          <w:kern w:val="0"/>
          <w:sz w:val="21"/>
          <w:szCs w:val="21"/>
          <w:lang w:eastAsia="zh-CN"/>
        </w:rPr>
        <w:t>2023</w:t>
      </w:r>
      <w:r>
        <w:rPr>
          <w:rFonts w:hint="eastAsia" w:ascii="宋体" w:hAnsi="宋体" w:eastAsia="宋体"/>
          <w:bCs/>
          <w:color w:val="auto"/>
          <w:kern w:val="0"/>
          <w:sz w:val="21"/>
          <w:szCs w:val="21"/>
        </w:rPr>
        <w:t>年</w:t>
      </w:r>
      <w:r>
        <w:rPr>
          <w:rFonts w:hint="eastAsia" w:ascii="宋体" w:hAnsi="宋体" w:eastAsia="宋体"/>
          <w:bCs/>
          <w:color w:val="auto"/>
          <w:kern w:val="0"/>
          <w:sz w:val="21"/>
          <w:szCs w:val="21"/>
          <w:lang w:val="en-US" w:eastAsia="zh-CN"/>
        </w:rPr>
        <w:t>3</w:t>
      </w:r>
      <w:r>
        <w:rPr>
          <w:rFonts w:hint="eastAsia" w:ascii="宋体" w:hAnsi="宋体" w:eastAsia="宋体"/>
          <w:bCs/>
          <w:color w:val="auto"/>
          <w:kern w:val="0"/>
          <w:sz w:val="21"/>
          <w:szCs w:val="21"/>
        </w:rPr>
        <w:t>月</w:t>
      </w:r>
      <w:r>
        <w:rPr>
          <w:rFonts w:hint="eastAsia" w:ascii="宋体" w:hAnsi="宋体"/>
          <w:bCs/>
          <w:color w:val="auto"/>
          <w:kern w:val="0"/>
          <w:sz w:val="21"/>
          <w:szCs w:val="21"/>
          <w:lang w:val="en-US" w:eastAsia="zh-CN"/>
        </w:rPr>
        <w:t>6</w:t>
      </w:r>
      <w:r>
        <w:rPr>
          <w:rFonts w:hint="eastAsia" w:ascii="宋体" w:hAnsi="宋体" w:eastAsia="宋体"/>
          <w:bCs/>
          <w:color w:val="auto"/>
          <w:kern w:val="0"/>
          <w:sz w:val="21"/>
          <w:szCs w:val="21"/>
        </w:rPr>
        <w:t>日至</w:t>
      </w:r>
      <w:r>
        <w:rPr>
          <w:rFonts w:hint="eastAsia" w:ascii="宋体" w:hAnsi="宋体" w:eastAsia="宋体"/>
          <w:bCs/>
          <w:color w:val="auto"/>
          <w:kern w:val="0"/>
          <w:sz w:val="21"/>
          <w:szCs w:val="21"/>
          <w:lang w:eastAsia="zh-CN"/>
        </w:rPr>
        <w:t>2023</w:t>
      </w:r>
      <w:r>
        <w:rPr>
          <w:rFonts w:hint="eastAsia" w:ascii="宋体" w:hAnsi="宋体" w:eastAsia="宋体"/>
          <w:bCs/>
          <w:color w:val="auto"/>
          <w:kern w:val="0"/>
          <w:sz w:val="21"/>
          <w:szCs w:val="21"/>
        </w:rPr>
        <w:t>年</w:t>
      </w:r>
      <w:r>
        <w:rPr>
          <w:rFonts w:hint="eastAsia" w:ascii="宋体" w:hAnsi="宋体" w:eastAsia="宋体"/>
          <w:bCs/>
          <w:color w:val="auto"/>
          <w:kern w:val="0"/>
          <w:sz w:val="21"/>
          <w:szCs w:val="21"/>
          <w:lang w:val="en-US" w:eastAsia="zh-CN"/>
        </w:rPr>
        <w:t>3</w:t>
      </w:r>
      <w:r>
        <w:rPr>
          <w:rFonts w:hint="eastAsia" w:ascii="宋体" w:hAnsi="宋体" w:eastAsia="宋体"/>
          <w:bCs/>
          <w:color w:val="auto"/>
          <w:kern w:val="0"/>
          <w:sz w:val="21"/>
          <w:szCs w:val="21"/>
        </w:rPr>
        <w:t>月</w:t>
      </w:r>
      <w:r>
        <w:rPr>
          <w:rFonts w:hint="eastAsia" w:ascii="宋体" w:hAnsi="宋体"/>
          <w:bCs/>
          <w:color w:val="auto"/>
          <w:kern w:val="0"/>
          <w:sz w:val="21"/>
          <w:szCs w:val="21"/>
          <w:lang w:val="en-US" w:eastAsia="zh-CN"/>
        </w:rPr>
        <w:t>17</w:t>
      </w:r>
      <w:r>
        <w:rPr>
          <w:rFonts w:hint="eastAsia" w:ascii="宋体" w:hAnsi="宋体" w:eastAsia="宋体"/>
          <w:bCs/>
          <w:color w:val="auto"/>
          <w:kern w:val="0"/>
          <w:sz w:val="21"/>
          <w:szCs w:val="21"/>
        </w:rPr>
        <w:t>日</w:t>
      </w:r>
      <w:r>
        <w:rPr>
          <w:rFonts w:hint="eastAsia" w:ascii="宋体" w:hAnsi="宋体"/>
          <w:bCs/>
          <w:color w:val="auto"/>
          <w:kern w:val="0"/>
          <w:sz w:val="21"/>
          <w:szCs w:val="21"/>
          <w:lang w:val="en-US" w:eastAsia="zh-CN"/>
        </w:rPr>
        <w:t>10</w:t>
      </w:r>
      <w:r>
        <w:rPr>
          <w:rFonts w:hint="eastAsia" w:ascii="宋体" w:hAnsi="宋体" w:eastAsia="宋体"/>
          <w:bCs/>
          <w:color w:val="auto"/>
          <w:kern w:val="0"/>
          <w:sz w:val="21"/>
          <w:szCs w:val="21"/>
          <w:lang w:val="en-US" w:eastAsia="zh-CN"/>
        </w:rPr>
        <w:t>时30分</w:t>
      </w:r>
    </w:p>
    <w:p>
      <w:pPr>
        <w:keepNext w:val="0"/>
        <w:keepLines w:val="0"/>
        <w:pageBreakBefore w:val="0"/>
        <w:widowControl/>
        <w:shd w:val="clear" w:color="auto" w:fill="FFFFFF"/>
        <w:kinsoku/>
        <w:wordWrap/>
        <w:overflowPunct/>
        <w:topLinePunct w:val="0"/>
        <w:autoSpaceDE/>
        <w:autoSpaceDN/>
        <w:bidi w:val="0"/>
        <w:spacing w:beforeAutospacing="0" w:afterAutospacing="0" w:line="420" w:lineRule="exact"/>
        <w:ind w:firstLine="420" w:firstLineChars="200"/>
        <w:jc w:val="left"/>
        <w:rPr>
          <w:rFonts w:hint="eastAsia" w:ascii="宋体" w:hAnsi="宋体" w:eastAsia="宋体"/>
          <w:bCs/>
          <w:color w:val="auto"/>
          <w:kern w:val="0"/>
          <w:sz w:val="21"/>
          <w:szCs w:val="21"/>
        </w:rPr>
      </w:pPr>
      <w:r>
        <w:rPr>
          <w:rFonts w:hint="eastAsia" w:ascii="宋体" w:hAnsi="宋体" w:eastAsia="宋体"/>
          <w:bCs/>
          <w:color w:val="auto"/>
          <w:kern w:val="0"/>
          <w:sz w:val="21"/>
          <w:szCs w:val="21"/>
        </w:rPr>
        <w:t>2、地点：</w:t>
      </w:r>
      <w:r>
        <w:rPr>
          <w:rFonts w:hint="eastAsia" w:ascii="宋体" w:hAnsi="宋体" w:eastAsia="宋体"/>
          <w:bCs/>
          <w:color w:val="auto"/>
          <w:kern w:val="0"/>
          <w:sz w:val="21"/>
          <w:szCs w:val="21"/>
          <w:lang w:eastAsia="zh-CN"/>
        </w:rPr>
        <w:t>邹城市外宣网</w:t>
      </w:r>
      <w:r>
        <w:rPr>
          <w:rFonts w:hint="eastAsia" w:ascii="宋体" w:hAnsi="宋体" w:eastAsia="宋体"/>
          <w:bCs/>
          <w:color w:val="auto"/>
          <w:kern w:val="0"/>
          <w:sz w:val="21"/>
          <w:szCs w:val="21"/>
        </w:rPr>
        <w:t>(</w:t>
      </w:r>
      <w:r>
        <w:rPr>
          <w:rFonts w:hint="eastAsia" w:ascii="宋体" w:hAnsi="宋体" w:eastAsia="宋体"/>
          <w:bCs/>
          <w:color w:val="auto"/>
          <w:kern w:val="0"/>
          <w:sz w:val="21"/>
          <w:szCs w:val="21"/>
        </w:rPr>
        <w:fldChar w:fldCharType="begin"/>
      </w:r>
      <w:r>
        <w:rPr>
          <w:rFonts w:hint="eastAsia" w:ascii="宋体" w:hAnsi="宋体" w:eastAsia="宋体"/>
          <w:bCs/>
          <w:color w:val="auto"/>
          <w:kern w:val="0"/>
          <w:sz w:val="21"/>
          <w:szCs w:val="21"/>
        </w:rPr>
        <w:instrText xml:space="preserve"> HYPERLINK "http://ggzy.jining.gov.cn/zoucheng" </w:instrText>
      </w:r>
      <w:r>
        <w:rPr>
          <w:rFonts w:hint="eastAsia" w:ascii="宋体" w:hAnsi="宋体" w:eastAsia="宋体"/>
          <w:bCs/>
          <w:color w:val="auto"/>
          <w:kern w:val="0"/>
          <w:sz w:val="21"/>
          <w:szCs w:val="21"/>
        </w:rPr>
        <w:fldChar w:fldCharType="separate"/>
      </w:r>
      <w:r>
        <w:rPr>
          <w:rFonts w:hint="eastAsia" w:ascii="宋体" w:hAnsi="宋体" w:eastAsia="宋体"/>
          <w:bCs/>
          <w:color w:val="auto"/>
          <w:kern w:val="0"/>
          <w:sz w:val="21"/>
          <w:szCs w:val="21"/>
          <w:lang w:eastAsia="zh-CN"/>
        </w:rPr>
        <w:t>http://www.mencius.gov.cn/</w:t>
      </w:r>
      <w:r>
        <w:rPr>
          <w:rFonts w:hint="eastAsia" w:ascii="宋体" w:hAnsi="宋体" w:eastAsia="宋体"/>
          <w:bCs/>
          <w:color w:val="auto"/>
          <w:kern w:val="0"/>
          <w:sz w:val="21"/>
          <w:szCs w:val="21"/>
        </w:rPr>
        <w:fldChar w:fldCharType="end"/>
      </w:r>
      <w:r>
        <w:rPr>
          <w:rFonts w:hint="eastAsia" w:ascii="宋体" w:hAnsi="宋体" w:eastAsia="宋体"/>
          <w:bCs/>
          <w:color w:val="auto"/>
          <w:kern w:val="0"/>
          <w:sz w:val="21"/>
          <w:szCs w:val="21"/>
        </w:rPr>
        <w:t>)。</w:t>
      </w:r>
    </w:p>
    <w:p>
      <w:pPr>
        <w:keepNext w:val="0"/>
        <w:keepLines w:val="0"/>
        <w:pageBreakBefore w:val="0"/>
        <w:tabs>
          <w:tab w:val="left" w:pos="315"/>
        </w:tabs>
        <w:kinsoku/>
        <w:wordWrap/>
        <w:overflowPunct/>
        <w:topLinePunct w:val="0"/>
        <w:autoSpaceDE/>
        <w:autoSpaceDN/>
        <w:bidi w:val="0"/>
        <w:spacing w:beforeAutospacing="0" w:afterAutospacing="0" w:line="420" w:lineRule="exact"/>
        <w:ind w:firstLine="420" w:firstLineChars="200"/>
        <w:rPr>
          <w:rFonts w:hint="eastAsia" w:ascii="宋体" w:hAnsi="宋体" w:eastAsia="宋体"/>
          <w:bCs/>
          <w:color w:val="auto"/>
          <w:kern w:val="0"/>
          <w:sz w:val="21"/>
          <w:szCs w:val="21"/>
        </w:rPr>
      </w:pPr>
      <w:r>
        <w:rPr>
          <w:rFonts w:hint="eastAsia" w:ascii="宋体" w:hAnsi="宋体" w:eastAsia="宋体"/>
          <w:bCs/>
          <w:color w:val="auto"/>
          <w:kern w:val="0"/>
          <w:sz w:val="21"/>
          <w:szCs w:val="21"/>
        </w:rPr>
        <w:t>3、方式：网上下载；磋商响应方不必办理报名手续，登录邹城市外宣网(http://www.mencius.gov.cn/)-乡镇采购直接点击公告下方附件下载竞争性磋商文件。</w:t>
      </w:r>
    </w:p>
    <w:p>
      <w:pPr>
        <w:keepNext w:val="0"/>
        <w:keepLines w:val="0"/>
        <w:pageBreakBefore w:val="0"/>
        <w:tabs>
          <w:tab w:val="left" w:pos="315"/>
        </w:tabs>
        <w:kinsoku/>
        <w:wordWrap/>
        <w:overflowPunct/>
        <w:topLinePunct w:val="0"/>
        <w:autoSpaceDE/>
        <w:autoSpaceDN/>
        <w:bidi w:val="0"/>
        <w:spacing w:beforeAutospacing="0" w:afterAutospacing="0" w:line="420" w:lineRule="exact"/>
        <w:ind w:firstLine="422" w:firstLineChars="200"/>
        <w:rPr>
          <w:rFonts w:hint="eastAsia" w:ascii="宋体" w:hAnsi="宋体" w:eastAsia="宋体"/>
          <w:b/>
          <w:color w:val="auto"/>
          <w:kern w:val="0"/>
          <w:sz w:val="21"/>
          <w:szCs w:val="21"/>
          <w:lang w:bidi="ar"/>
        </w:rPr>
      </w:pPr>
      <w:r>
        <w:rPr>
          <w:rFonts w:hint="eastAsia" w:ascii="宋体" w:hAnsi="宋体" w:eastAsia="宋体"/>
          <w:b/>
          <w:color w:val="auto"/>
          <w:kern w:val="0"/>
          <w:sz w:val="21"/>
          <w:szCs w:val="21"/>
          <w:lang w:bidi="ar"/>
        </w:rPr>
        <w:t>七、磋商响应文件的递交：</w:t>
      </w:r>
    </w:p>
    <w:p>
      <w:pPr>
        <w:keepNext w:val="0"/>
        <w:keepLines w:val="0"/>
        <w:pageBreakBefore w:val="0"/>
        <w:tabs>
          <w:tab w:val="left" w:pos="315"/>
        </w:tabs>
        <w:kinsoku/>
        <w:wordWrap/>
        <w:overflowPunct/>
        <w:topLinePunct w:val="0"/>
        <w:autoSpaceDE/>
        <w:autoSpaceDN/>
        <w:bidi w:val="0"/>
        <w:spacing w:beforeAutospacing="0" w:afterAutospacing="0" w:line="420" w:lineRule="exact"/>
        <w:ind w:firstLine="420" w:firstLineChars="200"/>
        <w:rPr>
          <w:rFonts w:hint="eastAsia" w:ascii="宋体" w:hAnsi="宋体" w:eastAsia="宋体"/>
          <w:bCs/>
          <w:color w:val="auto"/>
          <w:sz w:val="21"/>
          <w:szCs w:val="21"/>
          <w:lang w:bidi="ar"/>
        </w:rPr>
      </w:pPr>
      <w:r>
        <w:rPr>
          <w:rFonts w:hint="eastAsia" w:ascii="宋体" w:hAnsi="宋体" w:eastAsia="宋体"/>
          <w:bCs/>
          <w:color w:val="auto"/>
          <w:sz w:val="21"/>
          <w:szCs w:val="21"/>
          <w:lang w:bidi="ar"/>
        </w:rPr>
        <w:t>1、</w:t>
      </w:r>
      <w:r>
        <w:rPr>
          <w:rFonts w:hint="eastAsia" w:ascii="宋体" w:hAnsi="宋体" w:eastAsia="宋体"/>
          <w:color w:val="auto"/>
          <w:kern w:val="0"/>
          <w:sz w:val="21"/>
          <w:szCs w:val="21"/>
          <w:lang w:eastAsia="zh-CN" w:bidi="ar"/>
        </w:rPr>
        <w:t>邹城市看庄镇人民政府于 2023 年</w:t>
      </w:r>
      <w:r>
        <w:rPr>
          <w:rFonts w:hint="eastAsia" w:ascii="宋体" w:hAnsi="宋体"/>
          <w:color w:val="auto"/>
          <w:kern w:val="0"/>
          <w:sz w:val="21"/>
          <w:szCs w:val="21"/>
          <w:lang w:val="en-US" w:eastAsia="zh-CN" w:bidi="ar"/>
        </w:rPr>
        <w:t>3</w:t>
      </w:r>
      <w:r>
        <w:rPr>
          <w:rFonts w:hint="eastAsia" w:ascii="宋体" w:hAnsi="宋体" w:eastAsia="宋体"/>
          <w:color w:val="auto"/>
          <w:kern w:val="0"/>
          <w:sz w:val="21"/>
          <w:szCs w:val="21"/>
          <w:lang w:eastAsia="zh-CN" w:bidi="ar"/>
        </w:rPr>
        <w:t>月</w:t>
      </w:r>
      <w:r>
        <w:rPr>
          <w:rFonts w:hint="eastAsia" w:ascii="宋体" w:hAnsi="宋体"/>
          <w:color w:val="auto"/>
          <w:kern w:val="0"/>
          <w:sz w:val="21"/>
          <w:szCs w:val="21"/>
          <w:lang w:val="en-US" w:eastAsia="zh-CN" w:bidi="ar"/>
        </w:rPr>
        <w:t>17</w:t>
      </w:r>
      <w:r>
        <w:rPr>
          <w:rFonts w:hint="eastAsia" w:ascii="宋体" w:hAnsi="宋体" w:eastAsia="宋体"/>
          <w:color w:val="auto"/>
          <w:kern w:val="0"/>
          <w:sz w:val="21"/>
          <w:szCs w:val="21"/>
          <w:lang w:eastAsia="zh-CN" w:bidi="ar"/>
        </w:rPr>
        <w:t>日</w:t>
      </w:r>
      <w:r>
        <w:rPr>
          <w:rFonts w:hint="eastAsia" w:ascii="宋体" w:hAnsi="宋体"/>
          <w:color w:val="auto"/>
          <w:kern w:val="0"/>
          <w:sz w:val="21"/>
          <w:szCs w:val="21"/>
          <w:lang w:val="en-US" w:eastAsia="zh-CN" w:bidi="ar"/>
        </w:rPr>
        <w:t>10</w:t>
      </w:r>
      <w:r>
        <w:rPr>
          <w:rFonts w:hint="eastAsia" w:ascii="宋体" w:hAnsi="宋体" w:eastAsia="宋体"/>
          <w:color w:val="auto"/>
          <w:kern w:val="0"/>
          <w:sz w:val="21"/>
          <w:szCs w:val="21"/>
          <w:lang w:eastAsia="zh-CN" w:bidi="ar"/>
        </w:rPr>
        <w:t xml:space="preserve">时 </w:t>
      </w:r>
      <w:r>
        <w:rPr>
          <w:rFonts w:hint="eastAsia" w:ascii="宋体" w:hAnsi="宋体"/>
          <w:color w:val="auto"/>
          <w:kern w:val="0"/>
          <w:sz w:val="21"/>
          <w:szCs w:val="21"/>
          <w:lang w:val="en-US" w:eastAsia="zh-CN" w:bidi="ar"/>
        </w:rPr>
        <w:t>3</w:t>
      </w:r>
      <w:r>
        <w:rPr>
          <w:rFonts w:hint="eastAsia" w:ascii="宋体" w:hAnsi="宋体" w:eastAsia="宋体"/>
          <w:color w:val="auto"/>
          <w:kern w:val="0"/>
          <w:sz w:val="21"/>
          <w:szCs w:val="21"/>
          <w:lang w:eastAsia="zh-CN" w:bidi="ar"/>
        </w:rPr>
        <w:t>0 分磋商开始前在邹城市看庄镇公共资源交易管理中心开标室受理供应商磋商响应文件的递交；</w:t>
      </w:r>
    </w:p>
    <w:p>
      <w:pPr>
        <w:keepNext w:val="0"/>
        <w:keepLines w:val="0"/>
        <w:pageBreakBefore w:val="0"/>
        <w:kinsoku/>
        <w:wordWrap/>
        <w:overflowPunct/>
        <w:topLinePunct w:val="0"/>
        <w:autoSpaceDE/>
        <w:autoSpaceDN/>
        <w:bidi w:val="0"/>
        <w:spacing w:beforeAutospacing="0" w:afterAutospacing="0" w:line="420" w:lineRule="exact"/>
        <w:ind w:firstLine="420" w:firstLineChars="200"/>
        <w:rPr>
          <w:rFonts w:hint="eastAsia" w:ascii="宋体" w:hAnsi="宋体" w:eastAsia="宋体"/>
          <w:bCs/>
          <w:color w:val="auto"/>
          <w:sz w:val="21"/>
          <w:szCs w:val="21"/>
          <w:lang w:bidi="ar"/>
        </w:rPr>
      </w:pPr>
      <w:r>
        <w:rPr>
          <w:rFonts w:hint="eastAsia" w:ascii="宋体" w:hAnsi="宋体" w:eastAsia="宋体"/>
          <w:bCs/>
          <w:color w:val="auto"/>
          <w:sz w:val="21"/>
          <w:szCs w:val="21"/>
          <w:lang w:bidi="ar"/>
        </w:rPr>
        <w:t>2、逾期送达或未送达指定地点的磋商响应文件，采购人不予受理。</w:t>
      </w:r>
    </w:p>
    <w:p>
      <w:pPr>
        <w:keepNext w:val="0"/>
        <w:keepLines w:val="0"/>
        <w:pageBreakBefore w:val="0"/>
        <w:tabs>
          <w:tab w:val="left" w:pos="315"/>
        </w:tabs>
        <w:kinsoku/>
        <w:wordWrap/>
        <w:overflowPunct/>
        <w:topLinePunct w:val="0"/>
        <w:autoSpaceDE/>
        <w:autoSpaceDN/>
        <w:bidi w:val="0"/>
        <w:spacing w:beforeAutospacing="0" w:afterAutospacing="0" w:line="420" w:lineRule="exact"/>
        <w:ind w:firstLine="422" w:firstLineChars="200"/>
        <w:rPr>
          <w:rFonts w:hint="eastAsia" w:ascii="宋体" w:hAnsi="宋体" w:eastAsia="宋体"/>
          <w:b/>
          <w:color w:val="auto"/>
          <w:sz w:val="21"/>
          <w:szCs w:val="21"/>
          <w:lang w:bidi="ar"/>
        </w:rPr>
      </w:pPr>
      <w:r>
        <w:rPr>
          <w:rFonts w:hint="eastAsia" w:ascii="宋体" w:hAnsi="宋体" w:eastAsia="宋体"/>
          <w:b/>
          <w:color w:val="auto"/>
          <w:sz w:val="21"/>
          <w:szCs w:val="21"/>
          <w:lang w:bidi="ar"/>
        </w:rPr>
        <w:t>八、磋商时间与地点：</w:t>
      </w:r>
    </w:p>
    <w:p>
      <w:pPr>
        <w:keepNext w:val="0"/>
        <w:keepLines w:val="0"/>
        <w:pageBreakBefore w:val="0"/>
        <w:kinsoku/>
        <w:wordWrap/>
        <w:overflowPunct/>
        <w:topLinePunct w:val="0"/>
        <w:autoSpaceDE/>
        <w:autoSpaceDN/>
        <w:bidi w:val="0"/>
        <w:spacing w:beforeAutospacing="0" w:afterAutospacing="0" w:line="420" w:lineRule="exact"/>
        <w:ind w:firstLine="420" w:firstLineChars="200"/>
        <w:rPr>
          <w:rFonts w:hint="eastAsia" w:ascii="宋体" w:hAnsi="宋体" w:eastAsia="宋体"/>
          <w:bCs/>
          <w:color w:val="auto"/>
          <w:sz w:val="21"/>
          <w:szCs w:val="21"/>
          <w:lang w:val="en-US" w:eastAsia="zh-CN" w:bidi="ar"/>
        </w:rPr>
      </w:pPr>
      <w:r>
        <w:rPr>
          <w:rFonts w:hint="eastAsia" w:ascii="宋体" w:hAnsi="宋体" w:eastAsia="宋体"/>
          <w:bCs/>
          <w:color w:val="auto"/>
          <w:sz w:val="21"/>
          <w:szCs w:val="21"/>
          <w:lang w:val="en-US" w:eastAsia="zh-CN" w:bidi="ar"/>
        </w:rPr>
        <w:t xml:space="preserve"> </w:t>
      </w:r>
      <w:r>
        <w:rPr>
          <w:rFonts w:hint="eastAsia" w:ascii="宋体" w:hAnsi="宋体" w:eastAsia="宋体"/>
          <w:bCs/>
          <w:color w:val="auto"/>
          <w:sz w:val="21"/>
          <w:szCs w:val="21"/>
          <w:lang w:bidi="ar"/>
        </w:rPr>
        <w:t xml:space="preserve">时间： </w:t>
      </w:r>
      <w:r>
        <w:rPr>
          <w:rFonts w:hint="eastAsia" w:ascii="宋体" w:hAnsi="宋体" w:eastAsia="宋体"/>
          <w:bCs/>
          <w:color w:val="auto"/>
          <w:sz w:val="21"/>
          <w:szCs w:val="21"/>
          <w:lang w:eastAsia="zh-CN" w:bidi="ar"/>
        </w:rPr>
        <w:t>2023</w:t>
      </w:r>
      <w:r>
        <w:rPr>
          <w:rFonts w:hint="eastAsia" w:ascii="宋体" w:hAnsi="宋体" w:eastAsia="宋体"/>
          <w:bCs/>
          <w:color w:val="auto"/>
          <w:sz w:val="21"/>
          <w:szCs w:val="21"/>
          <w:lang w:bidi="ar"/>
        </w:rPr>
        <w:t xml:space="preserve"> 年</w:t>
      </w:r>
      <w:r>
        <w:rPr>
          <w:rFonts w:hint="eastAsia" w:ascii="宋体" w:hAnsi="宋体"/>
          <w:bCs/>
          <w:color w:val="auto"/>
          <w:sz w:val="21"/>
          <w:szCs w:val="21"/>
          <w:lang w:val="en-US" w:eastAsia="zh-CN" w:bidi="ar"/>
        </w:rPr>
        <w:t>3</w:t>
      </w:r>
      <w:r>
        <w:rPr>
          <w:rFonts w:hint="eastAsia" w:ascii="宋体" w:hAnsi="宋体" w:eastAsia="宋体"/>
          <w:bCs/>
          <w:color w:val="auto"/>
          <w:sz w:val="21"/>
          <w:szCs w:val="21"/>
          <w:lang w:bidi="ar"/>
        </w:rPr>
        <w:t>月</w:t>
      </w:r>
      <w:r>
        <w:rPr>
          <w:rFonts w:hint="eastAsia" w:ascii="宋体" w:hAnsi="宋体"/>
          <w:bCs/>
          <w:color w:val="auto"/>
          <w:sz w:val="21"/>
          <w:szCs w:val="21"/>
          <w:lang w:val="en-US" w:eastAsia="zh-CN" w:bidi="ar"/>
        </w:rPr>
        <w:t>17</w:t>
      </w:r>
      <w:r>
        <w:rPr>
          <w:rFonts w:hint="eastAsia" w:ascii="宋体" w:hAnsi="宋体" w:eastAsia="宋体"/>
          <w:bCs/>
          <w:color w:val="auto"/>
          <w:sz w:val="21"/>
          <w:szCs w:val="21"/>
          <w:lang w:bidi="ar"/>
        </w:rPr>
        <w:t>日</w:t>
      </w:r>
      <w:r>
        <w:rPr>
          <w:rFonts w:hint="eastAsia" w:ascii="宋体" w:hAnsi="宋体"/>
          <w:bCs/>
          <w:color w:val="auto"/>
          <w:sz w:val="21"/>
          <w:szCs w:val="21"/>
          <w:lang w:val="en-US" w:eastAsia="zh-CN" w:bidi="ar"/>
        </w:rPr>
        <w:t>10</w:t>
      </w:r>
      <w:r>
        <w:rPr>
          <w:rFonts w:hint="eastAsia" w:ascii="宋体" w:hAnsi="宋体" w:eastAsia="宋体"/>
          <w:bCs/>
          <w:color w:val="auto"/>
          <w:sz w:val="21"/>
          <w:szCs w:val="21"/>
          <w:lang w:bidi="ar"/>
        </w:rPr>
        <w:t>时</w:t>
      </w:r>
      <w:r>
        <w:rPr>
          <w:rFonts w:hint="eastAsia" w:ascii="宋体" w:hAnsi="宋体"/>
          <w:bCs/>
          <w:color w:val="auto"/>
          <w:sz w:val="21"/>
          <w:szCs w:val="21"/>
          <w:lang w:val="en-US" w:eastAsia="zh-CN" w:bidi="ar"/>
        </w:rPr>
        <w:t>30</w:t>
      </w:r>
      <w:r>
        <w:rPr>
          <w:rFonts w:hint="eastAsia" w:ascii="宋体" w:hAnsi="宋体" w:eastAsia="宋体"/>
          <w:bCs/>
          <w:color w:val="auto"/>
          <w:sz w:val="21"/>
          <w:szCs w:val="21"/>
          <w:lang w:bidi="ar"/>
        </w:rPr>
        <w:t>分（北京时间）</w:t>
      </w:r>
    </w:p>
    <w:p>
      <w:pPr>
        <w:keepNext w:val="0"/>
        <w:keepLines w:val="0"/>
        <w:pageBreakBefore w:val="0"/>
        <w:kinsoku/>
        <w:wordWrap/>
        <w:overflowPunct/>
        <w:topLinePunct w:val="0"/>
        <w:autoSpaceDE/>
        <w:autoSpaceDN/>
        <w:bidi w:val="0"/>
        <w:spacing w:beforeAutospacing="0" w:afterAutospacing="0" w:line="420" w:lineRule="exact"/>
        <w:ind w:firstLine="420" w:firstLineChars="200"/>
        <w:rPr>
          <w:rFonts w:hint="eastAsia" w:ascii="宋体" w:hAnsi="宋体" w:eastAsia="宋体"/>
          <w:bCs/>
          <w:color w:val="auto"/>
          <w:sz w:val="21"/>
          <w:szCs w:val="21"/>
          <w:lang w:val="en-US" w:eastAsia="zh-CN" w:bidi="ar"/>
        </w:rPr>
      </w:pPr>
      <w:r>
        <w:rPr>
          <w:rFonts w:hint="eastAsia" w:ascii="宋体" w:hAnsi="宋体" w:eastAsia="宋体"/>
          <w:bCs/>
          <w:color w:val="auto"/>
          <w:sz w:val="21"/>
          <w:szCs w:val="21"/>
          <w:lang w:val="en-US" w:eastAsia="zh-CN" w:bidi="ar"/>
        </w:rPr>
        <w:t xml:space="preserve"> </w:t>
      </w:r>
      <w:r>
        <w:rPr>
          <w:rFonts w:hint="eastAsia" w:ascii="宋体" w:hAnsi="宋体" w:eastAsia="宋体"/>
          <w:bCs/>
          <w:color w:val="auto"/>
          <w:sz w:val="21"/>
          <w:szCs w:val="21"/>
          <w:lang w:bidi="ar"/>
        </w:rPr>
        <w:t>地点：</w:t>
      </w:r>
      <w:r>
        <w:rPr>
          <w:rFonts w:hint="eastAsia" w:ascii="宋体" w:hAnsi="宋体" w:eastAsia="宋体"/>
          <w:bCs/>
          <w:color w:val="auto"/>
          <w:sz w:val="21"/>
          <w:szCs w:val="21"/>
          <w:lang w:eastAsia="zh-CN" w:bidi="ar"/>
        </w:rPr>
        <w:t>邹城市看庄镇为民服务中心二楼会议室</w:t>
      </w:r>
      <w:r>
        <w:rPr>
          <w:rFonts w:hint="eastAsia" w:ascii="宋体" w:hAnsi="宋体" w:eastAsia="宋体"/>
          <w:bCs/>
          <w:color w:val="auto"/>
          <w:sz w:val="21"/>
          <w:szCs w:val="21"/>
          <w:lang w:bidi="ar"/>
        </w:rPr>
        <w:t xml:space="preserve"> </w:t>
      </w:r>
    </w:p>
    <w:p>
      <w:pPr>
        <w:keepNext w:val="0"/>
        <w:keepLines w:val="0"/>
        <w:pageBreakBefore w:val="0"/>
        <w:tabs>
          <w:tab w:val="left" w:pos="315"/>
        </w:tabs>
        <w:kinsoku/>
        <w:wordWrap/>
        <w:overflowPunct/>
        <w:topLinePunct w:val="0"/>
        <w:autoSpaceDE/>
        <w:autoSpaceDN/>
        <w:bidi w:val="0"/>
        <w:spacing w:beforeAutospacing="0" w:afterAutospacing="0" w:line="420" w:lineRule="exact"/>
        <w:ind w:firstLine="422" w:firstLineChars="200"/>
        <w:rPr>
          <w:rFonts w:hint="eastAsia" w:ascii="宋体" w:hAnsi="宋体" w:eastAsia="宋体"/>
          <w:b/>
          <w:color w:val="auto"/>
          <w:kern w:val="0"/>
          <w:sz w:val="21"/>
          <w:szCs w:val="21"/>
          <w:lang w:bidi="ar"/>
        </w:rPr>
      </w:pPr>
      <w:r>
        <w:rPr>
          <w:rFonts w:hint="eastAsia" w:ascii="宋体" w:hAnsi="宋体" w:eastAsia="宋体"/>
          <w:b/>
          <w:color w:val="auto"/>
          <w:kern w:val="0"/>
          <w:sz w:val="21"/>
          <w:szCs w:val="21"/>
          <w:lang w:bidi="ar"/>
        </w:rPr>
        <w:t>九、</w:t>
      </w:r>
      <w:r>
        <w:rPr>
          <w:rFonts w:hint="eastAsia" w:ascii="宋体" w:hAnsi="宋体" w:eastAsia="宋体"/>
          <w:b/>
          <w:color w:val="auto"/>
          <w:sz w:val="21"/>
          <w:szCs w:val="21"/>
          <w:lang w:bidi="ar"/>
        </w:rPr>
        <w:t>联系方式</w:t>
      </w:r>
      <w:r>
        <w:rPr>
          <w:rFonts w:hint="eastAsia" w:ascii="宋体" w:hAnsi="宋体" w:eastAsia="宋体"/>
          <w:b/>
          <w:color w:val="auto"/>
          <w:kern w:val="0"/>
          <w:sz w:val="21"/>
          <w:szCs w:val="21"/>
          <w:lang w:bidi="ar"/>
        </w:rPr>
        <w:t>：</w:t>
      </w:r>
    </w:p>
    <w:p>
      <w:pPr>
        <w:keepNext w:val="0"/>
        <w:keepLines w:val="0"/>
        <w:pageBreakBefore w:val="0"/>
        <w:widowControl w:val="0"/>
        <w:kinsoku/>
        <w:wordWrap/>
        <w:overflowPunct/>
        <w:topLinePunct w:val="0"/>
        <w:autoSpaceDE/>
        <w:autoSpaceDN/>
        <w:bidi w:val="0"/>
        <w:snapToGrid/>
        <w:spacing w:beforeAutospacing="0" w:afterAutospacing="0" w:line="420" w:lineRule="exact"/>
        <w:ind w:firstLine="420" w:firstLineChars="200"/>
        <w:rPr>
          <w:rFonts w:hint="eastAsia" w:ascii="宋体" w:hAnsi="宋体"/>
          <w:bCs/>
          <w:color w:val="auto"/>
          <w:sz w:val="21"/>
          <w:szCs w:val="21"/>
        </w:rPr>
      </w:pPr>
      <w:r>
        <w:rPr>
          <w:rFonts w:hint="eastAsia" w:ascii="宋体" w:hAnsi="宋体"/>
          <w:bCs/>
          <w:color w:val="auto"/>
          <w:sz w:val="21"/>
          <w:szCs w:val="21"/>
        </w:rPr>
        <w:t>采 购 人：</w:t>
      </w:r>
      <w:r>
        <w:rPr>
          <w:rFonts w:hint="eastAsia" w:ascii="宋体" w:hAnsi="宋体"/>
          <w:bCs/>
          <w:color w:val="auto"/>
          <w:sz w:val="21"/>
          <w:szCs w:val="21"/>
          <w:lang w:eastAsia="zh-CN"/>
        </w:rPr>
        <w:t>邹城市看庄镇人民政府</w:t>
      </w:r>
      <w:r>
        <w:rPr>
          <w:rFonts w:hint="eastAsia" w:ascii="宋体" w:hAnsi="宋体"/>
          <w:bCs/>
          <w:color w:val="auto"/>
          <w:sz w:val="21"/>
          <w:szCs w:val="21"/>
        </w:rPr>
        <w:t xml:space="preserve"> </w:t>
      </w:r>
    </w:p>
    <w:p>
      <w:pPr>
        <w:keepNext w:val="0"/>
        <w:keepLines w:val="0"/>
        <w:pageBreakBefore w:val="0"/>
        <w:widowControl w:val="0"/>
        <w:kinsoku/>
        <w:wordWrap/>
        <w:overflowPunct/>
        <w:topLinePunct w:val="0"/>
        <w:autoSpaceDE/>
        <w:autoSpaceDN/>
        <w:bidi w:val="0"/>
        <w:snapToGrid/>
        <w:spacing w:beforeAutospacing="0" w:afterAutospacing="0" w:line="420" w:lineRule="exact"/>
        <w:ind w:firstLine="420" w:firstLineChars="200"/>
        <w:rPr>
          <w:rFonts w:hint="eastAsia" w:ascii="宋体" w:hAnsi="宋体"/>
          <w:bCs/>
          <w:color w:val="auto"/>
          <w:sz w:val="21"/>
          <w:szCs w:val="21"/>
        </w:rPr>
      </w:pPr>
      <w:r>
        <w:rPr>
          <w:rFonts w:hint="eastAsia" w:ascii="宋体" w:hAnsi="宋体"/>
          <w:bCs/>
          <w:color w:val="auto"/>
          <w:sz w:val="21"/>
          <w:szCs w:val="21"/>
        </w:rPr>
        <w:t>地    址：</w:t>
      </w:r>
      <w:r>
        <w:rPr>
          <w:rFonts w:hint="eastAsia" w:ascii="宋体" w:hAnsi="宋体"/>
          <w:bCs/>
          <w:color w:val="auto"/>
          <w:sz w:val="21"/>
          <w:szCs w:val="21"/>
          <w:lang w:eastAsia="zh-CN"/>
        </w:rPr>
        <w:t>邹城市看庄镇人民政府</w:t>
      </w:r>
    </w:p>
    <w:p>
      <w:pPr>
        <w:keepNext w:val="0"/>
        <w:keepLines w:val="0"/>
        <w:pageBreakBefore w:val="0"/>
        <w:widowControl w:val="0"/>
        <w:kinsoku/>
        <w:wordWrap/>
        <w:overflowPunct/>
        <w:topLinePunct w:val="0"/>
        <w:autoSpaceDE/>
        <w:autoSpaceDN/>
        <w:bidi w:val="0"/>
        <w:snapToGrid/>
        <w:spacing w:beforeAutospacing="0" w:afterAutospacing="0" w:line="420" w:lineRule="exact"/>
        <w:ind w:firstLine="420" w:firstLineChars="200"/>
        <w:rPr>
          <w:rFonts w:hint="eastAsia" w:ascii="宋体" w:hAnsi="宋体"/>
          <w:bCs/>
          <w:color w:val="auto"/>
          <w:sz w:val="21"/>
          <w:szCs w:val="21"/>
        </w:rPr>
      </w:pPr>
      <w:r>
        <w:rPr>
          <w:rFonts w:hint="eastAsia" w:ascii="宋体" w:hAnsi="宋体"/>
          <w:bCs/>
          <w:color w:val="auto"/>
          <w:sz w:val="21"/>
          <w:szCs w:val="21"/>
        </w:rPr>
        <w:t>联 系 人：</w:t>
      </w:r>
      <w:r>
        <w:rPr>
          <w:rFonts w:hint="eastAsia" w:ascii="宋体" w:hAnsi="宋体"/>
          <w:bCs/>
          <w:color w:val="auto"/>
          <w:sz w:val="21"/>
          <w:szCs w:val="21"/>
          <w:lang w:eastAsia="zh-CN"/>
        </w:rPr>
        <w:t>张主任</w:t>
      </w:r>
    </w:p>
    <w:p>
      <w:pPr>
        <w:keepNext w:val="0"/>
        <w:keepLines w:val="0"/>
        <w:pageBreakBefore w:val="0"/>
        <w:widowControl w:val="0"/>
        <w:kinsoku/>
        <w:wordWrap/>
        <w:overflowPunct/>
        <w:topLinePunct w:val="0"/>
        <w:autoSpaceDE/>
        <w:autoSpaceDN/>
        <w:bidi w:val="0"/>
        <w:snapToGrid/>
        <w:spacing w:beforeAutospacing="0" w:afterAutospacing="0" w:line="420" w:lineRule="exact"/>
        <w:ind w:firstLine="420" w:firstLineChars="200"/>
        <w:rPr>
          <w:rFonts w:hint="eastAsia" w:ascii="宋体" w:hAnsi="宋体"/>
          <w:bCs/>
          <w:color w:val="auto"/>
          <w:sz w:val="21"/>
          <w:szCs w:val="21"/>
        </w:rPr>
      </w:pPr>
      <w:r>
        <w:rPr>
          <w:rFonts w:hint="eastAsia" w:ascii="宋体" w:hAnsi="宋体"/>
          <w:bCs/>
          <w:color w:val="auto"/>
          <w:sz w:val="21"/>
          <w:szCs w:val="21"/>
        </w:rPr>
        <w:t>联系电话：</w:t>
      </w:r>
      <w:r>
        <w:rPr>
          <w:rFonts w:hint="eastAsia" w:ascii="宋体" w:hAnsi="宋体"/>
          <w:bCs/>
          <w:color w:val="auto"/>
          <w:sz w:val="21"/>
          <w:szCs w:val="21"/>
          <w:lang w:val="en-US" w:eastAsia="zh-CN"/>
        </w:rPr>
        <w:t>17686175773</w:t>
      </w:r>
    </w:p>
    <w:p>
      <w:pPr>
        <w:keepNext w:val="0"/>
        <w:keepLines w:val="0"/>
        <w:pageBreakBefore w:val="0"/>
        <w:widowControl w:val="0"/>
        <w:kinsoku/>
        <w:wordWrap/>
        <w:overflowPunct/>
        <w:topLinePunct w:val="0"/>
        <w:autoSpaceDE/>
        <w:autoSpaceDN/>
        <w:bidi w:val="0"/>
        <w:snapToGrid/>
        <w:spacing w:beforeAutospacing="0" w:afterAutospacing="0" w:line="420" w:lineRule="exact"/>
        <w:ind w:firstLine="420" w:firstLineChars="200"/>
        <w:rPr>
          <w:rFonts w:hint="eastAsia" w:ascii="宋体" w:hAnsi="宋体"/>
          <w:bCs/>
          <w:color w:val="auto"/>
          <w:sz w:val="21"/>
          <w:szCs w:val="21"/>
        </w:rPr>
      </w:pPr>
      <w:r>
        <w:rPr>
          <w:rFonts w:hint="eastAsia" w:ascii="宋体" w:hAnsi="宋体"/>
          <w:bCs/>
          <w:color w:val="auto"/>
          <w:sz w:val="21"/>
          <w:szCs w:val="21"/>
        </w:rPr>
        <w:t>代理机构：圣祥有限公司</w:t>
      </w:r>
    </w:p>
    <w:p>
      <w:pPr>
        <w:keepNext w:val="0"/>
        <w:keepLines w:val="0"/>
        <w:pageBreakBefore w:val="0"/>
        <w:widowControl w:val="0"/>
        <w:kinsoku/>
        <w:wordWrap/>
        <w:overflowPunct/>
        <w:topLinePunct w:val="0"/>
        <w:autoSpaceDE/>
        <w:autoSpaceDN/>
        <w:bidi w:val="0"/>
        <w:snapToGrid/>
        <w:spacing w:beforeAutospacing="0" w:afterAutospacing="0" w:line="420" w:lineRule="exact"/>
        <w:ind w:firstLine="420" w:firstLineChars="200"/>
        <w:rPr>
          <w:rFonts w:hint="eastAsia" w:ascii="宋体" w:hAnsi="宋体"/>
          <w:bCs/>
          <w:color w:val="auto"/>
          <w:sz w:val="21"/>
          <w:szCs w:val="21"/>
        </w:rPr>
      </w:pPr>
      <w:r>
        <w:rPr>
          <w:rFonts w:hint="eastAsia" w:ascii="宋体" w:hAnsi="宋体"/>
          <w:bCs/>
          <w:color w:val="auto"/>
          <w:sz w:val="21"/>
          <w:szCs w:val="21"/>
        </w:rPr>
        <w:t>地    址：济宁北湖省级旅游度假区新城发展大厦B座7楼北</w:t>
      </w:r>
    </w:p>
    <w:p>
      <w:pPr>
        <w:keepNext w:val="0"/>
        <w:keepLines w:val="0"/>
        <w:pageBreakBefore w:val="0"/>
        <w:widowControl w:val="0"/>
        <w:kinsoku/>
        <w:wordWrap/>
        <w:overflowPunct/>
        <w:topLinePunct w:val="0"/>
        <w:autoSpaceDE/>
        <w:autoSpaceDN/>
        <w:bidi w:val="0"/>
        <w:snapToGrid/>
        <w:spacing w:beforeAutospacing="0" w:afterAutospacing="0" w:line="420" w:lineRule="exact"/>
        <w:ind w:firstLine="420" w:firstLineChars="200"/>
        <w:rPr>
          <w:rFonts w:hint="eastAsia" w:ascii="宋体" w:hAnsi="宋体"/>
          <w:bCs/>
          <w:color w:val="auto"/>
          <w:sz w:val="21"/>
          <w:szCs w:val="21"/>
        </w:rPr>
      </w:pPr>
      <w:r>
        <w:rPr>
          <w:rFonts w:hint="eastAsia" w:ascii="宋体" w:hAnsi="宋体"/>
          <w:bCs/>
          <w:color w:val="auto"/>
          <w:sz w:val="21"/>
          <w:szCs w:val="21"/>
        </w:rPr>
        <w:t>联 系 人：</w:t>
      </w:r>
      <w:r>
        <w:rPr>
          <w:rFonts w:hint="eastAsia" w:ascii="宋体" w:hAnsi="宋体"/>
          <w:bCs/>
          <w:color w:val="auto"/>
          <w:sz w:val="21"/>
          <w:szCs w:val="21"/>
          <w:lang w:eastAsia="zh-CN"/>
        </w:rPr>
        <w:t>苏漫</w:t>
      </w:r>
      <w:r>
        <w:rPr>
          <w:rFonts w:hint="eastAsia" w:ascii="宋体" w:hAnsi="宋体"/>
          <w:bCs/>
          <w:color w:val="auto"/>
          <w:sz w:val="21"/>
          <w:szCs w:val="21"/>
        </w:rPr>
        <w:t xml:space="preserve"> </w:t>
      </w:r>
    </w:p>
    <w:p>
      <w:pPr>
        <w:keepNext w:val="0"/>
        <w:keepLines w:val="0"/>
        <w:pageBreakBefore w:val="0"/>
        <w:widowControl w:val="0"/>
        <w:kinsoku/>
        <w:wordWrap/>
        <w:overflowPunct/>
        <w:topLinePunct w:val="0"/>
        <w:autoSpaceDE/>
        <w:autoSpaceDN/>
        <w:bidi w:val="0"/>
        <w:snapToGrid/>
        <w:spacing w:beforeAutospacing="0" w:afterAutospacing="0" w:line="420" w:lineRule="exact"/>
        <w:ind w:firstLine="420" w:firstLineChars="200"/>
        <w:rPr>
          <w:rFonts w:hint="eastAsia" w:ascii="宋体" w:hAnsi="宋体"/>
          <w:bCs/>
          <w:color w:val="auto"/>
          <w:sz w:val="21"/>
          <w:szCs w:val="21"/>
        </w:rPr>
      </w:pPr>
      <w:r>
        <w:rPr>
          <w:rFonts w:hint="eastAsia" w:ascii="宋体" w:hAnsi="宋体"/>
          <w:bCs/>
          <w:color w:val="auto"/>
          <w:sz w:val="21"/>
          <w:szCs w:val="21"/>
        </w:rPr>
        <w:t>联系电话：</w:t>
      </w:r>
      <w:r>
        <w:rPr>
          <w:rFonts w:hint="eastAsia" w:ascii="宋体" w:hAnsi="宋体"/>
          <w:bCs/>
          <w:color w:val="auto"/>
          <w:sz w:val="21"/>
          <w:szCs w:val="21"/>
          <w:lang w:val="en-US" w:eastAsia="zh-CN"/>
        </w:rPr>
        <w:t>18953781955</w:t>
      </w:r>
    </w:p>
    <w:p>
      <w:pPr>
        <w:keepNext w:val="0"/>
        <w:keepLines w:val="0"/>
        <w:pageBreakBefore w:val="0"/>
        <w:widowControl w:val="0"/>
        <w:kinsoku/>
        <w:wordWrap/>
        <w:overflowPunct/>
        <w:topLinePunct w:val="0"/>
        <w:autoSpaceDE/>
        <w:autoSpaceDN/>
        <w:bidi w:val="0"/>
        <w:snapToGrid/>
        <w:spacing w:beforeAutospacing="0" w:afterAutospacing="0" w:line="420" w:lineRule="exact"/>
        <w:ind w:firstLine="420" w:firstLineChars="200"/>
        <w:rPr>
          <w:rFonts w:hint="eastAsia" w:ascii="宋体" w:hAnsi="宋体"/>
          <w:bCs/>
          <w:color w:val="auto"/>
          <w:sz w:val="21"/>
          <w:szCs w:val="21"/>
        </w:rPr>
      </w:pPr>
      <w:r>
        <w:rPr>
          <w:rFonts w:hint="eastAsia" w:ascii="宋体" w:hAnsi="宋体"/>
          <w:bCs/>
          <w:color w:val="auto"/>
          <w:sz w:val="21"/>
          <w:szCs w:val="21"/>
        </w:rPr>
        <w:t>电子邮箱：</w:t>
      </w:r>
      <w:r>
        <w:rPr>
          <w:rFonts w:hint="eastAsia" w:ascii="宋体" w:hAnsi="宋体"/>
          <w:bCs/>
          <w:color w:val="auto"/>
          <w:sz w:val="21"/>
          <w:szCs w:val="21"/>
          <w:lang w:eastAsia="zh-CN"/>
        </w:rPr>
        <w:t>sxyxgs2018@163.com</w:t>
      </w:r>
    </w:p>
    <w:p>
      <w:pPr>
        <w:keepNext w:val="0"/>
        <w:keepLines w:val="0"/>
        <w:pageBreakBefore w:val="0"/>
        <w:kinsoku/>
        <w:wordWrap/>
        <w:overflowPunct/>
        <w:topLinePunct w:val="0"/>
        <w:autoSpaceDE/>
        <w:autoSpaceDN/>
        <w:bidi w:val="0"/>
        <w:spacing w:beforeAutospacing="0" w:afterAutospacing="0" w:line="420" w:lineRule="exact"/>
        <w:ind w:firstLine="422" w:firstLineChars="200"/>
        <w:rPr>
          <w:rFonts w:hint="eastAsia" w:ascii="宋体" w:hAnsi="宋体" w:eastAsia="宋体"/>
          <w:b/>
          <w:color w:val="auto"/>
          <w:sz w:val="21"/>
          <w:szCs w:val="21"/>
          <w:lang w:bidi="ar"/>
        </w:rPr>
      </w:pPr>
      <w:r>
        <w:rPr>
          <w:rFonts w:hint="eastAsia" w:ascii="宋体" w:hAnsi="宋体" w:eastAsia="宋体"/>
          <w:b/>
          <w:color w:val="auto"/>
          <w:sz w:val="21"/>
          <w:szCs w:val="21"/>
          <w:lang w:bidi="ar"/>
        </w:rPr>
        <w:t>十、重要说明</w:t>
      </w:r>
    </w:p>
    <w:p>
      <w:pPr>
        <w:keepNext w:val="0"/>
        <w:keepLines w:val="0"/>
        <w:pageBreakBefore w:val="0"/>
        <w:kinsoku/>
        <w:wordWrap/>
        <w:overflowPunct/>
        <w:topLinePunct w:val="0"/>
        <w:autoSpaceDE/>
        <w:autoSpaceDN/>
        <w:bidi w:val="0"/>
        <w:spacing w:beforeAutospacing="0" w:afterAutospacing="0" w:line="420" w:lineRule="exact"/>
        <w:ind w:firstLine="420" w:firstLineChars="200"/>
        <w:rPr>
          <w:rFonts w:hint="eastAsia" w:ascii="宋体" w:hAnsi="宋体" w:eastAsia="宋体"/>
          <w:bCs/>
          <w:color w:val="auto"/>
          <w:sz w:val="21"/>
          <w:szCs w:val="21"/>
          <w:lang w:bidi="ar"/>
        </w:rPr>
      </w:pPr>
      <w:r>
        <w:rPr>
          <w:rFonts w:hint="eastAsia" w:ascii="宋体" w:hAnsi="宋体" w:eastAsia="宋体"/>
          <w:bCs/>
          <w:color w:val="auto"/>
          <w:sz w:val="21"/>
          <w:szCs w:val="21"/>
          <w:lang w:bidi="ar"/>
        </w:rPr>
        <w:t>1、竞争性磋商文件一经在邹城市外宣网（http://www.mencius.gov.cn/）发布，视作已发放给所有潜在供应商（发布时间即为发出磋商文件的时间），各供应商应随时关注邹城市外宣网下载电子版磋商文件，否则所造成的一切后果由供应商自负 。</w:t>
      </w:r>
    </w:p>
    <w:p>
      <w:pPr>
        <w:keepNext w:val="0"/>
        <w:keepLines w:val="0"/>
        <w:pageBreakBefore w:val="0"/>
        <w:kinsoku/>
        <w:wordWrap/>
        <w:overflowPunct/>
        <w:topLinePunct w:val="0"/>
        <w:autoSpaceDE/>
        <w:autoSpaceDN/>
        <w:bidi w:val="0"/>
        <w:spacing w:beforeAutospacing="0" w:afterAutospacing="0" w:line="420" w:lineRule="exact"/>
        <w:ind w:firstLine="420" w:firstLineChars="200"/>
        <w:rPr>
          <w:rFonts w:hint="eastAsia" w:ascii="宋体" w:hAnsi="宋体" w:eastAsia="宋体"/>
          <w:bCs/>
          <w:color w:val="auto"/>
          <w:sz w:val="21"/>
          <w:szCs w:val="21"/>
          <w:lang w:bidi="ar"/>
        </w:rPr>
      </w:pPr>
      <w:r>
        <w:rPr>
          <w:rFonts w:hint="eastAsia" w:ascii="宋体" w:hAnsi="宋体" w:eastAsia="宋体"/>
          <w:bCs/>
          <w:color w:val="auto"/>
          <w:sz w:val="21"/>
          <w:szCs w:val="21"/>
          <w:lang w:bidi="ar"/>
        </w:rPr>
        <w:t>2、本项目如有必要澄清和修改需要发布变更公告的，将在本网站及时发布。请各潜在供应商及时关注相关信息。同时，依据相关法律法规规定，变更公告一旦发布即视为以书面形式通知所有潜在供应商。</w:t>
      </w:r>
    </w:p>
    <w:bookmarkEnd w:id="8"/>
    <w:bookmarkEnd w:id="9"/>
    <w:bookmarkEnd w:id="10"/>
    <w:p>
      <w:pPr>
        <w:pStyle w:val="28"/>
        <w:keepNext w:val="0"/>
        <w:keepLines w:val="0"/>
        <w:pageBreakBefore w:val="0"/>
        <w:kinsoku/>
        <w:wordWrap/>
        <w:overflowPunct/>
        <w:topLinePunct w:val="0"/>
        <w:autoSpaceDE/>
        <w:autoSpaceDN/>
        <w:bidi w:val="0"/>
        <w:spacing w:beforeAutospacing="0" w:afterAutospacing="0" w:line="420" w:lineRule="exact"/>
        <w:jc w:val="right"/>
        <w:rPr>
          <w:rFonts w:hint="eastAsia"/>
          <w:color w:val="auto"/>
          <w:sz w:val="21"/>
          <w:szCs w:val="21"/>
          <w:lang w:eastAsia="zh-CN"/>
        </w:rPr>
      </w:pPr>
      <w:bookmarkStart w:id="11" w:name="_Toc5469"/>
      <w:r>
        <w:rPr>
          <w:rFonts w:hint="eastAsia"/>
          <w:color w:val="auto"/>
          <w:sz w:val="21"/>
          <w:szCs w:val="21"/>
          <w:lang w:eastAsia="zh-CN"/>
        </w:rPr>
        <w:t>发布人：邹城市看庄镇人民政府</w:t>
      </w:r>
    </w:p>
    <w:p>
      <w:pPr>
        <w:pStyle w:val="28"/>
        <w:keepNext w:val="0"/>
        <w:keepLines w:val="0"/>
        <w:pageBreakBefore w:val="0"/>
        <w:kinsoku/>
        <w:wordWrap/>
        <w:overflowPunct/>
        <w:topLinePunct w:val="0"/>
        <w:autoSpaceDE/>
        <w:autoSpaceDN/>
        <w:bidi w:val="0"/>
        <w:spacing w:beforeAutospacing="0" w:afterAutospacing="0" w:line="420" w:lineRule="exact"/>
        <w:jc w:val="right"/>
        <w:rPr>
          <w:rFonts w:hint="eastAsia"/>
          <w:color w:val="auto"/>
          <w:sz w:val="21"/>
          <w:szCs w:val="21"/>
          <w:lang w:eastAsia="zh-CN"/>
        </w:rPr>
      </w:pPr>
      <w:r>
        <w:rPr>
          <w:rFonts w:hint="eastAsia"/>
          <w:color w:val="auto"/>
          <w:sz w:val="21"/>
          <w:szCs w:val="21"/>
          <w:lang w:eastAsia="zh-CN"/>
        </w:rPr>
        <w:t>圣祥有限公司</w:t>
      </w:r>
    </w:p>
    <w:p>
      <w:pPr>
        <w:pStyle w:val="28"/>
        <w:keepNext w:val="0"/>
        <w:keepLines w:val="0"/>
        <w:pageBreakBefore w:val="0"/>
        <w:kinsoku/>
        <w:wordWrap/>
        <w:overflowPunct/>
        <w:topLinePunct w:val="0"/>
        <w:autoSpaceDE/>
        <w:autoSpaceDN/>
        <w:bidi w:val="0"/>
        <w:spacing w:beforeAutospacing="0" w:afterAutospacing="0" w:line="420" w:lineRule="exact"/>
        <w:jc w:val="righ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发布时间：</w:t>
      </w:r>
      <w:r>
        <w:rPr>
          <w:rFonts w:hint="eastAsia" w:ascii="宋体" w:hAnsi="宋体"/>
          <w:color w:val="auto"/>
          <w:sz w:val="21"/>
          <w:szCs w:val="21"/>
          <w:lang w:val="en-US" w:eastAsia="zh-CN"/>
        </w:rPr>
        <w:t>2023</w:t>
      </w:r>
      <w:r>
        <w:rPr>
          <w:rFonts w:hint="eastAsia" w:ascii="宋体" w:hAnsi="宋体" w:eastAsia="宋体"/>
          <w:color w:val="auto"/>
          <w:sz w:val="21"/>
          <w:szCs w:val="21"/>
          <w:lang w:val="en-US" w:eastAsia="zh-CN"/>
        </w:rPr>
        <w:t>年</w:t>
      </w:r>
      <w:r>
        <w:rPr>
          <w:rFonts w:hint="eastAsia" w:ascii="宋体" w:hAnsi="宋体"/>
          <w:color w:val="auto"/>
          <w:sz w:val="21"/>
          <w:szCs w:val="21"/>
          <w:lang w:val="en-US" w:eastAsia="zh-CN"/>
        </w:rPr>
        <w:t>3</w:t>
      </w:r>
      <w:r>
        <w:rPr>
          <w:rFonts w:hint="eastAsia" w:ascii="宋体" w:hAnsi="宋体" w:eastAsia="宋体"/>
          <w:color w:val="auto"/>
          <w:sz w:val="21"/>
          <w:szCs w:val="21"/>
          <w:lang w:val="en-US" w:eastAsia="zh-CN"/>
        </w:rPr>
        <w:t>月</w:t>
      </w:r>
      <w:r>
        <w:rPr>
          <w:rFonts w:hint="eastAsia" w:ascii="宋体" w:hAnsi="宋体"/>
          <w:color w:val="auto"/>
          <w:sz w:val="21"/>
          <w:szCs w:val="21"/>
          <w:lang w:val="en-US" w:eastAsia="zh-CN"/>
        </w:rPr>
        <w:t>6</w:t>
      </w:r>
      <w:r>
        <w:rPr>
          <w:rFonts w:hint="eastAsia" w:ascii="宋体" w:hAnsi="宋体" w:eastAsia="宋体"/>
          <w:color w:val="auto"/>
          <w:sz w:val="21"/>
          <w:szCs w:val="21"/>
          <w:lang w:val="en-US" w:eastAsia="zh-CN"/>
        </w:rPr>
        <w:t>日</w:t>
      </w:r>
    </w:p>
    <w:p>
      <w:pPr>
        <w:numPr>
          <w:ilvl w:val="0"/>
          <w:numId w:val="0"/>
        </w:numPr>
        <w:tabs>
          <w:tab w:val="left" w:pos="315"/>
        </w:tabs>
        <w:spacing w:beforeAutospacing="0" w:afterAutospacing="0" w:line="360" w:lineRule="auto"/>
        <w:jc w:val="both"/>
        <w:rPr>
          <w:rStyle w:val="16"/>
          <w:rFonts w:hint="eastAsia"/>
          <w:color w:val="auto"/>
          <w:lang w:val="en-US" w:eastAsia="zh-CN"/>
        </w:rPr>
      </w:pPr>
    </w:p>
    <w:p>
      <w:pPr>
        <w:pStyle w:val="4"/>
        <w:bidi w:val="0"/>
        <w:rPr>
          <w:rFonts w:hint="eastAsia" w:ascii="宋体" w:hAnsi="宋体" w:eastAsia="宋体"/>
          <w:b/>
          <w:color w:val="auto"/>
        </w:rPr>
      </w:pPr>
      <w:bookmarkStart w:id="12" w:name="_Toc13810"/>
      <w:bookmarkEnd w:id="12"/>
      <w:r>
        <w:rPr>
          <w:rFonts w:hint="eastAsia" w:ascii="宋体" w:hAnsi="宋体" w:eastAsia="宋体"/>
          <w:b/>
          <w:color w:val="auto"/>
        </w:rPr>
        <w:t>第</w:t>
      </w:r>
      <w:r>
        <w:rPr>
          <w:rFonts w:hint="eastAsia" w:ascii="宋体" w:hAnsi="宋体" w:eastAsia="宋体"/>
          <w:b/>
          <w:color w:val="auto"/>
          <w:lang w:eastAsia="zh-CN"/>
        </w:rPr>
        <w:t>二</w:t>
      </w:r>
      <w:r>
        <w:rPr>
          <w:rFonts w:hint="eastAsia" w:ascii="宋体" w:hAnsi="宋体" w:eastAsia="宋体"/>
          <w:b/>
          <w:color w:val="auto"/>
        </w:rPr>
        <w:t>部分  供应商须知及供应商须知前附表</w:t>
      </w:r>
    </w:p>
    <w:p>
      <w:pPr>
        <w:pStyle w:val="134"/>
        <w:spacing w:beforeAutospacing="0" w:afterAutospacing="0" w:line="360" w:lineRule="auto"/>
        <w:jc w:val="center"/>
        <w:rPr>
          <w:rFonts w:hint="eastAsia" w:hAnsi="宋体"/>
          <w:b/>
          <w:color w:val="auto"/>
        </w:rPr>
      </w:pPr>
      <w:r>
        <w:rPr>
          <w:rFonts w:hint="eastAsia" w:hAnsi="宋体"/>
          <w:b/>
          <w:color w:val="auto"/>
        </w:rPr>
        <w:t>一、供应商须知前附表</w:t>
      </w:r>
    </w:p>
    <w:tbl>
      <w:tblPr>
        <w:tblStyle w:val="2"/>
        <w:tblW w:w="97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1925"/>
        <w:gridCol w:w="7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714"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项号</w:t>
            </w:r>
          </w:p>
        </w:tc>
        <w:tc>
          <w:tcPr>
            <w:tcW w:w="1925"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内容</w:t>
            </w:r>
          </w:p>
        </w:tc>
        <w:tc>
          <w:tcPr>
            <w:tcW w:w="7100"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714"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1</w:t>
            </w:r>
          </w:p>
        </w:tc>
        <w:tc>
          <w:tcPr>
            <w:tcW w:w="1925"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项目名称</w:t>
            </w:r>
          </w:p>
        </w:tc>
        <w:tc>
          <w:tcPr>
            <w:tcW w:w="7100" w:type="dxa"/>
            <w:vAlign w:val="center"/>
          </w:tcPr>
          <w:p>
            <w:pPr>
              <w:spacing w:beforeAutospacing="0" w:afterAutospacing="0" w:line="360" w:lineRule="auto"/>
              <w:jc w:val="left"/>
              <w:rPr>
                <w:rFonts w:hint="eastAsia" w:ascii="宋体" w:hAnsi="宋体" w:eastAsia="宋体"/>
                <w:color w:val="auto"/>
                <w:szCs w:val="21"/>
                <w:lang w:eastAsia="zh-CN"/>
              </w:rPr>
            </w:pPr>
            <w:r>
              <w:rPr>
                <w:rFonts w:hint="eastAsia" w:ascii="宋体" w:hAnsi="宋体" w:eastAsia="宋体"/>
                <w:color w:val="auto"/>
                <w:szCs w:val="21"/>
                <w:lang w:eastAsia="zh-CN"/>
              </w:rPr>
              <w:t>邹城市看庄镇前圪村卫生室医疗设备采购项目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714"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2</w:t>
            </w:r>
          </w:p>
        </w:tc>
        <w:tc>
          <w:tcPr>
            <w:tcW w:w="1925"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项目编号</w:t>
            </w:r>
          </w:p>
        </w:tc>
        <w:tc>
          <w:tcPr>
            <w:tcW w:w="7100" w:type="dxa"/>
            <w:vAlign w:val="center"/>
          </w:tcPr>
          <w:p>
            <w:pPr>
              <w:spacing w:beforeAutospacing="0" w:afterAutospacing="0" w:line="360" w:lineRule="auto"/>
              <w:jc w:val="left"/>
              <w:rPr>
                <w:rFonts w:hint="eastAsia" w:ascii="宋体" w:hAnsi="宋体" w:eastAsia="宋体"/>
                <w:color w:val="auto"/>
                <w:szCs w:val="21"/>
                <w:lang w:eastAsia="zh-CN"/>
              </w:rPr>
            </w:pPr>
            <w:r>
              <w:rPr>
                <w:rFonts w:hint="eastAsia" w:ascii="宋体" w:hAnsi="宋体" w:eastAsia="宋体"/>
                <w:color w:val="auto"/>
                <w:szCs w:val="21"/>
                <w:lang w:eastAsia="zh-CN"/>
              </w:rPr>
              <w:t>SXYXGS-2023-002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714"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3</w:t>
            </w:r>
          </w:p>
        </w:tc>
        <w:tc>
          <w:tcPr>
            <w:tcW w:w="1925"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交货地点</w:t>
            </w:r>
          </w:p>
        </w:tc>
        <w:tc>
          <w:tcPr>
            <w:tcW w:w="7100" w:type="dxa"/>
            <w:vAlign w:val="center"/>
          </w:tcPr>
          <w:p>
            <w:pPr>
              <w:spacing w:beforeAutospacing="0" w:afterAutospacing="0" w:line="360" w:lineRule="auto"/>
              <w:jc w:val="left"/>
              <w:rPr>
                <w:rFonts w:hint="eastAsia" w:ascii="宋体" w:hAnsi="宋体" w:eastAsia="宋体"/>
                <w:color w:val="auto"/>
                <w:szCs w:val="21"/>
              </w:rPr>
            </w:pPr>
            <w:r>
              <w:rPr>
                <w:rFonts w:hint="eastAsia" w:ascii="宋体" w:hAnsi="宋体" w:eastAsia="宋体"/>
                <w:color w:val="auto"/>
                <w:szCs w:val="21"/>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714"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4</w:t>
            </w:r>
          </w:p>
        </w:tc>
        <w:tc>
          <w:tcPr>
            <w:tcW w:w="1925" w:type="dxa"/>
            <w:vAlign w:val="center"/>
          </w:tcPr>
          <w:p>
            <w:pPr>
              <w:spacing w:beforeAutospacing="0" w:afterAutospacing="0" w:line="360" w:lineRule="auto"/>
              <w:ind w:firstLine="315" w:firstLineChars="150"/>
              <w:jc w:val="center"/>
              <w:rPr>
                <w:rFonts w:hint="eastAsia" w:ascii="宋体" w:hAnsi="宋体" w:eastAsia="宋体"/>
                <w:color w:val="auto"/>
                <w:szCs w:val="21"/>
                <w:lang w:eastAsia="zh-CN"/>
              </w:rPr>
            </w:pPr>
            <w:r>
              <w:rPr>
                <w:rFonts w:hint="eastAsia" w:ascii="宋体" w:hAnsi="宋体" w:eastAsia="宋体"/>
                <w:color w:val="auto"/>
                <w:szCs w:val="21"/>
                <w:lang w:eastAsia="zh-CN"/>
              </w:rPr>
              <w:t>供货安装期</w:t>
            </w:r>
          </w:p>
        </w:tc>
        <w:tc>
          <w:tcPr>
            <w:tcW w:w="7100" w:type="dxa"/>
            <w:vAlign w:val="center"/>
          </w:tcPr>
          <w:p>
            <w:pPr>
              <w:spacing w:beforeAutospacing="0" w:afterAutospacing="0" w:line="360" w:lineRule="auto"/>
              <w:jc w:val="left"/>
              <w:rPr>
                <w:rFonts w:hint="eastAsia" w:ascii="宋体" w:hAnsi="宋体" w:eastAsia="宋体"/>
                <w:color w:val="auto"/>
                <w:szCs w:val="21"/>
                <w:lang w:eastAsia="zh-CN"/>
              </w:rPr>
            </w:pPr>
            <w:r>
              <w:rPr>
                <w:rFonts w:hint="eastAsia" w:ascii="宋体" w:hAnsi="宋体" w:eastAsia="宋体"/>
                <w:color w:val="auto"/>
                <w:szCs w:val="21"/>
                <w:lang w:eastAsia="zh-CN"/>
              </w:rPr>
              <w:t>合同签订后15日历天内全部供货并安装调试完毕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714"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5</w:t>
            </w:r>
          </w:p>
        </w:tc>
        <w:tc>
          <w:tcPr>
            <w:tcW w:w="1925"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质保期</w:t>
            </w:r>
          </w:p>
        </w:tc>
        <w:tc>
          <w:tcPr>
            <w:tcW w:w="7100" w:type="dxa"/>
            <w:vAlign w:val="center"/>
          </w:tcPr>
          <w:p>
            <w:pPr>
              <w:spacing w:beforeAutospacing="0" w:afterAutospacing="0" w:line="360" w:lineRule="auto"/>
              <w:jc w:val="left"/>
              <w:rPr>
                <w:rFonts w:hint="eastAsia" w:ascii="宋体" w:hAnsi="宋体" w:eastAsia="宋体"/>
                <w:bCs/>
                <w:color w:val="auto"/>
                <w:szCs w:val="21"/>
                <w:lang w:val="en-US" w:eastAsia="zh-CN"/>
              </w:rPr>
            </w:pPr>
            <w:r>
              <w:rPr>
                <w:rFonts w:hint="eastAsia" w:ascii="宋体" w:hAnsi="宋体" w:eastAsia="宋体"/>
                <w:bCs/>
                <w:color w:val="auto"/>
                <w:szCs w:val="21"/>
                <w:lang w:val="en-US" w:eastAsia="zh-CN"/>
              </w:rPr>
              <w:t xml:space="preserve">  2 </w:t>
            </w:r>
            <w:r>
              <w:rPr>
                <w:rFonts w:hint="eastAsia" w:ascii="宋体" w:hAnsi="宋体" w:eastAsia="宋体"/>
                <w:bCs/>
                <w:color w:val="auto"/>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jc w:val="center"/>
        </w:trPr>
        <w:tc>
          <w:tcPr>
            <w:tcW w:w="714"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6</w:t>
            </w:r>
          </w:p>
        </w:tc>
        <w:tc>
          <w:tcPr>
            <w:tcW w:w="1925"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采购内容</w:t>
            </w:r>
          </w:p>
        </w:tc>
        <w:tc>
          <w:tcPr>
            <w:tcW w:w="7100" w:type="dxa"/>
            <w:vAlign w:val="center"/>
          </w:tcPr>
          <w:p>
            <w:pPr>
              <w:widowControl/>
              <w:shd w:val="clear" w:color="auto" w:fill="FFFFFF"/>
              <w:tabs>
                <w:tab w:val="left" w:pos="840"/>
              </w:tabs>
              <w:spacing w:beforeAutospacing="0" w:afterAutospacing="0" w:line="360" w:lineRule="auto"/>
              <w:ind w:firstLine="420" w:firstLineChars="200"/>
              <w:jc w:val="left"/>
              <w:rPr>
                <w:rFonts w:hint="eastAsia" w:ascii="宋体" w:hAnsi="宋体" w:eastAsia="宋体"/>
                <w:color w:val="auto"/>
                <w:szCs w:val="21"/>
                <w:lang w:eastAsia="zh-CN"/>
              </w:rPr>
            </w:pPr>
            <w:r>
              <w:rPr>
                <w:rFonts w:hint="eastAsia" w:ascii="宋体" w:hAnsi="宋体" w:eastAsia="宋体"/>
                <w:color w:val="auto"/>
                <w:szCs w:val="21"/>
                <w:lang w:eastAsia="zh-CN"/>
              </w:rPr>
              <w:t>邹城市看庄镇前圪村卫生室医疗设备采购项目，主要内容包括医疗用品及设施的采购。具体技术参数及规格详见第四部分采购内容及要求。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714" w:type="dxa"/>
            <w:vAlign w:val="center"/>
          </w:tcPr>
          <w:p>
            <w:pPr>
              <w:spacing w:beforeAutospacing="0" w:afterAutospacing="0" w:line="360" w:lineRule="auto"/>
              <w:jc w:val="center"/>
              <w:rPr>
                <w:rFonts w:hint="eastAsia" w:ascii="宋体" w:hAnsi="宋体" w:eastAsia="宋体"/>
                <w:b w:val="0"/>
                <w:bCs/>
                <w:color w:val="auto"/>
                <w:szCs w:val="21"/>
              </w:rPr>
            </w:pPr>
            <w:r>
              <w:rPr>
                <w:rFonts w:hint="eastAsia" w:ascii="宋体" w:hAnsi="宋体" w:eastAsia="宋体"/>
                <w:b w:val="0"/>
                <w:bCs/>
                <w:color w:val="auto"/>
                <w:szCs w:val="21"/>
              </w:rPr>
              <w:t>7</w:t>
            </w:r>
          </w:p>
        </w:tc>
        <w:tc>
          <w:tcPr>
            <w:tcW w:w="1925" w:type="dxa"/>
            <w:vAlign w:val="center"/>
          </w:tcPr>
          <w:p>
            <w:pPr>
              <w:spacing w:beforeAutospacing="0" w:afterAutospacing="0" w:line="360" w:lineRule="auto"/>
              <w:jc w:val="center"/>
              <w:rPr>
                <w:rFonts w:hint="eastAsia" w:ascii="宋体" w:hAnsi="宋体" w:eastAsia="宋体"/>
                <w:b/>
                <w:color w:val="auto"/>
                <w:szCs w:val="21"/>
                <w:lang w:val="zh-CN"/>
              </w:rPr>
            </w:pPr>
            <w:r>
              <w:rPr>
                <w:rFonts w:hint="eastAsia" w:ascii="宋体" w:hAnsi="宋体" w:eastAsia="宋体"/>
                <w:b/>
                <w:color w:val="auto"/>
                <w:szCs w:val="21"/>
                <w:lang w:val="zh-CN"/>
              </w:rPr>
              <w:t>付款方式</w:t>
            </w:r>
          </w:p>
        </w:tc>
        <w:tc>
          <w:tcPr>
            <w:tcW w:w="7100" w:type="dxa"/>
            <w:vAlign w:val="center"/>
          </w:tcPr>
          <w:p>
            <w:pPr>
              <w:spacing w:beforeAutospacing="0" w:afterAutospacing="0" w:line="360" w:lineRule="auto"/>
              <w:ind w:firstLine="211" w:firstLineChars="100"/>
              <w:jc w:val="left"/>
              <w:rPr>
                <w:rFonts w:hint="eastAsia" w:ascii="宋体" w:hAnsi="宋体" w:eastAsia="宋体"/>
                <w:b/>
                <w:color w:val="auto"/>
                <w:szCs w:val="21"/>
                <w:lang w:eastAsia="zh-CN"/>
              </w:rPr>
            </w:pPr>
            <w:r>
              <w:rPr>
                <w:rFonts w:hint="eastAsia" w:ascii="宋体" w:hAnsi="宋体" w:eastAsia="宋体"/>
                <w:b/>
                <w:color w:val="auto"/>
                <w:szCs w:val="21"/>
                <w:lang w:eastAsia="zh-CN"/>
              </w:rPr>
              <w:t>本项目无预付款，货到采购人指定地点并安装调试完成</w:t>
            </w:r>
            <w:r>
              <w:rPr>
                <w:rFonts w:hint="eastAsia" w:ascii="宋体" w:hAnsi="宋体"/>
                <w:b/>
                <w:color w:val="auto"/>
                <w:szCs w:val="21"/>
                <w:lang w:eastAsia="zh-CN"/>
              </w:rPr>
              <w:t>，待上级</w:t>
            </w:r>
            <w:r>
              <w:rPr>
                <w:rFonts w:hint="eastAsia" w:ascii="宋体" w:hAnsi="宋体" w:eastAsia="宋体"/>
                <w:b/>
                <w:color w:val="auto"/>
                <w:szCs w:val="21"/>
                <w:lang w:eastAsia="zh-CN"/>
              </w:rPr>
              <w:t>验收合格</w:t>
            </w:r>
            <w:r>
              <w:rPr>
                <w:rFonts w:hint="eastAsia" w:ascii="宋体" w:hAnsi="宋体"/>
                <w:b/>
                <w:color w:val="auto"/>
                <w:szCs w:val="21"/>
                <w:lang w:eastAsia="zh-CN"/>
              </w:rPr>
              <w:t>并资金到位后付至合同款的</w:t>
            </w:r>
            <w:r>
              <w:rPr>
                <w:rFonts w:hint="eastAsia" w:ascii="宋体" w:hAnsi="宋体"/>
                <w:b/>
                <w:color w:val="auto"/>
                <w:szCs w:val="21"/>
                <w:lang w:val="en-US" w:eastAsia="zh-CN"/>
              </w:rPr>
              <w:t>95%，</w:t>
            </w:r>
            <w:r>
              <w:rPr>
                <w:rFonts w:hint="eastAsia" w:ascii="宋体" w:hAnsi="宋体" w:eastAsia="宋体"/>
                <w:b/>
                <w:color w:val="auto"/>
                <w:szCs w:val="21"/>
                <w:lang w:eastAsia="zh-CN"/>
              </w:rPr>
              <w:t>剩余</w:t>
            </w:r>
            <w:r>
              <w:rPr>
                <w:rFonts w:hint="eastAsia" w:ascii="宋体" w:hAnsi="宋体"/>
                <w:b/>
                <w:color w:val="auto"/>
                <w:szCs w:val="21"/>
                <w:lang w:val="en-US" w:eastAsia="zh-CN"/>
              </w:rPr>
              <w:t>5</w:t>
            </w:r>
            <w:r>
              <w:rPr>
                <w:rFonts w:hint="eastAsia" w:ascii="宋体" w:hAnsi="宋体" w:eastAsia="宋体"/>
                <w:b/>
                <w:color w:val="auto"/>
                <w:szCs w:val="21"/>
                <w:lang w:eastAsia="zh-CN"/>
              </w:rPr>
              <w:t>%做为质保金</w:t>
            </w:r>
            <w:r>
              <w:rPr>
                <w:rFonts w:hint="eastAsia" w:ascii="宋体" w:hAnsi="宋体" w:eastAsia="宋体"/>
                <w:b/>
                <w:color w:val="auto"/>
                <w:szCs w:val="21"/>
              </w:rPr>
              <w:t>，质保期满后无质量问题一次性无息付清。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714"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8</w:t>
            </w:r>
          </w:p>
        </w:tc>
        <w:tc>
          <w:tcPr>
            <w:tcW w:w="1925"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供应商资格要求</w:t>
            </w:r>
          </w:p>
        </w:tc>
        <w:tc>
          <w:tcPr>
            <w:tcW w:w="7100" w:type="dxa"/>
            <w:vAlign w:val="center"/>
          </w:tcPr>
          <w:p>
            <w:pPr>
              <w:pStyle w:val="58"/>
              <w:spacing w:beforeAutospacing="0" w:afterAutospacing="0" w:line="360" w:lineRule="auto"/>
              <w:jc w:val="left"/>
              <w:rPr>
                <w:rFonts w:hint="eastAsia" w:eastAsia="宋体"/>
                <w:color w:val="auto"/>
                <w:kern w:val="2"/>
                <w:sz w:val="21"/>
              </w:rPr>
            </w:pPr>
            <w:r>
              <w:rPr>
                <w:rFonts w:hint="eastAsia" w:eastAsia="宋体"/>
                <w:color w:val="auto"/>
                <w:kern w:val="2"/>
                <w:sz w:val="21"/>
              </w:rPr>
              <w:t>1、具备《政府采购法》第二十二条规定的条件。</w:t>
            </w:r>
          </w:p>
          <w:p>
            <w:pPr>
              <w:pStyle w:val="58"/>
              <w:spacing w:beforeAutospacing="0" w:afterAutospacing="0" w:line="360" w:lineRule="auto"/>
              <w:jc w:val="left"/>
              <w:rPr>
                <w:rFonts w:hint="eastAsia" w:eastAsia="宋体"/>
                <w:color w:val="auto"/>
                <w:kern w:val="2"/>
                <w:sz w:val="21"/>
              </w:rPr>
            </w:pPr>
            <w:r>
              <w:rPr>
                <w:rFonts w:hint="eastAsia" w:eastAsia="宋体"/>
                <w:color w:val="auto"/>
                <w:kern w:val="2"/>
                <w:sz w:val="21"/>
              </w:rPr>
              <w:t>（1）具有独立承担民事责任的能力；</w:t>
            </w:r>
          </w:p>
          <w:p>
            <w:pPr>
              <w:pStyle w:val="58"/>
              <w:spacing w:beforeAutospacing="0" w:afterAutospacing="0" w:line="360" w:lineRule="auto"/>
              <w:jc w:val="left"/>
              <w:rPr>
                <w:rFonts w:hint="eastAsia" w:eastAsia="宋体"/>
                <w:color w:val="auto"/>
                <w:kern w:val="2"/>
                <w:sz w:val="21"/>
              </w:rPr>
            </w:pPr>
            <w:r>
              <w:rPr>
                <w:rFonts w:hint="eastAsia" w:eastAsia="宋体"/>
                <w:color w:val="auto"/>
                <w:kern w:val="2"/>
                <w:sz w:val="21"/>
              </w:rPr>
              <w:t>（2）具有良好的商业信誉和健全的财务会计制度；</w:t>
            </w:r>
          </w:p>
          <w:p>
            <w:pPr>
              <w:pStyle w:val="58"/>
              <w:spacing w:beforeAutospacing="0" w:afterAutospacing="0" w:line="360" w:lineRule="auto"/>
              <w:jc w:val="left"/>
              <w:rPr>
                <w:rFonts w:hint="eastAsia" w:eastAsia="宋体"/>
                <w:color w:val="auto"/>
                <w:kern w:val="2"/>
                <w:sz w:val="21"/>
              </w:rPr>
            </w:pPr>
            <w:r>
              <w:rPr>
                <w:rFonts w:hint="eastAsia" w:eastAsia="宋体"/>
                <w:color w:val="auto"/>
                <w:kern w:val="2"/>
                <w:sz w:val="21"/>
              </w:rPr>
              <w:t>（3）具有履行合同所必需的设备和专业技术能力；</w:t>
            </w:r>
          </w:p>
          <w:p>
            <w:pPr>
              <w:pStyle w:val="58"/>
              <w:spacing w:beforeAutospacing="0" w:afterAutospacing="0" w:line="360" w:lineRule="auto"/>
              <w:jc w:val="left"/>
              <w:rPr>
                <w:rFonts w:hint="eastAsia" w:eastAsia="宋体"/>
                <w:color w:val="auto"/>
                <w:kern w:val="2"/>
                <w:sz w:val="21"/>
              </w:rPr>
            </w:pPr>
            <w:r>
              <w:rPr>
                <w:rFonts w:hint="eastAsia" w:eastAsia="宋体"/>
                <w:color w:val="auto"/>
                <w:kern w:val="2"/>
                <w:sz w:val="21"/>
              </w:rPr>
              <w:t>（4）有依法缴纳税收和社会保障资金的良好记录；</w:t>
            </w:r>
          </w:p>
          <w:p>
            <w:pPr>
              <w:pStyle w:val="58"/>
              <w:spacing w:beforeAutospacing="0" w:afterAutospacing="0" w:line="360" w:lineRule="auto"/>
              <w:jc w:val="left"/>
              <w:rPr>
                <w:rFonts w:hint="eastAsia" w:eastAsia="宋体"/>
                <w:color w:val="auto"/>
                <w:kern w:val="2"/>
                <w:sz w:val="21"/>
              </w:rPr>
            </w:pPr>
            <w:r>
              <w:rPr>
                <w:rFonts w:hint="eastAsia" w:eastAsia="宋体"/>
                <w:color w:val="auto"/>
                <w:kern w:val="2"/>
                <w:sz w:val="21"/>
              </w:rPr>
              <w:t>（5）参加政府采购活动前三年内，在经营活动中没有重大违法记录；</w:t>
            </w:r>
          </w:p>
          <w:p>
            <w:pPr>
              <w:pStyle w:val="58"/>
              <w:spacing w:beforeAutospacing="0" w:afterAutospacing="0" w:line="360" w:lineRule="auto"/>
              <w:jc w:val="left"/>
              <w:rPr>
                <w:rFonts w:hint="eastAsia" w:eastAsia="宋体"/>
                <w:color w:val="auto"/>
                <w:kern w:val="2"/>
                <w:sz w:val="21"/>
              </w:rPr>
            </w:pPr>
            <w:r>
              <w:rPr>
                <w:rFonts w:hint="eastAsia" w:eastAsia="宋体"/>
                <w:color w:val="auto"/>
                <w:kern w:val="2"/>
                <w:sz w:val="21"/>
              </w:rPr>
              <w:t>（6）法律、行政法规规定的其他条件。</w:t>
            </w:r>
          </w:p>
          <w:p>
            <w:pPr>
              <w:pStyle w:val="58"/>
              <w:spacing w:beforeAutospacing="0" w:afterAutospacing="0" w:line="360" w:lineRule="auto"/>
              <w:jc w:val="left"/>
              <w:rPr>
                <w:rFonts w:hint="eastAsia" w:eastAsia="宋体"/>
                <w:color w:val="auto"/>
                <w:kern w:val="2"/>
                <w:sz w:val="21"/>
              </w:rPr>
            </w:pPr>
            <w:r>
              <w:rPr>
                <w:rFonts w:hint="eastAsia" w:eastAsia="宋体"/>
                <w:color w:val="auto"/>
                <w:kern w:val="2"/>
                <w:sz w:val="21"/>
              </w:rPr>
              <w:t>2、供应商须为国内注册具有独立法人资格，营业执照经营范围包含本项目采购范围相关内容，且能在国内合法销售并提供相应货物的生产厂家或代理商。</w:t>
            </w:r>
          </w:p>
          <w:p>
            <w:pPr>
              <w:pStyle w:val="58"/>
              <w:spacing w:beforeAutospacing="0" w:afterAutospacing="0" w:line="360" w:lineRule="auto"/>
              <w:jc w:val="left"/>
              <w:rPr>
                <w:rFonts w:hint="eastAsia" w:eastAsia="宋体"/>
                <w:color w:val="auto"/>
                <w:kern w:val="2"/>
                <w:sz w:val="21"/>
              </w:rPr>
            </w:pPr>
            <w:r>
              <w:rPr>
                <w:rFonts w:hint="eastAsia" w:eastAsia="宋体"/>
                <w:color w:val="auto"/>
                <w:kern w:val="2"/>
                <w:sz w:val="21"/>
              </w:rPr>
              <w:t>3、供应商为生产厂家的须具有医疗器械生产许可证和医疗器械经营许可证，供应商为代理商的须具有医疗器械经营许可证或医疗器械经营备案凭证。</w:t>
            </w:r>
          </w:p>
          <w:p>
            <w:pPr>
              <w:pStyle w:val="58"/>
              <w:spacing w:beforeAutospacing="0" w:afterAutospacing="0" w:line="360" w:lineRule="auto"/>
              <w:jc w:val="left"/>
              <w:rPr>
                <w:rFonts w:hint="eastAsia" w:eastAsia="宋体"/>
                <w:color w:val="auto"/>
                <w:kern w:val="2"/>
                <w:sz w:val="21"/>
              </w:rPr>
            </w:pPr>
            <w:r>
              <w:rPr>
                <w:rFonts w:hint="eastAsia" w:eastAsia="宋体"/>
                <w:color w:val="auto"/>
                <w:kern w:val="2"/>
                <w:sz w:val="21"/>
              </w:rPr>
              <w:t>4、响应供应商所投医疗器械须具有医疗器械注册证或备案证。</w:t>
            </w:r>
          </w:p>
          <w:p>
            <w:pPr>
              <w:pStyle w:val="58"/>
              <w:spacing w:beforeAutospacing="0" w:afterAutospacing="0" w:line="360" w:lineRule="auto"/>
              <w:jc w:val="left"/>
              <w:rPr>
                <w:rFonts w:hint="eastAsia" w:eastAsia="宋体"/>
                <w:color w:val="auto"/>
                <w:kern w:val="2"/>
                <w:sz w:val="21"/>
              </w:rPr>
            </w:pPr>
            <w:r>
              <w:rPr>
                <w:rFonts w:hint="eastAsia" w:eastAsia="宋体"/>
                <w:color w:val="auto"/>
                <w:kern w:val="2"/>
                <w:sz w:val="21"/>
              </w:rPr>
              <w:t>5、一个供应商只能提交一个响应文件。如果供应商之间存在下列互为关联关系（国有控股公司除外）的情形之一的，不得同时参加本项目报价（供应商须提供声明）；</w:t>
            </w:r>
          </w:p>
          <w:p>
            <w:pPr>
              <w:pStyle w:val="58"/>
              <w:spacing w:beforeAutospacing="0" w:afterAutospacing="0" w:line="360" w:lineRule="auto"/>
              <w:jc w:val="left"/>
              <w:rPr>
                <w:rFonts w:hint="eastAsia" w:eastAsia="宋体"/>
                <w:color w:val="auto"/>
                <w:kern w:val="2"/>
                <w:sz w:val="21"/>
              </w:rPr>
            </w:pPr>
            <w:r>
              <w:rPr>
                <w:rFonts w:hint="eastAsia" w:eastAsia="宋体"/>
                <w:color w:val="auto"/>
                <w:kern w:val="2"/>
                <w:sz w:val="21"/>
              </w:rPr>
              <w:t>5.1法定代表人为同一人的两个及两个以上法人；</w:t>
            </w:r>
          </w:p>
          <w:p>
            <w:pPr>
              <w:pStyle w:val="58"/>
              <w:spacing w:beforeAutospacing="0" w:afterAutospacing="0" w:line="360" w:lineRule="auto"/>
              <w:jc w:val="left"/>
              <w:rPr>
                <w:rFonts w:hint="eastAsia" w:eastAsia="宋体"/>
                <w:color w:val="auto"/>
                <w:kern w:val="2"/>
                <w:sz w:val="21"/>
              </w:rPr>
            </w:pPr>
            <w:r>
              <w:rPr>
                <w:rFonts w:hint="eastAsia" w:eastAsia="宋体"/>
                <w:color w:val="auto"/>
                <w:kern w:val="2"/>
                <w:sz w:val="21"/>
              </w:rPr>
              <w:t>5.2母公司、直接或间接持股 50%及以上的被投资公司；</w:t>
            </w:r>
          </w:p>
          <w:p>
            <w:pPr>
              <w:pStyle w:val="58"/>
              <w:spacing w:beforeAutospacing="0" w:afterAutospacing="0" w:line="360" w:lineRule="auto"/>
              <w:jc w:val="left"/>
              <w:rPr>
                <w:rFonts w:hint="eastAsia" w:eastAsia="宋体"/>
                <w:color w:val="auto"/>
                <w:kern w:val="2"/>
                <w:sz w:val="21"/>
              </w:rPr>
            </w:pPr>
            <w:r>
              <w:rPr>
                <w:rFonts w:hint="eastAsia" w:eastAsia="宋体"/>
                <w:color w:val="auto"/>
                <w:kern w:val="2"/>
                <w:sz w:val="21"/>
              </w:rPr>
              <w:t>5.3均为同一家母公司直接或间接持股 50%及以上的被投资公司。</w:t>
            </w:r>
          </w:p>
          <w:p>
            <w:pPr>
              <w:pStyle w:val="58"/>
              <w:spacing w:beforeAutospacing="0" w:afterAutospacing="0" w:line="360" w:lineRule="auto"/>
              <w:jc w:val="left"/>
              <w:rPr>
                <w:rFonts w:hint="eastAsia" w:eastAsia="宋体"/>
                <w:color w:val="auto"/>
                <w:kern w:val="2"/>
                <w:sz w:val="21"/>
              </w:rPr>
            </w:pPr>
            <w:r>
              <w:rPr>
                <w:rFonts w:hint="eastAsia" w:eastAsia="宋体"/>
                <w:color w:val="auto"/>
                <w:kern w:val="2"/>
                <w:sz w:val="21"/>
              </w:rPr>
              <w:t>6、开标之日起前三年内无不良信用记录（磋商小组通过“信用中国”“信用山东”及“中国政府采购网”查询）；</w:t>
            </w:r>
          </w:p>
          <w:p>
            <w:pPr>
              <w:pStyle w:val="58"/>
              <w:spacing w:beforeAutospacing="0" w:afterAutospacing="0" w:line="360" w:lineRule="auto"/>
              <w:jc w:val="left"/>
              <w:rPr>
                <w:rFonts w:hint="eastAsia" w:eastAsia="宋体"/>
                <w:color w:val="auto"/>
                <w:kern w:val="2"/>
                <w:sz w:val="21"/>
              </w:rPr>
            </w:pPr>
            <w:r>
              <w:rPr>
                <w:rFonts w:hint="eastAsia" w:eastAsia="宋体"/>
                <w:color w:val="auto"/>
                <w:kern w:val="2"/>
                <w:sz w:val="21"/>
              </w:rPr>
              <w:t>7、本项目不接受联合体报价；</w:t>
            </w:r>
          </w:p>
          <w:p>
            <w:pPr>
              <w:pStyle w:val="58"/>
              <w:spacing w:beforeAutospacing="0" w:afterAutospacing="0" w:line="360" w:lineRule="auto"/>
              <w:jc w:val="left"/>
              <w:rPr>
                <w:rFonts w:hint="eastAsia" w:eastAsia="宋体"/>
                <w:color w:val="auto"/>
                <w:kern w:val="2"/>
                <w:sz w:val="21"/>
              </w:rPr>
            </w:pPr>
            <w:r>
              <w:rPr>
                <w:rFonts w:hint="eastAsia" w:eastAsia="宋体"/>
                <w:color w:val="auto"/>
                <w:kern w:val="2"/>
                <w:sz w:val="21"/>
              </w:rPr>
              <w:t>8、资格审查方式：资格后审。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714" w:type="dxa"/>
            <w:vAlign w:val="center"/>
          </w:tcPr>
          <w:p>
            <w:pPr>
              <w:spacing w:beforeAutospacing="0" w:afterAutospacing="0" w:line="360" w:lineRule="auto"/>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9</w:t>
            </w:r>
          </w:p>
        </w:tc>
        <w:tc>
          <w:tcPr>
            <w:tcW w:w="1925" w:type="dxa"/>
            <w:vAlign w:val="center"/>
          </w:tcPr>
          <w:p>
            <w:pPr>
              <w:widowControl/>
              <w:spacing w:beforeAutospacing="0" w:afterAutospacing="0" w:line="440" w:lineRule="exact"/>
              <w:jc w:val="center"/>
              <w:rPr>
                <w:rFonts w:hint="eastAsia" w:hAnsi="宋体"/>
                <w:color w:val="auto"/>
                <w:sz w:val="21"/>
                <w:szCs w:val="21"/>
              </w:rPr>
            </w:pPr>
            <w:r>
              <w:rPr>
                <w:rFonts w:hint="eastAsia" w:hAnsi="宋体"/>
                <w:color w:val="auto"/>
                <w:sz w:val="21"/>
                <w:szCs w:val="21"/>
              </w:rPr>
              <w:t>资格审查及递交报价文件时需携带的证件</w:t>
            </w:r>
          </w:p>
        </w:tc>
        <w:tc>
          <w:tcPr>
            <w:tcW w:w="7100" w:type="dxa"/>
            <w:vAlign w:val="center"/>
          </w:tcPr>
          <w:p>
            <w:pPr>
              <w:spacing w:beforeAutospacing="0" w:afterAutospacing="0" w:line="440" w:lineRule="exact"/>
              <w:ind w:firstLine="411" w:firstLineChars="196"/>
              <w:rPr>
                <w:rFonts w:hint="eastAsia" w:ascii="宋体" w:hAnsi="宋体"/>
                <w:color w:val="auto"/>
                <w:sz w:val="21"/>
                <w:szCs w:val="21"/>
              </w:rPr>
            </w:pPr>
            <w:r>
              <w:rPr>
                <w:rFonts w:hint="eastAsia" w:ascii="宋体" w:hAnsi="宋体"/>
                <w:color w:val="auto"/>
                <w:sz w:val="21"/>
                <w:szCs w:val="21"/>
              </w:rPr>
              <w:t>本项目为资格后审，供应商应将需要</w:t>
            </w:r>
            <w:r>
              <w:rPr>
                <w:rFonts w:hint="eastAsia" w:ascii="宋体" w:hAnsi="宋体"/>
                <w:color w:val="auto"/>
                <w:sz w:val="21"/>
                <w:szCs w:val="21"/>
                <w:lang w:eastAsia="zh-CN"/>
              </w:rPr>
              <w:t>磋商</w:t>
            </w:r>
            <w:r>
              <w:rPr>
                <w:rFonts w:hint="eastAsia" w:ascii="宋体" w:hAnsi="宋体"/>
                <w:color w:val="auto"/>
                <w:sz w:val="21"/>
                <w:szCs w:val="21"/>
              </w:rPr>
              <w:t>小组资格评审的相关证件资料密封包装，在递交报价文件时一并提交，未提供或者提供不全的，</w:t>
            </w:r>
            <w:r>
              <w:rPr>
                <w:rFonts w:hint="eastAsia" w:ascii="宋体" w:hAnsi="宋体"/>
                <w:color w:val="auto"/>
                <w:sz w:val="21"/>
                <w:szCs w:val="21"/>
                <w:lang w:eastAsia="zh-CN"/>
              </w:rPr>
              <w:t>磋商</w:t>
            </w:r>
            <w:r>
              <w:rPr>
                <w:rFonts w:hint="eastAsia" w:ascii="宋体" w:hAnsi="宋体"/>
                <w:color w:val="auto"/>
                <w:sz w:val="21"/>
                <w:szCs w:val="21"/>
              </w:rPr>
              <w:t>小组将否决其投标。</w:t>
            </w:r>
          </w:p>
          <w:p>
            <w:pPr>
              <w:spacing w:beforeAutospacing="0" w:afterAutospacing="0" w:line="440" w:lineRule="exact"/>
              <w:ind w:firstLine="411" w:firstLineChars="196"/>
              <w:rPr>
                <w:rFonts w:hint="eastAsia" w:ascii="宋体" w:hAnsi="宋体"/>
                <w:color w:val="auto"/>
                <w:sz w:val="21"/>
                <w:szCs w:val="21"/>
              </w:rPr>
            </w:pPr>
            <w:r>
              <w:rPr>
                <w:rFonts w:hint="eastAsia" w:ascii="宋体" w:hAnsi="宋体"/>
                <w:color w:val="auto"/>
                <w:sz w:val="21"/>
                <w:szCs w:val="21"/>
              </w:rPr>
              <w:t>营业执照</w:t>
            </w:r>
            <w:r>
              <w:rPr>
                <w:rFonts w:hint="eastAsia" w:ascii="宋体" w:hAnsi="宋体"/>
                <w:color w:val="auto"/>
                <w:sz w:val="21"/>
                <w:szCs w:val="21"/>
                <w:lang w:eastAsia="zh-CN"/>
              </w:rPr>
              <w:t>原件；</w:t>
            </w:r>
            <w:r>
              <w:rPr>
                <w:rFonts w:hint="eastAsia" w:ascii="宋体" w:hAnsi="宋体"/>
                <w:color w:val="auto"/>
                <w:sz w:val="21"/>
                <w:szCs w:val="21"/>
              </w:rPr>
              <w:t>所投医疗器械医疗器械注册证或备案证</w:t>
            </w:r>
            <w:r>
              <w:rPr>
                <w:rFonts w:hint="eastAsia" w:ascii="宋体" w:hAnsi="宋体"/>
                <w:color w:val="auto"/>
                <w:sz w:val="21"/>
                <w:szCs w:val="21"/>
                <w:lang w:eastAsia="zh-CN"/>
              </w:rPr>
              <w:t>；</w:t>
            </w:r>
            <w:r>
              <w:rPr>
                <w:rFonts w:hint="eastAsia" w:ascii="宋体" w:hAnsi="宋体"/>
                <w:color w:val="auto"/>
                <w:sz w:val="21"/>
                <w:szCs w:val="21"/>
              </w:rPr>
              <w:t>投标单位为生产商的需提供《医疗器械生产企业许可证》和《医疗器械经营许可证》原件</w:t>
            </w:r>
            <w:r>
              <w:rPr>
                <w:rFonts w:hint="eastAsia" w:ascii="宋体" w:hAnsi="宋体"/>
                <w:color w:val="auto"/>
                <w:sz w:val="21"/>
                <w:szCs w:val="21"/>
                <w:lang w:eastAsia="zh-CN"/>
              </w:rPr>
              <w:t>；</w:t>
            </w:r>
            <w:r>
              <w:rPr>
                <w:rFonts w:hint="eastAsia" w:ascii="宋体" w:hAnsi="宋体"/>
                <w:color w:val="auto"/>
                <w:sz w:val="21"/>
                <w:szCs w:val="21"/>
              </w:rPr>
              <w:t>投标单位为代理商的需提供《医疗器械经营企业许可证》或《医疗器械经营备案凭证》原件</w:t>
            </w:r>
            <w:r>
              <w:rPr>
                <w:rFonts w:hint="eastAsia" w:ascii="宋体" w:hAnsi="宋体"/>
                <w:color w:val="auto"/>
                <w:sz w:val="21"/>
                <w:szCs w:val="21"/>
                <w:lang w:eastAsia="zh-CN"/>
              </w:rPr>
              <w:t>。</w:t>
            </w:r>
          </w:p>
          <w:p>
            <w:pPr>
              <w:spacing w:beforeAutospacing="0" w:afterAutospacing="0" w:line="440" w:lineRule="exact"/>
              <w:ind w:firstLine="413" w:firstLineChars="196"/>
              <w:rPr>
                <w:rFonts w:hint="eastAsia" w:ascii="宋体" w:hAnsi="宋体"/>
                <w:b/>
                <w:color w:val="auto"/>
                <w:sz w:val="21"/>
                <w:szCs w:val="21"/>
              </w:rPr>
            </w:pPr>
            <w:r>
              <w:rPr>
                <w:rFonts w:hint="eastAsia" w:ascii="宋体" w:hAnsi="宋体"/>
                <w:b/>
                <w:color w:val="auto"/>
                <w:sz w:val="21"/>
                <w:szCs w:val="21"/>
              </w:rPr>
              <w:t>报价文件递交截止时间后提交的证件的，不予接受。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714" w:type="dxa"/>
            <w:vAlign w:val="center"/>
          </w:tcPr>
          <w:p>
            <w:pPr>
              <w:spacing w:beforeAutospacing="0" w:afterAutospacing="0" w:line="360" w:lineRule="auto"/>
              <w:jc w:val="center"/>
              <w:rPr>
                <w:rFonts w:hint="eastAsia" w:ascii="宋体" w:hAnsi="宋体" w:eastAsia="宋体"/>
                <w:color w:val="auto"/>
                <w:szCs w:val="21"/>
                <w:lang w:val="en-US" w:eastAsia="zh-CN"/>
              </w:rPr>
            </w:pPr>
            <w:r>
              <w:rPr>
                <w:rFonts w:hint="eastAsia" w:ascii="宋体" w:hAnsi="宋体" w:eastAsia="宋体"/>
                <w:color w:val="auto"/>
                <w:szCs w:val="21"/>
                <w:lang w:val="en-US" w:eastAsia="zh-CN"/>
              </w:rPr>
              <w:t>10</w:t>
            </w:r>
          </w:p>
        </w:tc>
        <w:tc>
          <w:tcPr>
            <w:tcW w:w="1925" w:type="dxa"/>
            <w:vAlign w:val="center"/>
          </w:tcPr>
          <w:p>
            <w:pPr>
              <w:widowControl/>
              <w:spacing w:beforeAutospacing="0" w:afterAutospacing="0" w:line="440" w:lineRule="exact"/>
              <w:jc w:val="center"/>
              <w:rPr>
                <w:rFonts w:hint="eastAsia" w:hAnsi="宋体"/>
                <w:color w:val="auto"/>
                <w:sz w:val="21"/>
                <w:szCs w:val="21"/>
              </w:rPr>
            </w:pPr>
            <w:r>
              <w:rPr>
                <w:rFonts w:hint="eastAsia" w:hAnsi="宋体"/>
                <w:color w:val="auto"/>
                <w:sz w:val="21"/>
                <w:szCs w:val="21"/>
              </w:rPr>
              <w:t>参加谈判会议时供应商需要携带的证件</w:t>
            </w:r>
          </w:p>
        </w:tc>
        <w:tc>
          <w:tcPr>
            <w:tcW w:w="7100" w:type="dxa"/>
            <w:vAlign w:val="center"/>
          </w:tcPr>
          <w:p>
            <w:pPr>
              <w:pStyle w:val="39"/>
              <w:tabs>
                <w:tab w:val="left" w:pos="540"/>
              </w:tabs>
              <w:spacing w:beforeAutospacing="0" w:afterAutospacing="0" w:line="400" w:lineRule="exact"/>
              <w:ind w:left="48" w:leftChars="23" w:firstLine="315" w:firstLineChars="150"/>
              <w:rPr>
                <w:rFonts w:hint="eastAsia" w:ascii="宋体" w:hAnsi="宋体"/>
                <w:color w:val="auto"/>
                <w:sz w:val="21"/>
                <w:szCs w:val="21"/>
              </w:rPr>
            </w:pPr>
            <w:r>
              <w:rPr>
                <w:rFonts w:hint="eastAsia" w:ascii="宋体" w:hAnsi="宋体"/>
                <w:color w:val="auto"/>
                <w:sz w:val="21"/>
                <w:szCs w:val="21"/>
              </w:rPr>
              <w:t>1、报价单位的法定代表人（或其委托代理人）应按时参加谈判会议。</w:t>
            </w:r>
          </w:p>
          <w:p>
            <w:pPr>
              <w:pStyle w:val="39"/>
              <w:tabs>
                <w:tab w:val="left" w:pos="540"/>
              </w:tabs>
              <w:spacing w:beforeAutospacing="0" w:afterAutospacing="0" w:line="400" w:lineRule="exact"/>
              <w:ind w:left="48" w:leftChars="23" w:firstLine="315" w:firstLineChars="150"/>
              <w:rPr>
                <w:rFonts w:hint="eastAsia" w:ascii="宋体" w:hAnsi="宋体"/>
                <w:color w:val="auto"/>
                <w:sz w:val="21"/>
                <w:szCs w:val="21"/>
              </w:rPr>
            </w:pPr>
            <w:r>
              <w:rPr>
                <w:rFonts w:hint="eastAsia" w:ascii="宋体" w:hAnsi="宋体"/>
                <w:color w:val="auto"/>
                <w:sz w:val="21"/>
                <w:szCs w:val="21"/>
              </w:rPr>
              <w:t>2、企业法定代表人参加谈判会议的，需提交其身份证原件；委托代理人参加谈判会议的，需提交其身份证原件及授权委托书原件。</w:t>
            </w:r>
          </w:p>
          <w:p>
            <w:pPr>
              <w:pStyle w:val="39"/>
              <w:tabs>
                <w:tab w:val="left" w:pos="540"/>
              </w:tabs>
              <w:spacing w:beforeAutospacing="0" w:afterAutospacing="0" w:line="400" w:lineRule="exact"/>
              <w:ind w:left="99" w:leftChars="47" w:firstLine="210" w:firstLineChars="100"/>
              <w:rPr>
                <w:rFonts w:hint="eastAsia" w:ascii="宋体" w:hAnsi="宋体"/>
                <w:color w:val="auto"/>
                <w:sz w:val="21"/>
                <w:szCs w:val="21"/>
              </w:rPr>
            </w:pPr>
            <w:r>
              <w:rPr>
                <w:rFonts w:hint="eastAsia" w:ascii="宋体" w:hAnsi="宋体"/>
                <w:color w:val="auto"/>
                <w:sz w:val="21"/>
                <w:szCs w:val="21"/>
              </w:rPr>
              <w:t>未按规定提交证件的报价单位，其报价文件将被拒绝。</w:t>
            </w:r>
          </w:p>
          <w:p>
            <w:pPr>
              <w:pStyle w:val="39"/>
              <w:tabs>
                <w:tab w:val="left" w:pos="540"/>
              </w:tabs>
              <w:spacing w:beforeAutospacing="0" w:afterAutospacing="0" w:line="400" w:lineRule="exact"/>
              <w:ind w:left="99" w:leftChars="47" w:firstLine="211" w:firstLineChars="100"/>
              <w:rPr>
                <w:rFonts w:hint="eastAsia" w:ascii="宋体" w:hAnsi="宋体"/>
                <w:b/>
                <w:color w:val="auto"/>
                <w:sz w:val="21"/>
                <w:szCs w:val="21"/>
              </w:rPr>
            </w:pPr>
            <w:r>
              <w:rPr>
                <w:rFonts w:hint="eastAsia" w:ascii="宋体" w:hAnsi="宋体"/>
                <w:b/>
                <w:color w:val="auto"/>
                <w:sz w:val="21"/>
                <w:szCs w:val="21"/>
              </w:rPr>
              <w:t>注：（1）身份证原件和授权委托书原件（1份）应随身携带（请勿密封），在开标时提交给招标人或其委托的代理机构；</w:t>
            </w:r>
          </w:p>
          <w:p>
            <w:pPr>
              <w:widowControl/>
              <w:spacing w:beforeAutospacing="0" w:afterAutospacing="0" w:line="440" w:lineRule="exact"/>
              <w:rPr>
                <w:rFonts w:hint="eastAsia" w:ascii="宋体" w:hAnsi="宋体"/>
                <w:b/>
                <w:color w:val="auto"/>
                <w:sz w:val="21"/>
                <w:szCs w:val="21"/>
              </w:rPr>
            </w:pPr>
            <w:r>
              <w:rPr>
                <w:rFonts w:hint="eastAsia" w:ascii="宋体" w:hAnsi="宋体"/>
                <w:b/>
                <w:color w:val="auto"/>
                <w:sz w:val="21"/>
                <w:szCs w:val="21"/>
              </w:rPr>
              <w:t>（2）如谈判文件“报价文件格式”中有相关要求，授权委托书还应按招标文件“投标文件格式”装订到投标文件一份。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714"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1</w:t>
            </w:r>
            <w:r>
              <w:rPr>
                <w:rFonts w:hint="eastAsia" w:ascii="宋体" w:hAnsi="宋体" w:eastAsia="宋体"/>
                <w:color w:val="auto"/>
                <w:szCs w:val="21"/>
                <w:lang w:val="en-US" w:eastAsia="zh-CN"/>
              </w:rPr>
              <w:t>1</w:t>
            </w:r>
          </w:p>
        </w:tc>
        <w:tc>
          <w:tcPr>
            <w:tcW w:w="1925"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磋商有效期</w:t>
            </w:r>
          </w:p>
        </w:tc>
        <w:tc>
          <w:tcPr>
            <w:tcW w:w="7100" w:type="dxa"/>
            <w:vAlign w:val="center"/>
          </w:tcPr>
          <w:p>
            <w:pPr>
              <w:spacing w:beforeAutospacing="0" w:afterAutospacing="0" w:line="360" w:lineRule="auto"/>
              <w:jc w:val="left"/>
              <w:rPr>
                <w:rFonts w:hint="eastAsia" w:ascii="宋体" w:hAnsi="宋体" w:eastAsia="宋体"/>
                <w:color w:val="auto"/>
                <w:szCs w:val="21"/>
              </w:rPr>
            </w:pPr>
            <w:r>
              <w:rPr>
                <w:rFonts w:hint="eastAsia" w:ascii="宋体" w:hAnsi="宋体" w:eastAsia="宋体"/>
                <w:color w:val="auto"/>
                <w:szCs w:val="21"/>
              </w:rPr>
              <w:t>自递交磋商响应文件截止之日起60个日历天。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714"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1</w:t>
            </w:r>
            <w:r>
              <w:rPr>
                <w:rFonts w:hint="eastAsia" w:ascii="宋体" w:hAnsi="宋体" w:eastAsia="宋体"/>
                <w:color w:val="auto"/>
                <w:szCs w:val="21"/>
                <w:lang w:val="en-US" w:eastAsia="zh-CN"/>
              </w:rPr>
              <w:t>2</w:t>
            </w:r>
          </w:p>
        </w:tc>
        <w:tc>
          <w:tcPr>
            <w:tcW w:w="1925"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磋商响应文件</w:t>
            </w:r>
          </w:p>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份数</w:t>
            </w:r>
          </w:p>
        </w:tc>
        <w:tc>
          <w:tcPr>
            <w:tcW w:w="7100" w:type="dxa"/>
            <w:vAlign w:val="center"/>
          </w:tcPr>
          <w:p>
            <w:pPr>
              <w:spacing w:beforeAutospacing="0" w:afterAutospacing="0" w:line="360" w:lineRule="auto"/>
              <w:jc w:val="left"/>
              <w:rPr>
                <w:rFonts w:hint="eastAsia" w:ascii="宋体" w:hAnsi="宋体" w:eastAsia="宋体"/>
                <w:color w:val="auto"/>
                <w:szCs w:val="21"/>
              </w:rPr>
            </w:pPr>
            <w:r>
              <w:rPr>
                <w:rFonts w:hint="eastAsia" w:ascii="宋体" w:hAnsi="宋体" w:eastAsia="宋体"/>
                <w:color w:val="auto"/>
                <w:szCs w:val="21"/>
              </w:rPr>
              <w:t>一份正本，四份副本；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8" w:hRule="atLeast"/>
          <w:jc w:val="center"/>
        </w:trPr>
        <w:tc>
          <w:tcPr>
            <w:tcW w:w="714"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1</w:t>
            </w:r>
            <w:r>
              <w:rPr>
                <w:rFonts w:hint="eastAsia" w:ascii="宋体" w:hAnsi="宋体" w:eastAsia="宋体"/>
                <w:color w:val="auto"/>
                <w:szCs w:val="21"/>
                <w:lang w:val="en-US" w:eastAsia="zh-CN"/>
              </w:rPr>
              <w:t>3</w:t>
            </w:r>
          </w:p>
        </w:tc>
        <w:tc>
          <w:tcPr>
            <w:tcW w:w="1925"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响应文件的密封</w:t>
            </w:r>
          </w:p>
        </w:tc>
        <w:tc>
          <w:tcPr>
            <w:tcW w:w="7100" w:type="dxa"/>
            <w:vAlign w:val="center"/>
          </w:tcPr>
          <w:p>
            <w:pPr>
              <w:spacing w:beforeAutospacing="0" w:afterAutospacing="0" w:line="360" w:lineRule="auto"/>
              <w:jc w:val="left"/>
              <w:rPr>
                <w:rFonts w:hint="eastAsia" w:ascii="宋体" w:hAnsi="宋体" w:eastAsia="宋体"/>
                <w:bCs/>
                <w:color w:val="auto"/>
                <w:szCs w:val="21"/>
              </w:rPr>
            </w:pPr>
            <w:r>
              <w:rPr>
                <w:rFonts w:hint="eastAsia" w:ascii="宋体" w:hAnsi="宋体" w:eastAsia="宋体"/>
                <w:bCs/>
                <w:color w:val="auto"/>
                <w:szCs w:val="21"/>
              </w:rPr>
              <w:t>1、密封套应标注项目名称、采购人名称等内容，密封套封口处应加盖供应商单位公章或由授权委托人签字。</w:t>
            </w:r>
          </w:p>
          <w:p>
            <w:pPr>
              <w:spacing w:beforeAutospacing="0" w:afterAutospacing="0" w:line="360" w:lineRule="auto"/>
              <w:jc w:val="left"/>
              <w:rPr>
                <w:rFonts w:hint="eastAsia" w:ascii="宋体" w:hAnsi="宋体" w:eastAsia="宋体"/>
                <w:bCs/>
                <w:color w:val="auto"/>
                <w:szCs w:val="21"/>
              </w:rPr>
            </w:pPr>
            <w:r>
              <w:rPr>
                <w:rFonts w:hint="eastAsia" w:ascii="宋体" w:hAnsi="宋体" w:eastAsia="宋体"/>
                <w:bCs/>
                <w:color w:val="auto"/>
                <w:szCs w:val="21"/>
              </w:rPr>
              <w:t>2、未按照上述要求密封及在密封套标注的，其响应文件将被拒绝。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8" w:hRule="atLeast"/>
          <w:jc w:val="center"/>
        </w:trPr>
        <w:tc>
          <w:tcPr>
            <w:tcW w:w="714"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1</w:t>
            </w:r>
            <w:r>
              <w:rPr>
                <w:rFonts w:hint="eastAsia" w:ascii="宋体" w:hAnsi="宋体" w:eastAsia="宋体"/>
                <w:color w:val="auto"/>
                <w:szCs w:val="21"/>
                <w:lang w:val="en-US" w:eastAsia="zh-CN"/>
              </w:rPr>
              <w:t>4</w:t>
            </w:r>
          </w:p>
        </w:tc>
        <w:tc>
          <w:tcPr>
            <w:tcW w:w="1925"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响应文件装订要求</w:t>
            </w:r>
          </w:p>
        </w:tc>
        <w:tc>
          <w:tcPr>
            <w:tcW w:w="7100" w:type="dxa"/>
            <w:vAlign w:val="center"/>
          </w:tcPr>
          <w:p>
            <w:pPr>
              <w:spacing w:beforeAutospacing="0" w:afterAutospacing="0" w:line="360" w:lineRule="auto"/>
              <w:jc w:val="left"/>
              <w:rPr>
                <w:rFonts w:hint="eastAsia" w:ascii="宋体" w:hAnsi="宋体" w:eastAsia="宋体"/>
                <w:color w:val="auto"/>
                <w:szCs w:val="21"/>
              </w:rPr>
            </w:pPr>
            <w:r>
              <w:rPr>
                <w:rFonts w:hint="eastAsia" w:ascii="宋体" w:hAnsi="宋体" w:eastAsia="宋体"/>
                <w:color w:val="auto"/>
                <w:szCs w:val="21"/>
              </w:rPr>
              <w:t>1、响应文件的正本与副本应分别装订成册。</w:t>
            </w:r>
          </w:p>
          <w:p>
            <w:pPr>
              <w:spacing w:beforeAutospacing="0" w:afterAutospacing="0" w:line="360" w:lineRule="auto"/>
              <w:jc w:val="left"/>
              <w:rPr>
                <w:rFonts w:hint="eastAsia" w:ascii="宋体" w:hAnsi="宋体" w:eastAsia="宋体"/>
                <w:color w:val="auto"/>
                <w:szCs w:val="21"/>
              </w:rPr>
            </w:pPr>
            <w:r>
              <w:rPr>
                <w:rFonts w:hint="eastAsia" w:ascii="宋体" w:hAnsi="宋体" w:eastAsia="宋体"/>
                <w:color w:val="auto"/>
                <w:szCs w:val="21"/>
              </w:rPr>
              <w:t>2、响应文件每册均须采用胶装方式装订，装订须牢固不易拆散和换页，不得采用活页方式装订。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714"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1</w:t>
            </w:r>
            <w:r>
              <w:rPr>
                <w:rFonts w:hint="eastAsia" w:ascii="宋体" w:hAnsi="宋体" w:eastAsia="宋体"/>
                <w:color w:val="auto"/>
                <w:szCs w:val="21"/>
                <w:lang w:val="en-US" w:eastAsia="zh-CN"/>
              </w:rPr>
              <w:t>5</w:t>
            </w:r>
          </w:p>
        </w:tc>
        <w:tc>
          <w:tcPr>
            <w:tcW w:w="1925"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磋商响应文件递交地点及截止时间</w:t>
            </w:r>
          </w:p>
        </w:tc>
        <w:tc>
          <w:tcPr>
            <w:tcW w:w="7100" w:type="dxa"/>
            <w:vAlign w:val="center"/>
          </w:tcPr>
          <w:p>
            <w:pPr>
              <w:spacing w:beforeAutospacing="0" w:afterAutospacing="0" w:line="360" w:lineRule="auto"/>
              <w:jc w:val="left"/>
              <w:rPr>
                <w:rFonts w:hint="eastAsia" w:ascii="宋体" w:hAnsi="宋体" w:eastAsia="宋体"/>
                <w:color w:val="auto"/>
                <w:szCs w:val="21"/>
              </w:rPr>
            </w:pPr>
            <w:r>
              <w:rPr>
                <w:rFonts w:hint="eastAsia" w:ascii="宋体" w:hAnsi="宋体" w:eastAsia="宋体"/>
                <w:color w:val="auto"/>
                <w:szCs w:val="21"/>
              </w:rPr>
              <w:t>递交地点：</w:t>
            </w:r>
            <w:r>
              <w:rPr>
                <w:rFonts w:hint="eastAsia" w:ascii="宋体" w:hAnsi="宋体" w:eastAsia="宋体"/>
                <w:bCs/>
                <w:color w:val="auto"/>
                <w:kern w:val="0"/>
                <w:szCs w:val="21"/>
                <w:lang w:eastAsia="zh-CN"/>
              </w:rPr>
              <w:t>邹城市看庄镇为民服务中心二楼会议室</w:t>
            </w:r>
          </w:p>
          <w:p>
            <w:pPr>
              <w:spacing w:beforeAutospacing="0" w:afterAutospacing="0" w:line="360" w:lineRule="auto"/>
              <w:jc w:val="left"/>
              <w:rPr>
                <w:rFonts w:hint="eastAsia" w:ascii="宋体" w:hAnsi="宋体" w:eastAsia="宋体"/>
                <w:color w:val="auto"/>
                <w:szCs w:val="21"/>
              </w:rPr>
            </w:pPr>
            <w:r>
              <w:rPr>
                <w:rFonts w:hint="eastAsia" w:ascii="宋体" w:hAnsi="宋体" w:eastAsia="宋体"/>
                <w:color w:val="auto"/>
                <w:szCs w:val="21"/>
              </w:rPr>
              <w:t>截止时间：</w:t>
            </w:r>
            <w:r>
              <w:rPr>
                <w:rFonts w:hint="eastAsia" w:ascii="宋体" w:hAnsi="宋体" w:eastAsia="宋体"/>
                <w:color w:val="auto"/>
                <w:szCs w:val="21"/>
                <w:lang w:eastAsia="zh-CN"/>
              </w:rPr>
              <w:t>2023年</w:t>
            </w:r>
            <w:r>
              <w:rPr>
                <w:rFonts w:hint="eastAsia" w:ascii="宋体" w:hAnsi="宋体" w:eastAsia="宋体"/>
                <w:color w:val="auto"/>
                <w:szCs w:val="21"/>
                <w:lang w:val="en-US" w:eastAsia="zh-CN"/>
              </w:rPr>
              <w:t>3</w:t>
            </w:r>
            <w:r>
              <w:rPr>
                <w:rFonts w:hint="eastAsia" w:ascii="宋体" w:hAnsi="宋体" w:eastAsia="宋体"/>
                <w:color w:val="auto"/>
                <w:szCs w:val="21"/>
                <w:lang w:eastAsia="zh-CN"/>
              </w:rPr>
              <w:t>月</w:t>
            </w:r>
            <w:r>
              <w:rPr>
                <w:rFonts w:hint="eastAsia" w:ascii="宋体" w:hAnsi="宋体"/>
                <w:color w:val="auto"/>
                <w:szCs w:val="21"/>
                <w:lang w:val="en-US" w:eastAsia="zh-CN"/>
              </w:rPr>
              <w:t>17</w:t>
            </w:r>
            <w:r>
              <w:rPr>
                <w:rFonts w:hint="eastAsia" w:ascii="宋体" w:hAnsi="宋体" w:eastAsia="宋体"/>
                <w:color w:val="auto"/>
                <w:szCs w:val="21"/>
                <w:lang w:eastAsia="zh-CN"/>
              </w:rPr>
              <w:t>日</w:t>
            </w:r>
            <w:r>
              <w:rPr>
                <w:rFonts w:hint="eastAsia" w:ascii="宋体" w:hAnsi="宋体"/>
                <w:color w:val="auto"/>
                <w:szCs w:val="21"/>
                <w:lang w:val="en-US" w:eastAsia="zh-CN"/>
              </w:rPr>
              <w:t>10</w:t>
            </w:r>
            <w:r>
              <w:rPr>
                <w:rFonts w:hint="eastAsia" w:ascii="宋体" w:hAnsi="宋体" w:eastAsia="宋体"/>
                <w:color w:val="auto"/>
                <w:szCs w:val="21"/>
                <w:lang w:eastAsia="zh-CN"/>
              </w:rPr>
              <w:t>时30分</w:t>
            </w:r>
            <w:r>
              <w:rPr>
                <w:rFonts w:hint="eastAsia" w:ascii="宋体" w:hAnsi="宋体" w:eastAsia="宋体"/>
                <w:color w:val="auto"/>
                <w:szCs w:val="21"/>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714"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1</w:t>
            </w:r>
            <w:r>
              <w:rPr>
                <w:rFonts w:hint="eastAsia" w:ascii="宋体" w:hAnsi="宋体" w:eastAsia="宋体"/>
                <w:color w:val="auto"/>
                <w:szCs w:val="21"/>
                <w:lang w:val="en-US" w:eastAsia="zh-CN"/>
              </w:rPr>
              <w:t>6</w:t>
            </w:r>
          </w:p>
        </w:tc>
        <w:tc>
          <w:tcPr>
            <w:tcW w:w="1925"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磋商时间及地点</w:t>
            </w:r>
          </w:p>
        </w:tc>
        <w:tc>
          <w:tcPr>
            <w:tcW w:w="7100" w:type="dxa"/>
            <w:vAlign w:val="center"/>
          </w:tcPr>
          <w:p>
            <w:pPr>
              <w:spacing w:beforeAutospacing="0" w:afterAutospacing="0" w:line="360" w:lineRule="auto"/>
              <w:jc w:val="left"/>
              <w:rPr>
                <w:rFonts w:hint="eastAsia" w:ascii="宋体" w:hAnsi="宋体" w:eastAsia="宋体"/>
                <w:color w:val="auto"/>
                <w:szCs w:val="21"/>
              </w:rPr>
            </w:pPr>
            <w:r>
              <w:rPr>
                <w:rFonts w:hint="eastAsia" w:ascii="宋体" w:hAnsi="宋体" w:eastAsia="宋体"/>
                <w:color w:val="auto"/>
                <w:szCs w:val="21"/>
              </w:rPr>
              <w:t>磋商时间：</w:t>
            </w:r>
            <w:r>
              <w:rPr>
                <w:rFonts w:hint="eastAsia" w:ascii="宋体" w:hAnsi="宋体" w:eastAsia="宋体"/>
                <w:color w:val="auto"/>
                <w:szCs w:val="21"/>
                <w:lang w:eastAsia="zh-CN"/>
              </w:rPr>
              <w:t>2023年</w:t>
            </w:r>
            <w:r>
              <w:rPr>
                <w:rFonts w:hint="eastAsia" w:ascii="宋体" w:hAnsi="宋体" w:eastAsia="宋体"/>
                <w:color w:val="auto"/>
                <w:szCs w:val="21"/>
                <w:lang w:val="en-US" w:eastAsia="zh-CN"/>
              </w:rPr>
              <w:t>3</w:t>
            </w:r>
            <w:r>
              <w:rPr>
                <w:rFonts w:hint="eastAsia" w:ascii="宋体" w:hAnsi="宋体" w:eastAsia="宋体"/>
                <w:color w:val="auto"/>
                <w:szCs w:val="21"/>
                <w:lang w:eastAsia="zh-CN"/>
              </w:rPr>
              <w:t>月</w:t>
            </w:r>
            <w:r>
              <w:rPr>
                <w:rFonts w:hint="eastAsia" w:ascii="宋体" w:hAnsi="宋体"/>
                <w:color w:val="auto"/>
                <w:szCs w:val="21"/>
                <w:lang w:val="en-US" w:eastAsia="zh-CN"/>
              </w:rPr>
              <w:t>17</w:t>
            </w:r>
            <w:r>
              <w:rPr>
                <w:rFonts w:hint="eastAsia" w:ascii="宋体" w:hAnsi="宋体" w:eastAsia="宋体"/>
                <w:color w:val="auto"/>
                <w:szCs w:val="21"/>
                <w:lang w:eastAsia="zh-CN"/>
              </w:rPr>
              <w:t>日</w:t>
            </w:r>
            <w:r>
              <w:rPr>
                <w:rFonts w:hint="eastAsia" w:ascii="宋体" w:hAnsi="宋体"/>
                <w:color w:val="auto"/>
                <w:szCs w:val="21"/>
                <w:lang w:val="en-US" w:eastAsia="zh-CN"/>
              </w:rPr>
              <w:t>10</w:t>
            </w:r>
            <w:r>
              <w:rPr>
                <w:rFonts w:hint="eastAsia" w:ascii="宋体" w:hAnsi="宋体" w:eastAsia="宋体"/>
                <w:color w:val="auto"/>
                <w:szCs w:val="21"/>
                <w:lang w:eastAsia="zh-CN"/>
              </w:rPr>
              <w:t>时30分</w:t>
            </w:r>
            <w:r>
              <w:rPr>
                <w:rFonts w:hint="eastAsia" w:ascii="宋体" w:hAnsi="宋体" w:eastAsia="宋体"/>
                <w:color w:val="auto"/>
                <w:szCs w:val="21"/>
              </w:rPr>
              <w:t>（北京时间）</w:t>
            </w:r>
          </w:p>
          <w:p>
            <w:pPr>
              <w:spacing w:beforeAutospacing="0" w:afterAutospacing="0" w:line="360" w:lineRule="auto"/>
              <w:jc w:val="left"/>
              <w:rPr>
                <w:rFonts w:hint="eastAsia" w:ascii="宋体" w:hAnsi="宋体" w:eastAsia="宋体"/>
                <w:color w:val="auto"/>
                <w:szCs w:val="21"/>
              </w:rPr>
            </w:pPr>
            <w:r>
              <w:rPr>
                <w:rFonts w:hint="eastAsia" w:ascii="宋体" w:hAnsi="宋体" w:eastAsia="宋体"/>
                <w:color w:val="auto"/>
                <w:szCs w:val="21"/>
              </w:rPr>
              <w:t>磋商地点：</w:t>
            </w:r>
            <w:r>
              <w:rPr>
                <w:rFonts w:hint="eastAsia" w:ascii="宋体" w:hAnsi="宋体" w:eastAsia="宋体"/>
                <w:color w:val="auto"/>
                <w:szCs w:val="21"/>
                <w:lang w:eastAsia="zh-CN"/>
              </w:rPr>
              <w:t>邹城市看庄镇为民服务中心二楼会议室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714"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1</w:t>
            </w:r>
            <w:r>
              <w:rPr>
                <w:rFonts w:hint="eastAsia" w:ascii="宋体" w:hAnsi="宋体" w:eastAsia="宋体"/>
                <w:color w:val="auto"/>
                <w:szCs w:val="21"/>
                <w:lang w:val="en-US" w:eastAsia="zh-CN"/>
              </w:rPr>
              <w:t>7</w:t>
            </w:r>
          </w:p>
        </w:tc>
        <w:tc>
          <w:tcPr>
            <w:tcW w:w="1925"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成交原则</w:t>
            </w:r>
          </w:p>
        </w:tc>
        <w:tc>
          <w:tcPr>
            <w:tcW w:w="7100" w:type="dxa"/>
            <w:vAlign w:val="center"/>
          </w:tcPr>
          <w:p>
            <w:pPr>
              <w:spacing w:beforeAutospacing="0" w:afterAutospacing="0" w:line="360" w:lineRule="auto"/>
              <w:jc w:val="left"/>
              <w:rPr>
                <w:rFonts w:hint="eastAsia" w:ascii="宋体" w:hAnsi="宋体" w:eastAsia="宋体"/>
                <w:color w:val="auto"/>
                <w:szCs w:val="21"/>
              </w:rPr>
            </w:pPr>
            <w:r>
              <w:rPr>
                <w:rFonts w:hint="eastAsia" w:ascii="宋体" w:hAnsi="宋体" w:eastAsia="宋体"/>
                <w:color w:val="auto"/>
                <w:szCs w:val="21"/>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4" w:hRule="atLeast"/>
          <w:jc w:val="center"/>
        </w:trPr>
        <w:tc>
          <w:tcPr>
            <w:tcW w:w="714" w:type="dxa"/>
            <w:vMerge w:val="restart"/>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1</w:t>
            </w:r>
            <w:r>
              <w:rPr>
                <w:rFonts w:hint="eastAsia" w:ascii="宋体" w:hAnsi="宋体" w:eastAsia="宋体"/>
                <w:color w:val="auto"/>
                <w:szCs w:val="21"/>
                <w:lang w:val="en-US" w:eastAsia="zh-CN"/>
              </w:rPr>
              <w:t>8</w:t>
            </w:r>
          </w:p>
        </w:tc>
        <w:tc>
          <w:tcPr>
            <w:tcW w:w="1925"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质疑投诉内容</w:t>
            </w:r>
          </w:p>
        </w:tc>
        <w:tc>
          <w:tcPr>
            <w:tcW w:w="7100" w:type="dxa"/>
            <w:vAlign w:val="center"/>
          </w:tcPr>
          <w:p>
            <w:pPr>
              <w:spacing w:beforeAutospacing="0" w:afterAutospacing="0" w:line="360" w:lineRule="auto"/>
              <w:ind w:firstLine="420" w:firstLineChars="200"/>
              <w:jc w:val="left"/>
              <w:rPr>
                <w:rFonts w:hint="eastAsia" w:ascii="宋体" w:hAnsi="宋体" w:eastAsia="宋体"/>
                <w:color w:val="auto"/>
                <w:szCs w:val="21"/>
              </w:rPr>
            </w:pPr>
            <w:r>
              <w:rPr>
                <w:rFonts w:hint="eastAsia" w:ascii="宋体" w:hAnsi="宋体" w:eastAsia="宋体"/>
                <w:color w:val="auto"/>
                <w:szCs w:val="21"/>
              </w:rPr>
              <w:t>质疑：参加磋商的供应商认为采购文件、采购过程和成交结果使自己的合法权益受到损害的，有权依法向采购人或采购代理机构提出质疑。</w:t>
            </w:r>
          </w:p>
          <w:p>
            <w:pPr>
              <w:spacing w:beforeAutospacing="0" w:afterAutospacing="0" w:line="360" w:lineRule="auto"/>
              <w:ind w:firstLine="420" w:firstLineChars="200"/>
              <w:jc w:val="left"/>
              <w:rPr>
                <w:rFonts w:hint="eastAsia" w:ascii="宋体" w:hAnsi="宋体" w:eastAsia="宋体"/>
                <w:color w:val="auto"/>
                <w:szCs w:val="21"/>
              </w:rPr>
            </w:pPr>
            <w:r>
              <w:rPr>
                <w:rFonts w:hint="eastAsia" w:ascii="宋体" w:hAnsi="宋体" w:eastAsia="宋体"/>
                <w:color w:val="auto"/>
                <w:szCs w:val="21"/>
              </w:rPr>
              <w:t>投诉：参加磋商的供应商对采购人的质疑答复不满意，或者采购人未在规定期限内作出答复的，供应商可以在答复期满后可以向相关行政主管部门投诉。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1" w:hRule="atLeast"/>
          <w:jc w:val="center"/>
        </w:trPr>
        <w:tc>
          <w:tcPr>
            <w:tcW w:w="714" w:type="dxa"/>
            <w:vMerge w:val="continue"/>
            <w:vAlign w:val="center"/>
          </w:tcPr>
          <w:p>
            <w:pPr>
              <w:spacing w:beforeAutospacing="0" w:afterAutospacing="0" w:line="360" w:lineRule="auto"/>
              <w:jc w:val="center"/>
              <w:rPr>
                <w:rFonts w:hint="eastAsia" w:ascii="宋体" w:hAnsi="宋体" w:eastAsia="宋体"/>
                <w:color w:val="auto"/>
                <w:szCs w:val="21"/>
              </w:rPr>
            </w:pPr>
          </w:p>
        </w:tc>
        <w:tc>
          <w:tcPr>
            <w:tcW w:w="1925"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质疑方式及电话</w:t>
            </w:r>
          </w:p>
        </w:tc>
        <w:tc>
          <w:tcPr>
            <w:tcW w:w="7100" w:type="dxa"/>
            <w:vAlign w:val="center"/>
          </w:tcPr>
          <w:p>
            <w:pPr>
              <w:keepNext w:val="0"/>
              <w:keepLines w:val="0"/>
              <w:pageBreakBefore w:val="0"/>
              <w:widowControl w:val="0"/>
              <w:kinsoku/>
              <w:wordWrap/>
              <w:overflowPunct/>
              <w:topLinePunct w:val="0"/>
              <w:autoSpaceDE/>
              <w:autoSpaceDN/>
              <w:bidi w:val="0"/>
              <w:snapToGrid/>
              <w:spacing w:beforeAutospacing="0" w:afterAutospacing="0" w:line="400" w:lineRule="exact"/>
              <w:rPr>
                <w:rFonts w:hint="eastAsia" w:ascii="宋体" w:hAnsi="宋体"/>
                <w:bCs/>
                <w:color w:val="auto"/>
                <w:sz w:val="21"/>
                <w:szCs w:val="21"/>
              </w:rPr>
            </w:pPr>
            <w:r>
              <w:rPr>
                <w:rFonts w:hint="eastAsia" w:ascii="宋体" w:hAnsi="宋体"/>
                <w:bCs/>
                <w:color w:val="auto"/>
                <w:sz w:val="21"/>
                <w:szCs w:val="21"/>
              </w:rPr>
              <w:t>采 购 人：</w:t>
            </w:r>
            <w:r>
              <w:rPr>
                <w:rFonts w:hint="eastAsia" w:ascii="宋体" w:hAnsi="宋体"/>
                <w:bCs/>
                <w:color w:val="auto"/>
                <w:sz w:val="21"/>
                <w:szCs w:val="21"/>
                <w:lang w:eastAsia="zh-CN"/>
              </w:rPr>
              <w:t>邹城市看庄镇人民政府</w:t>
            </w:r>
            <w:r>
              <w:rPr>
                <w:rFonts w:hint="eastAsia" w:ascii="宋体" w:hAnsi="宋体"/>
                <w:bCs/>
                <w:color w:val="auto"/>
                <w:sz w:val="21"/>
                <w:szCs w:val="21"/>
              </w:rPr>
              <w:t xml:space="preserve"> </w:t>
            </w:r>
          </w:p>
          <w:p>
            <w:pPr>
              <w:keepNext w:val="0"/>
              <w:keepLines w:val="0"/>
              <w:pageBreakBefore w:val="0"/>
              <w:widowControl w:val="0"/>
              <w:kinsoku/>
              <w:wordWrap/>
              <w:overflowPunct/>
              <w:topLinePunct w:val="0"/>
              <w:autoSpaceDE/>
              <w:autoSpaceDN/>
              <w:bidi w:val="0"/>
              <w:snapToGrid/>
              <w:spacing w:beforeAutospacing="0" w:afterAutospacing="0" w:line="400" w:lineRule="exact"/>
              <w:rPr>
                <w:rFonts w:hint="eastAsia" w:ascii="宋体" w:hAnsi="宋体"/>
                <w:bCs/>
                <w:color w:val="auto"/>
                <w:sz w:val="21"/>
                <w:szCs w:val="21"/>
              </w:rPr>
            </w:pPr>
            <w:r>
              <w:rPr>
                <w:rFonts w:hint="eastAsia" w:ascii="宋体" w:hAnsi="宋体"/>
                <w:bCs/>
                <w:color w:val="auto"/>
                <w:sz w:val="21"/>
                <w:szCs w:val="21"/>
              </w:rPr>
              <w:t>地    址：</w:t>
            </w:r>
            <w:r>
              <w:rPr>
                <w:rFonts w:hint="eastAsia" w:ascii="宋体" w:hAnsi="宋体"/>
                <w:bCs/>
                <w:color w:val="auto"/>
                <w:sz w:val="21"/>
                <w:szCs w:val="21"/>
                <w:lang w:eastAsia="zh-CN"/>
              </w:rPr>
              <w:t>邹城市看庄镇人民政府</w:t>
            </w:r>
          </w:p>
          <w:p>
            <w:pPr>
              <w:keepNext w:val="0"/>
              <w:keepLines w:val="0"/>
              <w:pageBreakBefore w:val="0"/>
              <w:widowControl w:val="0"/>
              <w:kinsoku/>
              <w:wordWrap/>
              <w:overflowPunct/>
              <w:topLinePunct w:val="0"/>
              <w:autoSpaceDE/>
              <w:autoSpaceDN/>
              <w:bidi w:val="0"/>
              <w:snapToGrid/>
              <w:spacing w:beforeAutospacing="0" w:afterAutospacing="0" w:line="400" w:lineRule="exact"/>
              <w:rPr>
                <w:rFonts w:hint="eastAsia" w:ascii="宋体" w:hAnsi="宋体"/>
                <w:bCs/>
                <w:color w:val="auto"/>
                <w:sz w:val="21"/>
                <w:szCs w:val="21"/>
              </w:rPr>
            </w:pPr>
            <w:r>
              <w:rPr>
                <w:rFonts w:hint="eastAsia" w:ascii="宋体" w:hAnsi="宋体"/>
                <w:bCs/>
                <w:color w:val="auto"/>
                <w:sz w:val="21"/>
                <w:szCs w:val="21"/>
              </w:rPr>
              <w:t>联 系 人：</w:t>
            </w:r>
            <w:r>
              <w:rPr>
                <w:rFonts w:hint="eastAsia" w:ascii="宋体" w:hAnsi="宋体"/>
                <w:bCs/>
                <w:color w:val="auto"/>
                <w:sz w:val="21"/>
                <w:szCs w:val="21"/>
                <w:lang w:eastAsia="zh-CN"/>
              </w:rPr>
              <w:t>张主任</w:t>
            </w:r>
          </w:p>
          <w:p>
            <w:pPr>
              <w:keepNext w:val="0"/>
              <w:keepLines w:val="0"/>
              <w:pageBreakBefore w:val="0"/>
              <w:widowControl w:val="0"/>
              <w:kinsoku/>
              <w:wordWrap/>
              <w:overflowPunct/>
              <w:topLinePunct w:val="0"/>
              <w:autoSpaceDE/>
              <w:autoSpaceDN/>
              <w:bidi w:val="0"/>
              <w:snapToGrid/>
              <w:spacing w:beforeAutospacing="0" w:afterAutospacing="0" w:line="400" w:lineRule="exact"/>
              <w:rPr>
                <w:rFonts w:hint="eastAsia" w:ascii="宋体" w:hAnsi="宋体"/>
                <w:bCs/>
                <w:color w:val="auto"/>
                <w:sz w:val="21"/>
                <w:szCs w:val="21"/>
              </w:rPr>
            </w:pPr>
            <w:r>
              <w:rPr>
                <w:rFonts w:hint="eastAsia" w:ascii="宋体" w:hAnsi="宋体"/>
                <w:bCs/>
                <w:color w:val="auto"/>
                <w:sz w:val="21"/>
                <w:szCs w:val="21"/>
              </w:rPr>
              <w:t>联系电话：</w:t>
            </w:r>
            <w:r>
              <w:rPr>
                <w:rFonts w:hint="eastAsia" w:ascii="宋体" w:hAnsi="宋体"/>
                <w:bCs/>
                <w:color w:val="auto"/>
                <w:sz w:val="21"/>
                <w:szCs w:val="21"/>
                <w:lang w:val="en-US" w:eastAsia="zh-CN"/>
              </w:rPr>
              <w:t>17686175773</w:t>
            </w:r>
          </w:p>
          <w:p>
            <w:pPr>
              <w:keepNext w:val="0"/>
              <w:keepLines w:val="0"/>
              <w:pageBreakBefore w:val="0"/>
              <w:widowControl w:val="0"/>
              <w:kinsoku/>
              <w:wordWrap/>
              <w:overflowPunct/>
              <w:topLinePunct w:val="0"/>
              <w:autoSpaceDE/>
              <w:autoSpaceDN/>
              <w:bidi w:val="0"/>
              <w:snapToGrid/>
              <w:spacing w:beforeAutospacing="0" w:afterAutospacing="0" w:line="400" w:lineRule="exact"/>
              <w:rPr>
                <w:rFonts w:hint="eastAsia" w:ascii="宋体" w:hAnsi="宋体"/>
                <w:bCs/>
                <w:color w:val="auto"/>
                <w:sz w:val="21"/>
                <w:szCs w:val="21"/>
              </w:rPr>
            </w:pPr>
            <w:r>
              <w:rPr>
                <w:rFonts w:hint="eastAsia" w:ascii="宋体" w:hAnsi="宋体"/>
                <w:bCs/>
                <w:color w:val="auto"/>
                <w:sz w:val="21"/>
                <w:szCs w:val="21"/>
              </w:rPr>
              <w:t>代理机构：圣祥有限公司</w:t>
            </w:r>
          </w:p>
          <w:p>
            <w:pPr>
              <w:keepNext w:val="0"/>
              <w:keepLines w:val="0"/>
              <w:pageBreakBefore w:val="0"/>
              <w:widowControl w:val="0"/>
              <w:kinsoku/>
              <w:wordWrap/>
              <w:overflowPunct/>
              <w:topLinePunct w:val="0"/>
              <w:autoSpaceDE/>
              <w:autoSpaceDN/>
              <w:bidi w:val="0"/>
              <w:snapToGrid/>
              <w:spacing w:beforeAutospacing="0" w:afterAutospacing="0" w:line="400" w:lineRule="exact"/>
              <w:rPr>
                <w:rFonts w:hint="eastAsia" w:ascii="宋体" w:hAnsi="宋体"/>
                <w:bCs/>
                <w:color w:val="auto"/>
                <w:sz w:val="21"/>
                <w:szCs w:val="21"/>
              </w:rPr>
            </w:pPr>
            <w:r>
              <w:rPr>
                <w:rFonts w:hint="eastAsia" w:ascii="宋体" w:hAnsi="宋体"/>
                <w:bCs/>
                <w:color w:val="auto"/>
                <w:sz w:val="21"/>
                <w:szCs w:val="21"/>
              </w:rPr>
              <w:t>地    址：济宁北湖省级旅游度假区新城发展大厦B座7楼北</w:t>
            </w:r>
          </w:p>
          <w:p>
            <w:pPr>
              <w:keepNext w:val="0"/>
              <w:keepLines w:val="0"/>
              <w:pageBreakBefore w:val="0"/>
              <w:widowControl w:val="0"/>
              <w:kinsoku/>
              <w:wordWrap/>
              <w:overflowPunct/>
              <w:topLinePunct w:val="0"/>
              <w:autoSpaceDE/>
              <w:autoSpaceDN/>
              <w:bidi w:val="0"/>
              <w:snapToGrid/>
              <w:spacing w:beforeAutospacing="0" w:afterAutospacing="0" w:line="400" w:lineRule="exact"/>
              <w:rPr>
                <w:rFonts w:hint="eastAsia" w:ascii="宋体" w:hAnsi="宋体"/>
                <w:bCs/>
                <w:color w:val="auto"/>
                <w:sz w:val="21"/>
                <w:szCs w:val="21"/>
              </w:rPr>
            </w:pPr>
            <w:r>
              <w:rPr>
                <w:rFonts w:hint="eastAsia" w:ascii="宋体" w:hAnsi="宋体"/>
                <w:bCs/>
                <w:color w:val="auto"/>
                <w:sz w:val="21"/>
                <w:szCs w:val="21"/>
              </w:rPr>
              <w:t>联 系 人：</w:t>
            </w:r>
            <w:r>
              <w:rPr>
                <w:rFonts w:hint="eastAsia" w:ascii="宋体" w:hAnsi="宋体"/>
                <w:bCs/>
                <w:color w:val="auto"/>
                <w:sz w:val="21"/>
                <w:szCs w:val="21"/>
                <w:lang w:eastAsia="zh-CN"/>
              </w:rPr>
              <w:t>苏漫</w:t>
            </w:r>
            <w:r>
              <w:rPr>
                <w:rFonts w:hint="eastAsia" w:ascii="宋体" w:hAnsi="宋体"/>
                <w:bCs/>
                <w:color w:val="auto"/>
                <w:sz w:val="21"/>
                <w:szCs w:val="21"/>
              </w:rPr>
              <w:t xml:space="preserve"> </w:t>
            </w:r>
          </w:p>
          <w:p>
            <w:pPr>
              <w:keepNext w:val="0"/>
              <w:keepLines w:val="0"/>
              <w:pageBreakBefore w:val="0"/>
              <w:widowControl w:val="0"/>
              <w:kinsoku/>
              <w:wordWrap/>
              <w:overflowPunct/>
              <w:topLinePunct w:val="0"/>
              <w:autoSpaceDE/>
              <w:autoSpaceDN/>
              <w:bidi w:val="0"/>
              <w:snapToGrid/>
              <w:spacing w:beforeAutospacing="0" w:afterAutospacing="0" w:line="400" w:lineRule="exact"/>
              <w:rPr>
                <w:rFonts w:hint="eastAsia" w:ascii="宋体" w:hAnsi="宋体"/>
                <w:bCs/>
                <w:color w:val="auto"/>
                <w:sz w:val="21"/>
                <w:szCs w:val="21"/>
              </w:rPr>
            </w:pPr>
            <w:r>
              <w:rPr>
                <w:rFonts w:hint="eastAsia" w:ascii="宋体" w:hAnsi="宋体"/>
                <w:bCs/>
                <w:color w:val="auto"/>
                <w:sz w:val="21"/>
                <w:szCs w:val="21"/>
              </w:rPr>
              <w:t>联系电话：</w:t>
            </w:r>
            <w:r>
              <w:rPr>
                <w:rFonts w:hint="eastAsia" w:ascii="宋体" w:hAnsi="宋体"/>
                <w:bCs/>
                <w:color w:val="auto"/>
                <w:sz w:val="21"/>
                <w:szCs w:val="21"/>
                <w:lang w:val="en-US" w:eastAsia="zh-CN"/>
              </w:rPr>
              <w:t>18953781955</w:t>
            </w:r>
          </w:p>
          <w:p>
            <w:pPr>
              <w:keepNext w:val="0"/>
              <w:keepLines w:val="0"/>
              <w:pageBreakBefore w:val="0"/>
              <w:widowControl w:val="0"/>
              <w:kinsoku/>
              <w:wordWrap/>
              <w:overflowPunct/>
              <w:topLinePunct w:val="0"/>
              <w:autoSpaceDE/>
              <w:autoSpaceDN/>
              <w:bidi w:val="0"/>
              <w:snapToGrid/>
              <w:spacing w:beforeAutospacing="0" w:afterAutospacing="0" w:line="400" w:lineRule="exact"/>
              <w:rPr>
                <w:rFonts w:hint="eastAsia" w:ascii="宋体" w:hAnsi="宋体"/>
                <w:bCs/>
                <w:color w:val="auto"/>
                <w:sz w:val="21"/>
                <w:szCs w:val="21"/>
              </w:rPr>
            </w:pPr>
            <w:r>
              <w:rPr>
                <w:rFonts w:hint="eastAsia" w:ascii="宋体" w:hAnsi="宋体"/>
                <w:bCs/>
                <w:color w:val="auto"/>
                <w:sz w:val="21"/>
                <w:szCs w:val="21"/>
              </w:rPr>
              <w:t>电子邮箱：</w:t>
            </w:r>
            <w:r>
              <w:rPr>
                <w:rFonts w:hint="eastAsia" w:ascii="宋体" w:hAnsi="宋体"/>
                <w:bCs/>
                <w:color w:val="auto"/>
                <w:sz w:val="21"/>
                <w:szCs w:val="21"/>
                <w:lang w:eastAsia="zh-CN"/>
              </w:rPr>
              <w:t>sxyxgs2018@163.com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714"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19</w:t>
            </w:r>
          </w:p>
        </w:tc>
        <w:tc>
          <w:tcPr>
            <w:tcW w:w="1925"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磋商代理费</w:t>
            </w:r>
          </w:p>
        </w:tc>
        <w:tc>
          <w:tcPr>
            <w:tcW w:w="7100" w:type="dxa"/>
            <w:vAlign w:val="center"/>
          </w:tcPr>
          <w:p>
            <w:pPr>
              <w:spacing w:beforeAutospacing="0" w:afterAutospacing="0" w:line="360" w:lineRule="auto"/>
              <w:ind w:firstLine="420" w:firstLineChars="200"/>
              <w:jc w:val="left"/>
              <w:rPr>
                <w:rFonts w:hint="eastAsia" w:ascii="宋体" w:hAnsi="宋体" w:eastAsia="宋体"/>
                <w:color w:val="auto"/>
                <w:szCs w:val="21"/>
              </w:rPr>
            </w:pPr>
            <w:r>
              <w:rPr>
                <w:rFonts w:hint="eastAsia" w:ascii="宋体" w:hAnsi="宋体" w:eastAsia="宋体"/>
                <w:color w:val="auto"/>
                <w:szCs w:val="21"/>
              </w:rPr>
              <w:t>本次竞争性磋商代理费由成交供应商支付，代理费为</w:t>
            </w:r>
            <w:r>
              <w:rPr>
                <w:rFonts w:hint="eastAsia" w:ascii="宋体" w:hAnsi="宋体"/>
                <w:color w:val="auto"/>
                <w:szCs w:val="21"/>
                <w:lang w:val="en-US" w:eastAsia="zh-CN"/>
              </w:rPr>
              <w:t>伍仟</w:t>
            </w:r>
            <w:r>
              <w:rPr>
                <w:rFonts w:hint="eastAsia" w:ascii="宋体" w:hAnsi="宋体" w:eastAsia="宋体"/>
                <w:color w:val="auto"/>
                <w:szCs w:val="21"/>
              </w:rPr>
              <w:t>元，成交通知书发出前，成交供应商从其账户一次性汇入代理机构指定账户。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8" w:hRule="atLeast"/>
          <w:jc w:val="center"/>
        </w:trPr>
        <w:tc>
          <w:tcPr>
            <w:tcW w:w="714"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20</w:t>
            </w:r>
          </w:p>
        </w:tc>
        <w:tc>
          <w:tcPr>
            <w:tcW w:w="1925"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采购预算</w:t>
            </w:r>
          </w:p>
        </w:tc>
        <w:tc>
          <w:tcPr>
            <w:tcW w:w="7100" w:type="dxa"/>
            <w:vAlign w:val="center"/>
          </w:tcPr>
          <w:p>
            <w:pPr>
              <w:spacing w:beforeAutospacing="0" w:afterAutospacing="0" w:line="360" w:lineRule="auto"/>
              <w:ind w:firstLine="422" w:firstLineChars="200"/>
              <w:jc w:val="left"/>
              <w:rPr>
                <w:rFonts w:hint="eastAsia" w:ascii="宋体" w:hAnsi="宋体" w:eastAsia="宋体"/>
                <w:b/>
                <w:color w:val="auto"/>
                <w:szCs w:val="21"/>
              </w:rPr>
            </w:pPr>
            <w:r>
              <w:rPr>
                <w:rFonts w:hint="eastAsia" w:ascii="宋体" w:hAnsi="宋体" w:eastAsia="宋体"/>
                <w:b/>
                <w:color w:val="auto"/>
                <w:szCs w:val="21"/>
              </w:rPr>
              <w:t>本次采购预算为</w:t>
            </w:r>
            <w:r>
              <w:rPr>
                <w:rFonts w:hint="eastAsia" w:ascii="宋体" w:hAnsi="宋体" w:eastAsia="宋体"/>
                <w:b/>
                <w:color w:val="auto"/>
                <w:szCs w:val="21"/>
                <w:lang w:val="en-US" w:eastAsia="zh-CN"/>
              </w:rPr>
              <w:t>12</w:t>
            </w:r>
            <w:r>
              <w:rPr>
                <w:rFonts w:hint="eastAsia" w:ascii="宋体" w:hAnsi="宋体" w:eastAsia="宋体"/>
                <w:b/>
                <w:color w:val="auto"/>
                <w:szCs w:val="21"/>
                <w:lang w:eastAsia="zh-CN"/>
              </w:rPr>
              <w:t>0000</w:t>
            </w:r>
            <w:r>
              <w:rPr>
                <w:rFonts w:hint="eastAsia" w:ascii="宋体" w:hAnsi="宋体" w:eastAsia="宋体"/>
                <w:b/>
                <w:color w:val="auto"/>
                <w:szCs w:val="21"/>
                <w:lang w:val="en-US" w:eastAsia="zh-CN"/>
              </w:rPr>
              <w:t>.00</w:t>
            </w:r>
            <w:r>
              <w:rPr>
                <w:rFonts w:hint="eastAsia" w:ascii="宋体" w:hAnsi="宋体" w:eastAsia="宋体"/>
                <w:b/>
                <w:color w:val="auto"/>
                <w:szCs w:val="21"/>
              </w:rPr>
              <w:t>元，</w:t>
            </w:r>
            <w:r>
              <w:rPr>
                <w:rFonts w:hint="eastAsia" w:ascii="宋体" w:hAnsi="宋体" w:eastAsia="宋体"/>
                <w:color w:val="auto"/>
                <w:szCs w:val="21"/>
              </w:rPr>
              <w:t>采购预算是采购人对采购项目期望的最高限价，磋商响应方的初次报价和最终报价均不得高于采购预算且最终报价不得高于初次报价，否则，作无效响应文件处理。</w:t>
            </w:r>
          </w:p>
        </w:tc>
      </w:tr>
    </w:tbl>
    <w:p>
      <w:pPr>
        <w:spacing w:beforeAutospacing="0" w:afterAutospacing="0" w:line="360" w:lineRule="auto"/>
        <w:ind w:firstLine="7379" w:firstLineChars="3500"/>
        <w:jc w:val="center"/>
        <w:rPr>
          <w:rFonts w:hint="eastAsia" w:ascii="宋体" w:hAnsi="宋体"/>
          <w:b/>
          <w:color w:val="auto"/>
          <w:szCs w:val="21"/>
          <w:lang w:bidi="ar"/>
        </w:rPr>
      </w:pPr>
    </w:p>
    <w:bookmarkEnd w:id="11"/>
    <w:p>
      <w:pPr>
        <w:spacing w:beforeAutospacing="0" w:afterAutospacing="0" w:line="360" w:lineRule="auto"/>
        <w:ind w:firstLine="4006" w:firstLineChars="1900"/>
        <w:jc w:val="left"/>
        <w:rPr>
          <w:rFonts w:hint="eastAsia" w:ascii="宋体" w:hAnsi="宋体"/>
          <w:b/>
          <w:color w:val="auto"/>
          <w:szCs w:val="21"/>
          <w:lang w:bidi="ar"/>
        </w:rPr>
      </w:pPr>
      <w:r>
        <w:rPr>
          <w:rFonts w:hint="eastAsia" w:ascii="宋体" w:hAnsi="宋体"/>
          <w:b/>
          <w:color w:val="auto"/>
          <w:szCs w:val="21"/>
          <w:lang w:bidi="ar"/>
        </w:rPr>
        <w:br w:type="page"/>
      </w:r>
      <w:r>
        <w:rPr>
          <w:rFonts w:hint="eastAsia" w:ascii="宋体" w:hAnsi="宋体"/>
          <w:b/>
          <w:color w:val="auto"/>
          <w:szCs w:val="21"/>
          <w:lang w:bidi="ar"/>
        </w:rPr>
        <w:t>二、供应商须知</w:t>
      </w:r>
    </w:p>
    <w:p>
      <w:pPr>
        <w:tabs>
          <w:tab w:val="left" w:pos="315"/>
        </w:tabs>
        <w:spacing w:beforeAutospacing="0" w:afterAutospacing="0" w:line="360" w:lineRule="auto"/>
        <w:ind w:firstLine="422" w:firstLineChars="200"/>
        <w:rPr>
          <w:rFonts w:hint="eastAsia" w:ascii="宋体" w:hAnsi="宋体"/>
          <w:b/>
          <w:color w:val="auto"/>
          <w:szCs w:val="21"/>
          <w:lang w:bidi="ar"/>
        </w:rPr>
      </w:pPr>
      <w:r>
        <w:rPr>
          <w:rFonts w:hint="eastAsia" w:ascii="宋体" w:hAnsi="宋体"/>
          <w:b/>
          <w:color w:val="auto"/>
          <w:szCs w:val="21"/>
          <w:lang w:bidi="ar"/>
        </w:rPr>
        <w:t>一、适用范围：</w:t>
      </w:r>
    </w:p>
    <w:p>
      <w:pPr>
        <w:spacing w:beforeAutospacing="0" w:afterAutospacing="0" w:line="360" w:lineRule="auto"/>
        <w:ind w:firstLine="420" w:firstLineChars="200"/>
        <w:rPr>
          <w:rFonts w:hint="eastAsia" w:ascii="宋体" w:hAnsi="宋体"/>
          <w:color w:val="auto"/>
        </w:rPr>
      </w:pPr>
      <w:r>
        <w:rPr>
          <w:rFonts w:hint="eastAsia" w:ascii="宋体" w:hAnsi="宋体"/>
          <w:color w:val="auto"/>
        </w:rPr>
        <w:t>本磋商文件仅适用于</w:t>
      </w:r>
      <w:r>
        <w:rPr>
          <w:rFonts w:hint="eastAsia" w:ascii="宋体" w:hAnsi="宋体"/>
          <w:color w:val="auto"/>
          <w:lang w:eastAsia="zh-CN"/>
        </w:rPr>
        <w:t>邹城市看庄镇卫生院医疗设备采购项目</w:t>
      </w:r>
      <w:r>
        <w:rPr>
          <w:rFonts w:hint="eastAsia" w:ascii="宋体" w:hAnsi="宋体"/>
          <w:color w:val="auto"/>
        </w:rPr>
        <w:t>。</w:t>
      </w:r>
    </w:p>
    <w:p>
      <w:pPr>
        <w:tabs>
          <w:tab w:val="left" w:pos="315"/>
        </w:tabs>
        <w:spacing w:beforeAutospacing="0" w:afterAutospacing="0" w:line="360" w:lineRule="auto"/>
        <w:ind w:firstLine="422" w:firstLineChars="200"/>
        <w:rPr>
          <w:rFonts w:hint="eastAsia" w:ascii="宋体" w:hAnsi="宋体"/>
          <w:b/>
          <w:color w:val="auto"/>
          <w:szCs w:val="21"/>
          <w:lang w:bidi="ar"/>
        </w:rPr>
      </w:pPr>
      <w:r>
        <w:rPr>
          <w:rFonts w:hint="eastAsia" w:ascii="宋体" w:hAnsi="宋体"/>
          <w:b/>
          <w:color w:val="auto"/>
          <w:szCs w:val="21"/>
          <w:lang w:bidi="ar"/>
        </w:rPr>
        <w:t>二、定义：</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1、“采购人”系指：</w:t>
      </w:r>
      <w:r>
        <w:rPr>
          <w:rFonts w:hint="eastAsia" w:ascii="宋体" w:hAnsi="宋体"/>
          <w:color w:val="auto"/>
          <w:kern w:val="0"/>
          <w:szCs w:val="21"/>
          <w:lang w:eastAsia="zh-CN" w:bidi="ar"/>
        </w:rPr>
        <w:t>邹城市看庄镇人民政府</w:t>
      </w:r>
      <w:r>
        <w:rPr>
          <w:rFonts w:hint="eastAsia" w:ascii="宋体" w:hAnsi="宋体"/>
          <w:color w:val="auto"/>
          <w:kern w:val="0"/>
          <w:szCs w:val="21"/>
          <w:lang w:bidi="ar"/>
        </w:rPr>
        <w:t>；</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2、“代理机构”系指：</w:t>
      </w:r>
      <w:r>
        <w:rPr>
          <w:rFonts w:hint="eastAsia" w:ascii="宋体" w:hAnsi="宋体"/>
          <w:color w:val="auto"/>
          <w:kern w:val="0"/>
          <w:szCs w:val="21"/>
          <w:lang w:eastAsia="zh-CN" w:bidi="ar"/>
        </w:rPr>
        <w:t>圣祥有限公司</w:t>
      </w:r>
      <w:r>
        <w:rPr>
          <w:rFonts w:hint="eastAsia" w:ascii="宋体" w:hAnsi="宋体"/>
          <w:color w:val="auto"/>
          <w:kern w:val="0"/>
          <w:szCs w:val="21"/>
          <w:lang w:bidi="ar"/>
        </w:rPr>
        <w:t>；</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3、“</w:t>
      </w:r>
      <w:r>
        <w:rPr>
          <w:rFonts w:hint="eastAsia" w:ascii="宋体" w:hAnsi="宋体"/>
          <w:color w:val="auto"/>
        </w:rPr>
        <w:t>响应供应商”系指参与磋商并</w:t>
      </w:r>
      <w:r>
        <w:rPr>
          <w:rFonts w:hint="eastAsia" w:ascii="宋体" w:hAnsi="宋体"/>
          <w:color w:val="auto"/>
          <w:kern w:val="0"/>
          <w:szCs w:val="21"/>
          <w:lang w:bidi="ar"/>
        </w:rPr>
        <w:t>向采购人提交磋商响应文件的单位；</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4、“成交供应商”系指经法定程序确定并授予合同的响应供应商。</w:t>
      </w:r>
    </w:p>
    <w:p>
      <w:pPr>
        <w:tabs>
          <w:tab w:val="left" w:pos="315"/>
        </w:tabs>
        <w:spacing w:beforeAutospacing="0" w:afterAutospacing="0" w:line="360" w:lineRule="auto"/>
        <w:ind w:firstLine="422" w:firstLineChars="200"/>
        <w:rPr>
          <w:rFonts w:hint="eastAsia" w:ascii="宋体" w:hAnsi="宋体"/>
          <w:b/>
          <w:color w:val="auto"/>
          <w:szCs w:val="21"/>
          <w:lang w:bidi="ar"/>
        </w:rPr>
      </w:pPr>
      <w:r>
        <w:rPr>
          <w:rFonts w:hint="eastAsia" w:ascii="宋体" w:hAnsi="宋体"/>
          <w:b/>
          <w:color w:val="auto"/>
          <w:szCs w:val="21"/>
          <w:lang w:bidi="ar"/>
        </w:rPr>
        <w:t>三、供应商应具备的条件：</w:t>
      </w:r>
    </w:p>
    <w:p>
      <w:pPr>
        <w:keepNext w:val="0"/>
        <w:keepLines w:val="0"/>
        <w:pageBreakBefore w:val="0"/>
        <w:kinsoku/>
        <w:wordWrap/>
        <w:overflowPunct/>
        <w:topLinePunct w:val="0"/>
        <w:autoSpaceDE/>
        <w:autoSpaceDN/>
        <w:bidi w:val="0"/>
        <w:spacing w:beforeAutospacing="0" w:afterAutospacing="0" w:line="420" w:lineRule="exact"/>
        <w:ind w:firstLine="420" w:firstLineChars="200"/>
        <w:rPr>
          <w:rFonts w:hint="eastAsia" w:ascii="宋体" w:hAnsi="宋体" w:eastAsia="宋体"/>
          <w:bCs/>
          <w:color w:val="auto"/>
          <w:sz w:val="21"/>
          <w:szCs w:val="21"/>
        </w:rPr>
      </w:pPr>
      <w:r>
        <w:rPr>
          <w:rFonts w:hint="eastAsia" w:ascii="宋体" w:hAnsi="宋体" w:eastAsia="宋体"/>
          <w:bCs/>
          <w:color w:val="auto"/>
          <w:sz w:val="21"/>
          <w:szCs w:val="21"/>
        </w:rPr>
        <w:t>1、具备《政府采购法》第二十二条规定的条件。</w:t>
      </w:r>
    </w:p>
    <w:p>
      <w:pPr>
        <w:keepNext w:val="0"/>
        <w:keepLines w:val="0"/>
        <w:pageBreakBefore w:val="0"/>
        <w:kinsoku/>
        <w:wordWrap/>
        <w:overflowPunct/>
        <w:topLinePunct w:val="0"/>
        <w:autoSpaceDE/>
        <w:autoSpaceDN/>
        <w:bidi w:val="0"/>
        <w:spacing w:beforeAutospacing="0" w:afterAutospacing="0" w:line="420" w:lineRule="exact"/>
        <w:ind w:firstLine="420" w:firstLineChars="200"/>
        <w:rPr>
          <w:rFonts w:hint="eastAsia" w:ascii="宋体" w:hAnsi="宋体" w:eastAsia="宋体"/>
          <w:bCs/>
          <w:color w:val="auto"/>
          <w:sz w:val="21"/>
          <w:szCs w:val="21"/>
        </w:rPr>
      </w:pPr>
      <w:r>
        <w:rPr>
          <w:rFonts w:hint="eastAsia" w:ascii="宋体" w:hAnsi="宋体" w:eastAsia="宋体"/>
          <w:bCs/>
          <w:color w:val="auto"/>
          <w:sz w:val="21"/>
          <w:szCs w:val="21"/>
        </w:rPr>
        <w:t>（1）具有独立承担民事责任的能力；</w:t>
      </w:r>
    </w:p>
    <w:p>
      <w:pPr>
        <w:keepNext w:val="0"/>
        <w:keepLines w:val="0"/>
        <w:pageBreakBefore w:val="0"/>
        <w:kinsoku/>
        <w:wordWrap/>
        <w:overflowPunct/>
        <w:topLinePunct w:val="0"/>
        <w:autoSpaceDE/>
        <w:autoSpaceDN/>
        <w:bidi w:val="0"/>
        <w:spacing w:beforeAutospacing="0" w:afterAutospacing="0" w:line="420" w:lineRule="exact"/>
        <w:ind w:firstLine="420" w:firstLineChars="200"/>
        <w:rPr>
          <w:rFonts w:hint="eastAsia" w:ascii="宋体" w:hAnsi="宋体" w:eastAsia="宋体"/>
          <w:bCs/>
          <w:color w:val="auto"/>
          <w:sz w:val="21"/>
          <w:szCs w:val="21"/>
        </w:rPr>
      </w:pPr>
      <w:r>
        <w:rPr>
          <w:rFonts w:hint="eastAsia" w:ascii="宋体" w:hAnsi="宋体" w:eastAsia="宋体"/>
          <w:bCs/>
          <w:color w:val="auto"/>
          <w:sz w:val="21"/>
          <w:szCs w:val="21"/>
        </w:rPr>
        <w:t>（2）具有良好的商业信誉和健全的财务会计制度；</w:t>
      </w:r>
    </w:p>
    <w:p>
      <w:pPr>
        <w:keepNext w:val="0"/>
        <w:keepLines w:val="0"/>
        <w:pageBreakBefore w:val="0"/>
        <w:kinsoku/>
        <w:wordWrap/>
        <w:overflowPunct/>
        <w:topLinePunct w:val="0"/>
        <w:autoSpaceDE/>
        <w:autoSpaceDN/>
        <w:bidi w:val="0"/>
        <w:spacing w:beforeAutospacing="0" w:afterAutospacing="0" w:line="420" w:lineRule="exact"/>
        <w:ind w:firstLine="420" w:firstLineChars="200"/>
        <w:rPr>
          <w:rFonts w:hint="eastAsia" w:ascii="宋体" w:hAnsi="宋体" w:eastAsia="宋体"/>
          <w:bCs/>
          <w:color w:val="auto"/>
          <w:sz w:val="21"/>
          <w:szCs w:val="21"/>
        </w:rPr>
      </w:pPr>
      <w:r>
        <w:rPr>
          <w:rFonts w:hint="eastAsia" w:ascii="宋体" w:hAnsi="宋体" w:eastAsia="宋体"/>
          <w:bCs/>
          <w:color w:val="auto"/>
          <w:sz w:val="21"/>
          <w:szCs w:val="21"/>
        </w:rPr>
        <w:t>（3）具有履行合同所必需的设备和专业技术能力；</w:t>
      </w:r>
    </w:p>
    <w:p>
      <w:pPr>
        <w:keepNext w:val="0"/>
        <w:keepLines w:val="0"/>
        <w:pageBreakBefore w:val="0"/>
        <w:kinsoku/>
        <w:wordWrap/>
        <w:overflowPunct/>
        <w:topLinePunct w:val="0"/>
        <w:autoSpaceDE/>
        <w:autoSpaceDN/>
        <w:bidi w:val="0"/>
        <w:spacing w:beforeAutospacing="0" w:afterAutospacing="0" w:line="420" w:lineRule="exact"/>
        <w:ind w:firstLine="420" w:firstLineChars="200"/>
        <w:rPr>
          <w:rFonts w:hint="eastAsia" w:ascii="宋体" w:hAnsi="宋体" w:eastAsia="宋体"/>
          <w:bCs/>
          <w:color w:val="auto"/>
          <w:sz w:val="21"/>
          <w:szCs w:val="21"/>
        </w:rPr>
      </w:pPr>
      <w:r>
        <w:rPr>
          <w:rFonts w:hint="eastAsia" w:ascii="宋体" w:hAnsi="宋体" w:eastAsia="宋体"/>
          <w:bCs/>
          <w:color w:val="auto"/>
          <w:sz w:val="21"/>
          <w:szCs w:val="21"/>
        </w:rPr>
        <w:t>（4）有依法缴纳税收和社会保障资金的良好记录；</w:t>
      </w:r>
    </w:p>
    <w:p>
      <w:pPr>
        <w:keepNext w:val="0"/>
        <w:keepLines w:val="0"/>
        <w:pageBreakBefore w:val="0"/>
        <w:kinsoku/>
        <w:wordWrap/>
        <w:overflowPunct/>
        <w:topLinePunct w:val="0"/>
        <w:autoSpaceDE/>
        <w:autoSpaceDN/>
        <w:bidi w:val="0"/>
        <w:spacing w:beforeAutospacing="0" w:afterAutospacing="0" w:line="420" w:lineRule="exact"/>
        <w:ind w:firstLine="420" w:firstLineChars="200"/>
        <w:rPr>
          <w:rFonts w:hint="eastAsia" w:ascii="宋体" w:hAnsi="宋体" w:eastAsia="宋体"/>
          <w:bCs/>
          <w:color w:val="auto"/>
          <w:sz w:val="21"/>
          <w:szCs w:val="21"/>
        </w:rPr>
      </w:pPr>
      <w:r>
        <w:rPr>
          <w:rFonts w:hint="eastAsia" w:ascii="宋体" w:hAnsi="宋体" w:eastAsia="宋体"/>
          <w:bCs/>
          <w:color w:val="auto"/>
          <w:sz w:val="21"/>
          <w:szCs w:val="21"/>
        </w:rPr>
        <w:t>（5）参加政府采购活动前三年内，在经营活动中没有重大违法记录；</w:t>
      </w:r>
    </w:p>
    <w:p>
      <w:pPr>
        <w:keepNext w:val="0"/>
        <w:keepLines w:val="0"/>
        <w:pageBreakBefore w:val="0"/>
        <w:kinsoku/>
        <w:wordWrap/>
        <w:overflowPunct/>
        <w:topLinePunct w:val="0"/>
        <w:autoSpaceDE/>
        <w:autoSpaceDN/>
        <w:bidi w:val="0"/>
        <w:spacing w:beforeAutospacing="0" w:afterAutospacing="0" w:line="420" w:lineRule="exact"/>
        <w:ind w:firstLine="420" w:firstLineChars="200"/>
        <w:rPr>
          <w:rFonts w:hint="eastAsia" w:ascii="宋体" w:hAnsi="宋体" w:eastAsia="宋体"/>
          <w:bCs/>
          <w:color w:val="auto"/>
          <w:sz w:val="21"/>
          <w:szCs w:val="21"/>
        </w:rPr>
      </w:pPr>
      <w:r>
        <w:rPr>
          <w:rFonts w:hint="eastAsia" w:ascii="宋体" w:hAnsi="宋体" w:eastAsia="宋体"/>
          <w:bCs/>
          <w:color w:val="auto"/>
          <w:sz w:val="21"/>
          <w:szCs w:val="21"/>
        </w:rPr>
        <w:t>（6）法律、行政法规规定的其他条件。</w:t>
      </w:r>
    </w:p>
    <w:p>
      <w:pPr>
        <w:keepNext w:val="0"/>
        <w:keepLines w:val="0"/>
        <w:pageBreakBefore w:val="0"/>
        <w:kinsoku/>
        <w:wordWrap/>
        <w:overflowPunct/>
        <w:topLinePunct w:val="0"/>
        <w:autoSpaceDE/>
        <w:autoSpaceDN/>
        <w:bidi w:val="0"/>
        <w:spacing w:beforeAutospacing="0" w:afterAutospacing="0" w:line="420" w:lineRule="exact"/>
        <w:ind w:firstLine="422" w:firstLineChars="200"/>
        <w:rPr>
          <w:rFonts w:hint="eastAsia" w:ascii="宋体" w:hAnsi="宋体" w:eastAsia="宋体"/>
          <w:b/>
          <w:color w:val="auto"/>
          <w:sz w:val="21"/>
          <w:szCs w:val="21"/>
        </w:rPr>
      </w:pPr>
      <w:r>
        <w:rPr>
          <w:rFonts w:hint="eastAsia" w:ascii="宋体" w:hAnsi="宋体" w:eastAsia="宋体"/>
          <w:b/>
          <w:color w:val="auto"/>
          <w:sz w:val="21"/>
          <w:szCs w:val="21"/>
        </w:rPr>
        <w:t>2</w:t>
      </w:r>
      <w:r>
        <w:rPr>
          <w:rFonts w:hint="eastAsia" w:ascii="宋体" w:hAnsi="宋体" w:eastAsia="宋体"/>
          <w:b/>
          <w:color w:val="auto"/>
          <w:sz w:val="21"/>
          <w:szCs w:val="21"/>
          <w:lang w:eastAsia="zh-CN"/>
        </w:rPr>
        <w:t>、</w:t>
      </w:r>
      <w:r>
        <w:rPr>
          <w:rFonts w:hint="eastAsia" w:ascii="宋体" w:hAnsi="宋体" w:eastAsia="宋体"/>
          <w:b/>
          <w:color w:val="auto"/>
          <w:sz w:val="21"/>
          <w:szCs w:val="21"/>
        </w:rPr>
        <w:t>供应商须为国内注册具有独立法人资格，营业执照经营范围包含本项目采购范围相关内容，且能在国内合法销售并提供相应货物的生产厂家或代理商。</w:t>
      </w:r>
    </w:p>
    <w:p>
      <w:pPr>
        <w:keepNext w:val="0"/>
        <w:keepLines w:val="0"/>
        <w:pageBreakBefore w:val="0"/>
        <w:widowControl/>
        <w:kinsoku/>
        <w:wordWrap/>
        <w:overflowPunct/>
        <w:topLinePunct w:val="0"/>
        <w:autoSpaceDE/>
        <w:autoSpaceDN/>
        <w:bidi w:val="0"/>
        <w:snapToGrid w:val="0"/>
        <w:spacing w:beforeAutospacing="0" w:afterAutospacing="0" w:line="420" w:lineRule="exact"/>
        <w:ind w:firstLine="422" w:firstLineChars="200"/>
        <w:jc w:val="left"/>
        <w:rPr>
          <w:rFonts w:hint="eastAsia" w:ascii="宋体" w:hAnsi="宋体" w:eastAsia="宋体"/>
          <w:b/>
          <w:color w:val="auto"/>
          <w:sz w:val="21"/>
          <w:szCs w:val="21"/>
          <w:lang w:val="en-US" w:eastAsia="zh-CN"/>
        </w:rPr>
      </w:pPr>
      <w:r>
        <w:rPr>
          <w:rFonts w:hint="eastAsia" w:ascii="宋体" w:hAnsi="宋体" w:eastAsia="宋体"/>
          <w:b/>
          <w:color w:val="auto"/>
          <w:sz w:val="21"/>
          <w:szCs w:val="21"/>
          <w:lang w:val="en-US" w:eastAsia="zh-CN"/>
        </w:rPr>
        <w:t>3、</w:t>
      </w:r>
      <w:r>
        <w:rPr>
          <w:rFonts w:hint="eastAsia" w:ascii="宋体" w:hAnsi="宋体" w:eastAsia="宋体"/>
          <w:b/>
          <w:color w:val="auto"/>
          <w:sz w:val="21"/>
          <w:szCs w:val="21"/>
        </w:rPr>
        <w:t>供应商为生产厂家的须具有医疗器械生产许可证和医疗器械经营许可证，供应商为代理商的须具有医疗器械经营许可证或医疗器械经营备案凭证。</w:t>
      </w:r>
    </w:p>
    <w:p>
      <w:pPr>
        <w:keepNext w:val="0"/>
        <w:keepLines w:val="0"/>
        <w:pageBreakBefore w:val="0"/>
        <w:widowControl/>
        <w:kinsoku/>
        <w:wordWrap/>
        <w:overflowPunct/>
        <w:topLinePunct w:val="0"/>
        <w:autoSpaceDE/>
        <w:autoSpaceDN/>
        <w:bidi w:val="0"/>
        <w:snapToGrid w:val="0"/>
        <w:spacing w:beforeAutospacing="0" w:afterAutospacing="0" w:line="420" w:lineRule="exact"/>
        <w:ind w:firstLine="422" w:firstLineChars="200"/>
        <w:jc w:val="left"/>
        <w:rPr>
          <w:rFonts w:hint="eastAsia" w:ascii="宋体" w:hAnsi="宋体" w:eastAsia="宋体"/>
          <w:b/>
          <w:color w:val="auto"/>
          <w:sz w:val="21"/>
          <w:szCs w:val="21"/>
          <w:lang w:val="en-US" w:eastAsia="zh-CN"/>
        </w:rPr>
      </w:pPr>
      <w:r>
        <w:rPr>
          <w:rFonts w:hint="eastAsia" w:ascii="宋体" w:hAnsi="宋体" w:eastAsia="宋体"/>
          <w:b/>
          <w:color w:val="auto"/>
          <w:sz w:val="21"/>
          <w:szCs w:val="21"/>
          <w:lang w:val="en-US" w:eastAsia="zh-CN"/>
        </w:rPr>
        <w:t>4、</w:t>
      </w:r>
      <w:r>
        <w:rPr>
          <w:rFonts w:hint="eastAsia" w:ascii="宋体" w:hAnsi="宋体" w:eastAsia="宋体"/>
          <w:b/>
          <w:color w:val="auto"/>
          <w:sz w:val="21"/>
          <w:szCs w:val="21"/>
        </w:rPr>
        <w:t>响应供应商所投医疗器械须具有医疗器械注册证或备案证。</w:t>
      </w:r>
    </w:p>
    <w:p>
      <w:pPr>
        <w:keepNext w:val="0"/>
        <w:keepLines w:val="0"/>
        <w:pageBreakBefore w:val="0"/>
        <w:widowControl w:val="0"/>
        <w:tabs>
          <w:tab w:val="left" w:pos="315"/>
        </w:tabs>
        <w:kinsoku/>
        <w:wordWrap/>
        <w:overflowPunct/>
        <w:topLinePunct w:val="0"/>
        <w:autoSpaceDE/>
        <w:autoSpaceDN/>
        <w:bidi w:val="0"/>
        <w:snapToGrid/>
        <w:spacing w:beforeAutospacing="0" w:afterAutospacing="0" w:line="420" w:lineRule="exact"/>
        <w:ind w:firstLine="420" w:firstLineChars="200"/>
        <w:rPr>
          <w:rFonts w:hint="eastAsia" w:ascii="宋体" w:hAnsi="宋体" w:eastAsia="宋体"/>
          <w:b w:val="0"/>
          <w:bCs/>
          <w:color w:val="auto"/>
          <w:kern w:val="0"/>
          <w:sz w:val="21"/>
          <w:szCs w:val="21"/>
          <w:lang w:val="en-US" w:eastAsia="zh-CN"/>
        </w:rPr>
      </w:pPr>
      <w:r>
        <w:rPr>
          <w:rFonts w:hint="eastAsia" w:ascii="宋体" w:hAnsi="宋体" w:eastAsia="宋体"/>
          <w:b w:val="0"/>
          <w:bCs/>
          <w:color w:val="auto"/>
          <w:kern w:val="0"/>
          <w:sz w:val="21"/>
          <w:szCs w:val="21"/>
          <w:lang w:val="en-US" w:eastAsia="zh-CN"/>
        </w:rPr>
        <w:t>5、一个供应商只能提交一个响应文件。如果供应商之间存在下列互为关联关系（国有控股公司除外）的情形之一的，不得同时参加本项目报价（供应商须提供声明）；</w:t>
      </w:r>
    </w:p>
    <w:p>
      <w:pPr>
        <w:keepNext w:val="0"/>
        <w:keepLines w:val="0"/>
        <w:pageBreakBefore w:val="0"/>
        <w:widowControl w:val="0"/>
        <w:tabs>
          <w:tab w:val="left" w:pos="315"/>
        </w:tabs>
        <w:kinsoku/>
        <w:wordWrap/>
        <w:overflowPunct/>
        <w:topLinePunct w:val="0"/>
        <w:autoSpaceDE/>
        <w:autoSpaceDN/>
        <w:bidi w:val="0"/>
        <w:snapToGrid/>
        <w:spacing w:beforeAutospacing="0" w:afterAutospacing="0" w:line="420" w:lineRule="exact"/>
        <w:ind w:firstLine="420" w:firstLineChars="200"/>
        <w:rPr>
          <w:rFonts w:hint="eastAsia" w:ascii="宋体" w:hAnsi="宋体" w:eastAsia="宋体"/>
          <w:b w:val="0"/>
          <w:bCs/>
          <w:color w:val="auto"/>
          <w:kern w:val="0"/>
          <w:sz w:val="21"/>
          <w:szCs w:val="21"/>
          <w:lang w:val="en-US" w:eastAsia="zh-CN"/>
        </w:rPr>
      </w:pPr>
      <w:r>
        <w:rPr>
          <w:rFonts w:hint="eastAsia" w:ascii="宋体" w:hAnsi="宋体" w:eastAsia="宋体"/>
          <w:b w:val="0"/>
          <w:bCs/>
          <w:color w:val="auto"/>
          <w:kern w:val="0"/>
          <w:sz w:val="21"/>
          <w:szCs w:val="21"/>
          <w:lang w:val="en-US" w:eastAsia="zh-CN"/>
        </w:rPr>
        <w:t>5.1法定代表人为同一人的两个及两个以上法人；</w:t>
      </w:r>
    </w:p>
    <w:p>
      <w:pPr>
        <w:keepNext w:val="0"/>
        <w:keepLines w:val="0"/>
        <w:pageBreakBefore w:val="0"/>
        <w:widowControl w:val="0"/>
        <w:tabs>
          <w:tab w:val="left" w:pos="315"/>
        </w:tabs>
        <w:kinsoku/>
        <w:wordWrap/>
        <w:overflowPunct/>
        <w:topLinePunct w:val="0"/>
        <w:autoSpaceDE/>
        <w:autoSpaceDN/>
        <w:bidi w:val="0"/>
        <w:snapToGrid/>
        <w:spacing w:beforeAutospacing="0" w:afterAutospacing="0" w:line="420" w:lineRule="exact"/>
        <w:ind w:firstLine="420" w:firstLineChars="200"/>
        <w:rPr>
          <w:rFonts w:hint="eastAsia" w:ascii="宋体" w:hAnsi="宋体" w:eastAsia="宋体"/>
          <w:b w:val="0"/>
          <w:bCs/>
          <w:color w:val="auto"/>
          <w:kern w:val="0"/>
          <w:sz w:val="21"/>
          <w:szCs w:val="21"/>
          <w:lang w:val="en-US" w:eastAsia="zh-CN"/>
        </w:rPr>
      </w:pPr>
      <w:r>
        <w:rPr>
          <w:rFonts w:hint="eastAsia" w:ascii="宋体" w:hAnsi="宋体" w:eastAsia="宋体"/>
          <w:b w:val="0"/>
          <w:bCs/>
          <w:color w:val="auto"/>
          <w:kern w:val="0"/>
          <w:sz w:val="21"/>
          <w:szCs w:val="21"/>
          <w:lang w:val="en-US" w:eastAsia="zh-CN"/>
        </w:rPr>
        <w:t>5.2母公司、直接或间接持股 50%及以上的被投资公司；</w:t>
      </w:r>
    </w:p>
    <w:p>
      <w:pPr>
        <w:keepNext w:val="0"/>
        <w:keepLines w:val="0"/>
        <w:pageBreakBefore w:val="0"/>
        <w:widowControl w:val="0"/>
        <w:tabs>
          <w:tab w:val="left" w:pos="315"/>
        </w:tabs>
        <w:kinsoku/>
        <w:wordWrap/>
        <w:overflowPunct/>
        <w:topLinePunct w:val="0"/>
        <w:autoSpaceDE/>
        <w:autoSpaceDN/>
        <w:bidi w:val="0"/>
        <w:snapToGrid/>
        <w:spacing w:beforeAutospacing="0" w:afterAutospacing="0" w:line="420" w:lineRule="exact"/>
        <w:ind w:firstLine="420" w:firstLineChars="200"/>
        <w:rPr>
          <w:rFonts w:hint="eastAsia" w:ascii="宋体" w:hAnsi="宋体" w:eastAsia="宋体"/>
          <w:b w:val="0"/>
          <w:bCs/>
          <w:color w:val="auto"/>
          <w:kern w:val="0"/>
          <w:sz w:val="21"/>
          <w:szCs w:val="21"/>
          <w:lang w:val="en-US" w:eastAsia="zh-CN"/>
        </w:rPr>
      </w:pPr>
      <w:r>
        <w:rPr>
          <w:rFonts w:hint="eastAsia" w:ascii="宋体" w:hAnsi="宋体" w:eastAsia="宋体"/>
          <w:b w:val="0"/>
          <w:bCs/>
          <w:color w:val="auto"/>
          <w:kern w:val="0"/>
          <w:sz w:val="21"/>
          <w:szCs w:val="21"/>
          <w:lang w:val="en-US" w:eastAsia="zh-CN"/>
        </w:rPr>
        <w:t>5.3均为同一家母公司直接或间接持股 50%及以上的被投资公司。</w:t>
      </w:r>
    </w:p>
    <w:p>
      <w:pPr>
        <w:keepNext w:val="0"/>
        <w:keepLines w:val="0"/>
        <w:pageBreakBefore w:val="0"/>
        <w:widowControl w:val="0"/>
        <w:tabs>
          <w:tab w:val="left" w:pos="315"/>
        </w:tabs>
        <w:kinsoku/>
        <w:wordWrap/>
        <w:overflowPunct/>
        <w:topLinePunct w:val="0"/>
        <w:autoSpaceDE/>
        <w:autoSpaceDN/>
        <w:bidi w:val="0"/>
        <w:snapToGrid/>
        <w:spacing w:beforeAutospacing="0" w:afterAutospacing="0" w:line="420" w:lineRule="exact"/>
        <w:ind w:firstLine="420" w:firstLineChars="200"/>
        <w:rPr>
          <w:rFonts w:hint="eastAsia" w:ascii="宋体" w:hAnsi="宋体" w:eastAsia="宋体"/>
          <w:b w:val="0"/>
          <w:bCs/>
          <w:color w:val="auto"/>
          <w:kern w:val="0"/>
          <w:sz w:val="21"/>
          <w:szCs w:val="21"/>
          <w:lang w:val="en-US" w:eastAsia="zh-CN"/>
        </w:rPr>
      </w:pPr>
      <w:r>
        <w:rPr>
          <w:rFonts w:hint="eastAsia" w:ascii="宋体" w:hAnsi="宋体" w:eastAsia="宋体"/>
          <w:b w:val="0"/>
          <w:bCs/>
          <w:color w:val="auto"/>
          <w:kern w:val="0"/>
          <w:sz w:val="21"/>
          <w:szCs w:val="21"/>
          <w:lang w:val="en-US" w:eastAsia="zh-CN"/>
        </w:rPr>
        <w:t>6、开标之日起前三年内无不良信用记录（磋商小组通过“信用中国”“信用山东”及“中国政府采购网”查询）；</w:t>
      </w:r>
    </w:p>
    <w:p>
      <w:pPr>
        <w:keepNext w:val="0"/>
        <w:keepLines w:val="0"/>
        <w:pageBreakBefore w:val="0"/>
        <w:widowControl w:val="0"/>
        <w:tabs>
          <w:tab w:val="left" w:pos="315"/>
        </w:tabs>
        <w:kinsoku/>
        <w:wordWrap/>
        <w:overflowPunct/>
        <w:topLinePunct w:val="0"/>
        <w:autoSpaceDE/>
        <w:autoSpaceDN/>
        <w:bidi w:val="0"/>
        <w:snapToGrid/>
        <w:spacing w:beforeAutospacing="0" w:afterAutospacing="0" w:line="420" w:lineRule="exact"/>
        <w:ind w:firstLine="420" w:firstLineChars="200"/>
        <w:rPr>
          <w:rFonts w:hint="eastAsia" w:ascii="宋体" w:hAnsi="宋体" w:eastAsia="宋体"/>
          <w:b w:val="0"/>
          <w:bCs/>
          <w:color w:val="auto"/>
          <w:kern w:val="0"/>
          <w:sz w:val="21"/>
          <w:szCs w:val="21"/>
          <w:lang w:val="en-US" w:eastAsia="zh-CN"/>
        </w:rPr>
      </w:pPr>
      <w:r>
        <w:rPr>
          <w:rFonts w:hint="eastAsia" w:ascii="宋体" w:hAnsi="宋体" w:eastAsia="宋体"/>
          <w:b w:val="0"/>
          <w:bCs/>
          <w:color w:val="auto"/>
          <w:kern w:val="0"/>
          <w:sz w:val="21"/>
          <w:szCs w:val="21"/>
          <w:lang w:val="en-US" w:eastAsia="zh-CN"/>
        </w:rPr>
        <w:t>7、本项目不接受联合体报价；</w:t>
      </w:r>
    </w:p>
    <w:p>
      <w:pPr>
        <w:keepNext w:val="0"/>
        <w:keepLines w:val="0"/>
        <w:pageBreakBefore w:val="0"/>
        <w:widowControl w:val="0"/>
        <w:tabs>
          <w:tab w:val="left" w:pos="315"/>
        </w:tabs>
        <w:kinsoku/>
        <w:wordWrap/>
        <w:overflowPunct/>
        <w:topLinePunct w:val="0"/>
        <w:autoSpaceDE/>
        <w:autoSpaceDN/>
        <w:bidi w:val="0"/>
        <w:snapToGrid/>
        <w:spacing w:beforeAutospacing="0" w:afterAutospacing="0" w:line="420" w:lineRule="exact"/>
        <w:ind w:firstLine="420" w:firstLineChars="200"/>
        <w:rPr>
          <w:rFonts w:hint="eastAsia" w:ascii="宋体" w:hAnsi="宋体" w:eastAsia="宋体"/>
          <w:b w:val="0"/>
          <w:bCs/>
          <w:color w:val="auto"/>
          <w:kern w:val="0"/>
          <w:sz w:val="21"/>
          <w:szCs w:val="21"/>
          <w:lang w:val="en-US" w:eastAsia="zh-CN"/>
        </w:rPr>
      </w:pPr>
      <w:r>
        <w:rPr>
          <w:rFonts w:hint="eastAsia" w:ascii="宋体" w:hAnsi="宋体" w:eastAsia="宋体"/>
          <w:b w:val="0"/>
          <w:bCs/>
          <w:color w:val="auto"/>
          <w:kern w:val="0"/>
          <w:sz w:val="21"/>
          <w:szCs w:val="21"/>
          <w:lang w:val="en-US" w:eastAsia="zh-CN"/>
        </w:rPr>
        <w:t>8、资格审查方式：资格后审。</w:t>
      </w:r>
    </w:p>
    <w:p>
      <w:pPr>
        <w:spacing w:beforeAutospacing="0" w:afterAutospacing="0" w:line="360" w:lineRule="auto"/>
        <w:ind w:firstLine="422" w:firstLineChars="200"/>
        <w:rPr>
          <w:rFonts w:hint="eastAsia" w:ascii="宋体" w:hAnsi="宋体"/>
          <w:b/>
          <w:color w:val="auto"/>
          <w:szCs w:val="21"/>
          <w:lang w:bidi="ar"/>
        </w:rPr>
      </w:pPr>
      <w:r>
        <w:rPr>
          <w:rFonts w:hint="eastAsia" w:ascii="宋体" w:hAnsi="宋体"/>
          <w:b/>
          <w:color w:val="auto"/>
          <w:szCs w:val="21"/>
          <w:lang w:bidi="ar"/>
        </w:rPr>
        <w:t>四、竞争性磋商文件：</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本竞争性磋商文件由以下内容组成：</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1、竞争性磋商公告；</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2、供应商须知及供应商须知前附表；</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3、磋商组织、步骤与评审方法；</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4、采购内容及要求；</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5、合同授予；</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6、磋商响应文件格式。</w:t>
      </w:r>
    </w:p>
    <w:p>
      <w:pPr>
        <w:spacing w:beforeAutospacing="0" w:afterAutospacing="0" w:line="360" w:lineRule="auto"/>
        <w:ind w:firstLine="422" w:firstLineChars="200"/>
        <w:rPr>
          <w:rFonts w:hint="eastAsia" w:ascii="宋体" w:hAnsi="宋体"/>
          <w:b/>
          <w:color w:val="auto"/>
          <w:szCs w:val="21"/>
          <w:lang w:bidi="ar"/>
        </w:rPr>
      </w:pPr>
      <w:r>
        <w:rPr>
          <w:rFonts w:hint="eastAsia" w:ascii="宋体" w:hAnsi="宋体"/>
          <w:b/>
          <w:color w:val="auto"/>
          <w:szCs w:val="21"/>
          <w:lang w:bidi="ar"/>
        </w:rPr>
        <w:t>五、磋商文件的质疑、澄清或修改：</w:t>
      </w:r>
    </w:p>
    <w:p>
      <w:pPr>
        <w:spacing w:beforeAutospacing="0" w:afterAutospacing="0" w:line="360" w:lineRule="auto"/>
        <w:ind w:firstLine="420" w:firstLineChars="200"/>
        <w:rPr>
          <w:rFonts w:hint="eastAsia" w:ascii="宋体" w:hAnsi="宋体"/>
          <w:bCs/>
          <w:color w:val="auto"/>
          <w:kern w:val="0"/>
          <w:szCs w:val="21"/>
          <w:lang w:bidi="ar"/>
        </w:rPr>
      </w:pPr>
      <w:r>
        <w:rPr>
          <w:rFonts w:hint="eastAsia" w:ascii="宋体" w:hAnsi="宋体"/>
          <w:bCs/>
          <w:color w:val="auto"/>
          <w:kern w:val="0"/>
          <w:szCs w:val="21"/>
          <w:lang w:bidi="ar"/>
        </w:rPr>
        <w:t>1、各潜在供应商对磋商文件内容如有疑问，必须于磋商开始前5个日历日将疑问以书面形式送至采购人或电子邮件形式发至</w:t>
      </w:r>
      <w:r>
        <w:rPr>
          <w:rFonts w:hint="eastAsia" w:ascii="宋体" w:hAnsi="宋体"/>
          <w:bCs/>
          <w:color w:val="auto"/>
          <w:kern w:val="0"/>
          <w:szCs w:val="21"/>
          <w:lang w:val="en-US" w:eastAsia="zh-CN" w:bidi="ar"/>
        </w:rPr>
        <w:t>sxyxgs2018</w:t>
      </w:r>
      <w:r>
        <w:rPr>
          <w:rFonts w:hint="eastAsia" w:ascii="宋体" w:hAnsi="宋体"/>
          <w:bCs/>
          <w:color w:val="auto"/>
          <w:kern w:val="0"/>
          <w:szCs w:val="21"/>
          <w:lang w:eastAsia="zh-CN" w:bidi="ar"/>
        </w:rPr>
        <w:t>@163.com</w:t>
      </w:r>
      <w:r>
        <w:rPr>
          <w:rFonts w:hint="eastAsia" w:ascii="宋体" w:hAnsi="宋体"/>
          <w:bCs/>
          <w:color w:val="auto"/>
          <w:kern w:val="0"/>
          <w:szCs w:val="21"/>
          <w:lang w:bidi="ar"/>
        </w:rPr>
        <w:t>；</w:t>
      </w:r>
    </w:p>
    <w:p>
      <w:pPr>
        <w:spacing w:beforeAutospacing="0" w:afterAutospacing="0" w:line="360" w:lineRule="auto"/>
        <w:ind w:firstLine="420" w:firstLineChars="200"/>
        <w:rPr>
          <w:rFonts w:hint="eastAsia" w:ascii="宋体" w:hAnsi="宋体"/>
          <w:bCs/>
          <w:color w:val="auto"/>
          <w:kern w:val="0"/>
          <w:szCs w:val="21"/>
          <w:lang w:bidi="ar"/>
        </w:rPr>
      </w:pPr>
      <w:r>
        <w:rPr>
          <w:rFonts w:hint="eastAsia" w:ascii="宋体" w:hAnsi="宋体"/>
          <w:bCs/>
          <w:color w:val="auto"/>
          <w:kern w:val="0"/>
          <w:szCs w:val="21"/>
          <w:lang w:bidi="ar"/>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pPr>
        <w:spacing w:beforeAutospacing="0" w:afterAutospacing="0" w:line="360" w:lineRule="auto"/>
        <w:ind w:firstLine="420" w:firstLineChars="200"/>
        <w:rPr>
          <w:rFonts w:hint="eastAsia" w:ascii="宋体" w:hAnsi="宋体"/>
          <w:bCs/>
          <w:color w:val="auto"/>
          <w:kern w:val="0"/>
          <w:szCs w:val="21"/>
          <w:lang w:bidi="ar"/>
        </w:rPr>
      </w:pPr>
      <w:r>
        <w:rPr>
          <w:rFonts w:hint="eastAsia" w:ascii="宋体" w:hAnsi="宋体"/>
          <w:bCs/>
          <w:color w:val="auto"/>
          <w:kern w:val="0"/>
          <w:szCs w:val="21"/>
          <w:lang w:bidi="ar"/>
        </w:rPr>
        <w:t>3、磋商文件的澄清或者修改一经在邹城市外宣网（http://www.mencius.gov.cn/）发布，视作已发放给所有供应商（发布时间即为送达供应商的时间），各供应商应随时关注磋商项目信息并及时在邹城市外宣网（http://www.mencius.gov.cn/）下载相关资料，否则所造成的一切后果由供应商自负。</w:t>
      </w:r>
    </w:p>
    <w:p>
      <w:pPr>
        <w:spacing w:beforeAutospacing="0" w:afterAutospacing="0" w:line="360" w:lineRule="auto"/>
        <w:ind w:firstLine="420" w:firstLineChars="200"/>
        <w:rPr>
          <w:rFonts w:hint="eastAsia" w:ascii="宋体" w:hAnsi="宋体"/>
          <w:bCs/>
          <w:color w:val="auto"/>
          <w:kern w:val="0"/>
          <w:szCs w:val="21"/>
          <w:lang w:bidi="ar"/>
        </w:rPr>
      </w:pPr>
      <w:r>
        <w:rPr>
          <w:rFonts w:hint="eastAsia" w:ascii="宋体" w:hAnsi="宋体"/>
          <w:bCs/>
          <w:color w:val="auto"/>
          <w:kern w:val="0"/>
          <w:szCs w:val="21"/>
          <w:lang w:bidi="ar"/>
        </w:rPr>
        <w:t>4、磋商文件的澄清或修改均以最后发布的内容为准。当磋商文件的澄清、修改、补充等在同一内容的表述不一致时，以最后发布的内容为准。</w:t>
      </w:r>
    </w:p>
    <w:p>
      <w:pPr>
        <w:spacing w:beforeAutospacing="0" w:afterAutospacing="0" w:line="360" w:lineRule="auto"/>
        <w:ind w:firstLine="422" w:firstLineChars="200"/>
        <w:rPr>
          <w:rFonts w:hint="eastAsia" w:ascii="宋体" w:hAnsi="宋体"/>
          <w:b/>
          <w:color w:val="auto"/>
          <w:szCs w:val="21"/>
          <w:lang w:bidi="ar"/>
        </w:rPr>
      </w:pPr>
      <w:r>
        <w:rPr>
          <w:rFonts w:hint="eastAsia" w:ascii="宋体" w:hAnsi="宋体"/>
          <w:b/>
          <w:color w:val="auto"/>
          <w:szCs w:val="21"/>
          <w:lang w:bidi="ar"/>
        </w:rPr>
        <w:t>六、磋商响应文件的编写及递交：</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供应商应按磋商文件的要求准备磋商响应文件，并保证所提供全部资料的真实性、准确性及完整性，并对磋商文件做出实质性响应。</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（一）磋商响应文件的组成：</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1、磋商响应函</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2、法定代表人授权委托书及全权代表的身份证复印件；</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3、初次报价表</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4、报价明细表</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5、总价外长期优惠供应的备品备件、易损件、专用工具明细表</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6、技术规格货物说明一览表</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7、技术规格偏离表</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8、资格审查资料</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9、具体的技术及服务方案</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10、磋商响应方认为需要加以说明的其他内容和需要提供的证明文件</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（二）磋商响应文件的密封和标记：</w:t>
      </w:r>
    </w:p>
    <w:p>
      <w:pPr>
        <w:spacing w:beforeAutospacing="0" w:afterAutospacing="0" w:line="360" w:lineRule="auto"/>
        <w:ind w:firstLine="422" w:firstLineChars="200"/>
        <w:rPr>
          <w:rFonts w:hint="eastAsia" w:ascii="宋体" w:hAnsi="宋体"/>
          <w:b/>
          <w:bCs/>
          <w:color w:val="auto"/>
          <w:kern w:val="0"/>
          <w:szCs w:val="21"/>
          <w:lang w:bidi="ar"/>
        </w:rPr>
      </w:pPr>
      <w:r>
        <w:rPr>
          <w:rFonts w:hint="eastAsia" w:ascii="宋体" w:hAnsi="宋体"/>
          <w:b/>
          <w:bCs/>
          <w:color w:val="auto"/>
          <w:kern w:val="0"/>
          <w:szCs w:val="21"/>
          <w:lang w:bidi="ar"/>
        </w:rPr>
        <w:t>1、磋商响应文件需加盖供应商公章并采用胶装方式装订成册，不得采用活页夹等随时可以拆换的方式，否则其响应文件将被否决。</w:t>
      </w:r>
    </w:p>
    <w:p>
      <w:pPr>
        <w:spacing w:beforeAutospacing="0" w:afterAutospacing="0" w:line="360" w:lineRule="auto"/>
        <w:ind w:firstLine="422" w:firstLineChars="200"/>
        <w:rPr>
          <w:rFonts w:hint="eastAsia" w:ascii="宋体" w:hAnsi="宋体"/>
          <w:b/>
          <w:bCs/>
          <w:color w:val="auto"/>
          <w:kern w:val="0"/>
          <w:szCs w:val="21"/>
          <w:lang w:bidi="ar"/>
        </w:rPr>
      </w:pPr>
      <w:r>
        <w:rPr>
          <w:rFonts w:hint="eastAsia" w:ascii="宋体" w:hAnsi="宋体"/>
          <w:b/>
          <w:bCs/>
          <w:color w:val="auto"/>
          <w:kern w:val="0"/>
          <w:szCs w:val="21"/>
          <w:lang w:bidi="ar"/>
        </w:rPr>
        <w:t>2、供应商应准备磋商响应文件五份，一份正本和四份副本。在每一份磋商响应文件上要明确注明“正本”或“副本”字样，一旦正本和副本有差异，以正本为准；</w:t>
      </w:r>
    </w:p>
    <w:p>
      <w:pPr>
        <w:spacing w:beforeAutospacing="0" w:afterAutospacing="0" w:line="360" w:lineRule="auto"/>
        <w:ind w:firstLine="422" w:firstLineChars="200"/>
        <w:rPr>
          <w:rFonts w:hint="eastAsia" w:ascii="宋体" w:hAnsi="宋体"/>
          <w:b/>
          <w:bCs/>
          <w:color w:val="auto"/>
          <w:kern w:val="0"/>
          <w:szCs w:val="21"/>
          <w:lang w:bidi="ar"/>
        </w:rPr>
      </w:pPr>
      <w:r>
        <w:rPr>
          <w:rFonts w:hint="eastAsia" w:ascii="宋体" w:hAnsi="宋体"/>
          <w:b/>
          <w:bCs/>
          <w:color w:val="auto"/>
          <w:kern w:val="0"/>
          <w:szCs w:val="21"/>
          <w:lang w:bidi="ar"/>
        </w:rPr>
        <w:t>3、响应供应商应将磋商响应文件密封，并在封口处加盖供应商公章或由法定代表人（或授权代表）签字（或盖章），未按本条要求密封的磋商响应文件采购人不予接收。</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（三）磋商响应文件的递交：</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1、磋商响应文件应于</w:t>
      </w:r>
      <w:r>
        <w:rPr>
          <w:rFonts w:hint="eastAsia" w:ascii="宋体" w:hAnsi="宋体"/>
          <w:b/>
          <w:bCs/>
          <w:color w:val="auto"/>
          <w:kern w:val="0"/>
          <w:szCs w:val="21"/>
          <w:lang w:eastAsia="zh-CN" w:bidi="ar"/>
        </w:rPr>
        <w:t>2023年</w:t>
      </w:r>
      <w:r>
        <w:rPr>
          <w:rFonts w:hint="eastAsia" w:ascii="宋体" w:hAnsi="宋体"/>
          <w:b/>
          <w:bCs/>
          <w:color w:val="auto"/>
          <w:kern w:val="0"/>
          <w:szCs w:val="21"/>
          <w:lang w:val="en-US" w:eastAsia="zh-CN" w:bidi="ar"/>
        </w:rPr>
        <w:t>3</w:t>
      </w:r>
      <w:r>
        <w:rPr>
          <w:rFonts w:hint="eastAsia" w:ascii="宋体" w:hAnsi="宋体"/>
          <w:b/>
          <w:bCs/>
          <w:color w:val="auto"/>
          <w:kern w:val="0"/>
          <w:szCs w:val="21"/>
          <w:lang w:eastAsia="zh-CN" w:bidi="ar"/>
        </w:rPr>
        <w:t>月</w:t>
      </w:r>
      <w:r>
        <w:rPr>
          <w:rFonts w:hint="eastAsia" w:ascii="宋体" w:hAnsi="宋体"/>
          <w:b/>
          <w:bCs/>
          <w:color w:val="auto"/>
          <w:kern w:val="0"/>
          <w:szCs w:val="21"/>
          <w:lang w:val="en-US" w:eastAsia="zh-CN" w:bidi="ar"/>
        </w:rPr>
        <w:t>17</w:t>
      </w:r>
      <w:r>
        <w:rPr>
          <w:rFonts w:hint="eastAsia" w:ascii="宋体" w:hAnsi="宋体"/>
          <w:b/>
          <w:bCs/>
          <w:color w:val="auto"/>
          <w:kern w:val="0"/>
          <w:szCs w:val="21"/>
          <w:lang w:eastAsia="zh-CN" w:bidi="ar"/>
        </w:rPr>
        <w:t>日</w:t>
      </w:r>
      <w:r>
        <w:rPr>
          <w:rFonts w:hint="eastAsia" w:ascii="宋体" w:hAnsi="宋体"/>
          <w:b/>
          <w:bCs/>
          <w:color w:val="auto"/>
          <w:kern w:val="0"/>
          <w:szCs w:val="21"/>
          <w:lang w:val="en-US" w:eastAsia="zh-CN" w:bidi="ar"/>
        </w:rPr>
        <w:t>10</w:t>
      </w:r>
      <w:r>
        <w:rPr>
          <w:rFonts w:hint="eastAsia" w:ascii="宋体" w:hAnsi="宋体"/>
          <w:b/>
          <w:bCs/>
          <w:color w:val="auto"/>
          <w:kern w:val="0"/>
          <w:szCs w:val="21"/>
          <w:lang w:eastAsia="zh-CN" w:bidi="ar"/>
        </w:rPr>
        <w:t>时30分</w:t>
      </w:r>
      <w:r>
        <w:rPr>
          <w:rFonts w:hint="eastAsia" w:ascii="宋体" w:hAnsi="宋体"/>
          <w:b/>
          <w:bCs/>
          <w:color w:val="auto"/>
          <w:kern w:val="0"/>
          <w:szCs w:val="21"/>
          <w:lang w:bidi="ar"/>
        </w:rPr>
        <w:t>（北京时间）</w:t>
      </w:r>
      <w:r>
        <w:rPr>
          <w:rFonts w:hint="eastAsia" w:ascii="宋体" w:hAnsi="宋体"/>
          <w:b/>
          <w:color w:val="auto"/>
          <w:kern w:val="0"/>
          <w:szCs w:val="21"/>
          <w:lang w:bidi="ar"/>
        </w:rPr>
        <w:t>前递交至</w:t>
      </w:r>
      <w:r>
        <w:rPr>
          <w:rFonts w:hint="eastAsia" w:ascii="宋体" w:hAnsi="宋体"/>
          <w:b/>
          <w:color w:val="auto"/>
          <w:kern w:val="0"/>
          <w:szCs w:val="21"/>
          <w:lang w:eastAsia="zh-CN" w:bidi="ar"/>
        </w:rPr>
        <w:t>邹城市看庄镇公共资源交易中心开标室</w:t>
      </w:r>
      <w:r>
        <w:rPr>
          <w:rFonts w:hint="eastAsia" w:ascii="宋体" w:hAnsi="宋体"/>
          <w:color w:val="auto"/>
          <w:kern w:val="0"/>
          <w:szCs w:val="21"/>
          <w:lang w:bidi="ar"/>
        </w:rPr>
        <w:t>；</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2、递交磋商响应文件时，供应商如出现以下情况，磋商响应文件将有权被拒绝。</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（1）逾期送达或未送达指定地点的磋商响应文件。</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（2）磋商响应文件未按磋商文件要求密封的。</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（3）供应商以传真、电子邮件方式递交磋商响应文件。</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3、对供应商的磋商响应文件、材料不予退还。</w:t>
      </w:r>
    </w:p>
    <w:p>
      <w:pPr>
        <w:spacing w:beforeAutospacing="0" w:afterAutospacing="0" w:line="360" w:lineRule="auto"/>
        <w:ind w:firstLine="442" w:firstLineChars="200"/>
        <w:rPr>
          <w:rFonts w:hint="eastAsia" w:ascii="宋体" w:hAnsi="宋体"/>
          <w:b/>
          <w:bCs/>
          <w:color w:val="auto"/>
          <w:kern w:val="0"/>
          <w:sz w:val="22"/>
          <w:szCs w:val="22"/>
          <w:lang w:bidi="ar"/>
        </w:rPr>
      </w:pPr>
      <w:r>
        <w:rPr>
          <w:rFonts w:hint="eastAsia" w:ascii="宋体" w:hAnsi="宋体"/>
          <w:b/>
          <w:bCs/>
          <w:color w:val="auto"/>
          <w:kern w:val="0"/>
          <w:sz w:val="22"/>
          <w:szCs w:val="22"/>
          <w:lang w:bidi="ar"/>
        </w:rPr>
        <w:t>（四）报价要求：</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1、本采购项目为交钥匙工程，供应商的报价包括</w:t>
      </w:r>
      <w:r>
        <w:rPr>
          <w:rFonts w:hint="eastAsia" w:ascii="宋体" w:hAnsi="宋体"/>
          <w:b/>
          <w:color w:val="auto"/>
          <w:kern w:val="0"/>
          <w:szCs w:val="21"/>
          <w:lang w:bidi="ar"/>
        </w:rPr>
        <w:t>货物费、材料费、备品备件费、包装费、运杂费、装卸费、仓储费、保管费、库损费、安装费、调试费、机械使用费、安装所需要的辅助材料费、安装损耗以及其他必要的辅助工作增加费、维护费、售后服务费、培训费、管理费、利润、检测试验费、验收及备案相关费用、商检费、各种税费等实施、完成交付使用的一切费用。磋商响应方的报价还应包括质保期内维修保养费用等的所有费用。其中备品备件费包括质保期内所需的备品备件费。在货物安装、调试过程中，如发现有漏项、缺件，卖方应无条件、无偿补齐，所发生的费用，视为已包含在磋商响应方的磋商响应方的报价之中，且并不因此影响交付买方使用的时间。（本项目为交钥匙项目，所有货物由供应商安装、调试完毕后，必须保证整套设备系统可正常使用。）其中，磋商代理服务费应分摊在报价中。</w:t>
      </w:r>
    </w:p>
    <w:p>
      <w:pPr>
        <w:widowControl/>
        <w:spacing w:beforeAutospacing="0" w:afterAutospacing="0" w:line="360" w:lineRule="auto"/>
        <w:ind w:firstLine="480"/>
        <w:jc w:val="left"/>
        <w:rPr>
          <w:rFonts w:hint="eastAsia" w:ascii="宋体" w:hAnsi="宋体"/>
          <w:b/>
          <w:color w:val="auto"/>
          <w:kern w:val="0"/>
          <w:szCs w:val="21"/>
          <w:lang w:bidi="ar"/>
        </w:rPr>
      </w:pPr>
      <w:r>
        <w:rPr>
          <w:rFonts w:hint="eastAsia" w:ascii="宋体" w:hAnsi="宋体"/>
          <w:b/>
          <w:color w:val="auto"/>
          <w:kern w:val="0"/>
          <w:szCs w:val="21"/>
          <w:lang w:bidi="ar"/>
        </w:rPr>
        <w:t>2、本项目采用初次报价及最终报价，共二次的报价方式；供应商两次报价均不得超出采购预算，供应商报价高于采购预算的作无效磋商响应文件处理。</w:t>
      </w:r>
    </w:p>
    <w:p>
      <w:pPr>
        <w:widowControl/>
        <w:spacing w:beforeAutospacing="0" w:afterAutospacing="0" w:line="360" w:lineRule="auto"/>
        <w:ind w:firstLine="480"/>
        <w:jc w:val="left"/>
        <w:rPr>
          <w:rFonts w:hint="eastAsia" w:ascii="宋体" w:hAnsi="宋体"/>
          <w:b/>
          <w:color w:val="auto"/>
          <w:kern w:val="0"/>
          <w:szCs w:val="21"/>
          <w:lang w:bidi="ar"/>
        </w:rPr>
      </w:pPr>
      <w:r>
        <w:rPr>
          <w:rFonts w:hint="eastAsia" w:ascii="宋体" w:hAnsi="宋体"/>
          <w:b/>
          <w:color w:val="auto"/>
          <w:kern w:val="0"/>
          <w:szCs w:val="21"/>
          <w:lang w:bidi="ar"/>
        </w:rPr>
        <w:t>3、如果报价表大写金额与小写金额不一致，以大写的金额为准。</w:t>
      </w:r>
    </w:p>
    <w:p>
      <w:pPr>
        <w:widowControl/>
        <w:spacing w:beforeAutospacing="0" w:afterAutospacing="0" w:line="360" w:lineRule="auto"/>
        <w:ind w:firstLine="480"/>
        <w:jc w:val="left"/>
        <w:rPr>
          <w:rFonts w:hint="eastAsia" w:ascii="宋体" w:hAnsi="宋体"/>
          <w:b/>
          <w:color w:val="auto"/>
          <w:kern w:val="0"/>
          <w:szCs w:val="21"/>
          <w:lang w:bidi="ar"/>
        </w:rPr>
      </w:pPr>
      <w:r>
        <w:rPr>
          <w:rFonts w:hint="eastAsia" w:ascii="宋体" w:hAnsi="宋体"/>
          <w:b/>
          <w:color w:val="auto"/>
          <w:kern w:val="0"/>
          <w:szCs w:val="21"/>
          <w:lang w:bidi="ar"/>
        </w:rPr>
        <w:t>4、供应商应提供分项单价和总价，如总价金额与按单价汇总金额不一致的以单价金额计算结果为准，单价金额小数点有明显错位的应以总价为准，并修改单价。</w:t>
      </w:r>
    </w:p>
    <w:p>
      <w:pPr>
        <w:widowControl/>
        <w:spacing w:beforeAutospacing="0" w:afterAutospacing="0" w:line="360" w:lineRule="auto"/>
        <w:ind w:firstLine="480"/>
        <w:jc w:val="left"/>
        <w:rPr>
          <w:rFonts w:hint="eastAsia" w:ascii="宋体" w:hAnsi="宋体"/>
          <w:b/>
          <w:color w:val="auto"/>
          <w:kern w:val="0"/>
          <w:szCs w:val="21"/>
          <w:lang w:bidi="ar"/>
        </w:rPr>
      </w:pPr>
      <w:r>
        <w:rPr>
          <w:rFonts w:hint="eastAsia" w:ascii="宋体" w:hAnsi="宋体"/>
          <w:b/>
          <w:color w:val="auto"/>
          <w:kern w:val="0"/>
          <w:szCs w:val="21"/>
          <w:lang w:bidi="ar"/>
        </w:rPr>
        <w:t>5、供应商免费提供的项目应先填写该项目的实际价格并注明免费，此项不计入总价或合计价。</w:t>
      </w:r>
    </w:p>
    <w:p>
      <w:pPr>
        <w:pStyle w:val="28"/>
        <w:spacing w:before="0" w:beforeAutospacing="0" w:afterAutospacing="0" w:line="360" w:lineRule="auto"/>
        <w:ind w:firstLine="422" w:firstLineChars="200"/>
        <w:rPr>
          <w:rFonts w:hint="eastAsia" w:ascii="宋体" w:hAnsi="宋体"/>
          <w:b/>
          <w:color w:val="auto"/>
          <w:kern w:val="0"/>
          <w:sz w:val="21"/>
          <w:szCs w:val="21"/>
          <w:lang w:bidi="ar"/>
        </w:rPr>
      </w:pPr>
      <w:r>
        <w:rPr>
          <w:rFonts w:hint="eastAsia" w:ascii="宋体" w:hAnsi="宋体"/>
          <w:b/>
          <w:color w:val="auto"/>
          <w:kern w:val="0"/>
          <w:sz w:val="21"/>
          <w:szCs w:val="21"/>
          <w:lang w:bidi="ar"/>
        </w:rPr>
        <w:t>6、最终报价只报总价，分项明细按最终报价与初次报价的比率，同比例下调。</w:t>
      </w:r>
    </w:p>
    <w:p>
      <w:pPr>
        <w:tabs>
          <w:tab w:val="left" w:pos="315"/>
        </w:tabs>
        <w:spacing w:beforeAutospacing="0" w:afterAutospacing="0" w:line="360" w:lineRule="auto"/>
        <w:ind w:firstLine="422" w:firstLineChars="200"/>
        <w:rPr>
          <w:rFonts w:hint="eastAsia" w:ascii="宋体" w:hAnsi="宋体"/>
          <w:b/>
          <w:color w:val="auto"/>
          <w:szCs w:val="21"/>
          <w:lang w:bidi="ar"/>
        </w:rPr>
      </w:pPr>
      <w:r>
        <w:rPr>
          <w:rFonts w:hint="eastAsia" w:ascii="宋体" w:hAnsi="宋体"/>
          <w:b/>
          <w:color w:val="auto"/>
          <w:szCs w:val="21"/>
          <w:lang w:bidi="ar"/>
        </w:rPr>
        <w:t>七、磋商有效期：</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自递交磋商响应文件截止之日起60个日历日。</w:t>
      </w:r>
    </w:p>
    <w:p>
      <w:pPr>
        <w:tabs>
          <w:tab w:val="left" w:pos="315"/>
        </w:tabs>
        <w:spacing w:beforeAutospacing="0" w:afterAutospacing="0" w:line="360" w:lineRule="auto"/>
        <w:ind w:firstLine="422" w:firstLineChars="200"/>
        <w:rPr>
          <w:rFonts w:hint="eastAsia" w:ascii="宋体" w:hAnsi="宋体"/>
          <w:b/>
          <w:color w:val="auto"/>
          <w:szCs w:val="21"/>
          <w:lang w:bidi="ar"/>
        </w:rPr>
      </w:pPr>
      <w:r>
        <w:rPr>
          <w:rFonts w:hint="eastAsia" w:ascii="宋体" w:hAnsi="宋体"/>
          <w:b/>
          <w:color w:val="auto"/>
          <w:szCs w:val="21"/>
          <w:lang w:bidi="ar"/>
        </w:rPr>
        <w:t>八、磋商费用：</w:t>
      </w:r>
    </w:p>
    <w:p>
      <w:pPr>
        <w:tabs>
          <w:tab w:val="left" w:pos="315"/>
        </w:tabs>
        <w:spacing w:beforeAutospacing="0" w:afterAutospacing="0" w:line="360" w:lineRule="auto"/>
        <w:ind w:firstLine="422" w:firstLineChars="200"/>
        <w:rPr>
          <w:rFonts w:hint="eastAsia" w:ascii="宋体" w:hAnsi="宋体"/>
          <w:b/>
          <w:color w:val="auto"/>
          <w:szCs w:val="21"/>
          <w:lang w:bidi="ar"/>
        </w:rPr>
      </w:pPr>
      <w:r>
        <w:rPr>
          <w:rFonts w:hint="eastAsia" w:ascii="宋体" w:hAnsi="宋体"/>
          <w:b/>
          <w:color w:val="auto"/>
          <w:szCs w:val="21"/>
          <w:lang w:bidi="ar"/>
        </w:rPr>
        <w:t>1、无论报价过程中的方法和结果如何，各供应商自行承担所有参与磋商的有关费用。</w:t>
      </w:r>
    </w:p>
    <w:p>
      <w:pPr>
        <w:tabs>
          <w:tab w:val="left" w:pos="315"/>
        </w:tabs>
        <w:spacing w:beforeAutospacing="0" w:afterAutospacing="0" w:line="360" w:lineRule="auto"/>
        <w:ind w:firstLine="422" w:firstLineChars="200"/>
        <w:rPr>
          <w:rFonts w:hint="eastAsia" w:ascii="宋体" w:hAnsi="宋体"/>
          <w:b/>
          <w:color w:val="auto"/>
          <w:szCs w:val="21"/>
          <w:lang w:bidi="ar"/>
        </w:rPr>
      </w:pPr>
      <w:r>
        <w:rPr>
          <w:rFonts w:hint="eastAsia" w:ascii="宋体" w:hAnsi="宋体"/>
          <w:b/>
          <w:color w:val="auto"/>
          <w:szCs w:val="21"/>
          <w:lang w:bidi="ar"/>
        </w:rPr>
        <w:t>2、本次采购代理费由成交供应商支付共计</w:t>
      </w:r>
      <w:r>
        <w:rPr>
          <w:rFonts w:hint="eastAsia" w:ascii="宋体" w:hAnsi="宋体"/>
          <w:b/>
          <w:color w:val="auto"/>
          <w:szCs w:val="21"/>
          <w:lang w:eastAsia="zh-CN" w:bidi="ar"/>
        </w:rPr>
        <w:t>伍仟</w:t>
      </w:r>
      <w:r>
        <w:rPr>
          <w:rFonts w:hint="eastAsia" w:ascii="宋体" w:hAnsi="宋体"/>
          <w:b/>
          <w:color w:val="auto"/>
          <w:szCs w:val="21"/>
          <w:lang w:bidi="ar"/>
        </w:rPr>
        <w:t>元。成交通知书发出前，成交人向代理机构一次性缴纳。</w:t>
      </w:r>
    </w:p>
    <w:p>
      <w:pPr>
        <w:tabs>
          <w:tab w:val="left" w:pos="315"/>
        </w:tabs>
        <w:spacing w:beforeAutospacing="0" w:afterAutospacing="0" w:line="360" w:lineRule="auto"/>
        <w:ind w:firstLine="422" w:firstLineChars="200"/>
        <w:rPr>
          <w:rFonts w:hint="eastAsia" w:ascii="宋体" w:hAnsi="宋体"/>
          <w:b/>
          <w:color w:val="auto"/>
          <w:szCs w:val="21"/>
          <w:lang w:bidi="ar"/>
        </w:rPr>
      </w:pPr>
      <w:r>
        <w:rPr>
          <w:rFonts w:hint="eastAsia" w:ascii="宋体" w:hAnsi="宋体"/>
          <w:b/>
          <w:color w:val="auto"/>
          <w:szCs w:val="21"/>
          <w:lang w:bidi="ar"/>
        </w:rPr>
        <w:t>九、付款方式：</w:t>
      </w:r>
    </w:p>
    <w:p>
      <w:pPr>
        <w:tabs>
          <w:tab w:val="left" w:pos="315"/>
        </w:tabs>
        <w:spacing w:beforeAutospacing="0" w:afterAutospacing="0" w:line="360" w:lineRule="auto"/>
        <w:ind w:firstLine="310" w:firstLineChars="147"/>
        <w:rPr>
          <w:rFonts w:hint="eastAsia" w:ascii="宋体" w:hAnsi="宋体" w:eastAsia="宋体"/>
          <w:b/>
          <w:color w:val="auto"/>
          <w:szCs w:val="21"/>
          <w:lang w:eastAsia="zh-CN"/>
        </w:rPr>
      </w:pPr>
      <w:r>
        <w:rPr>
          <w:rFonts w:hint="eastAsia" w:ascii="宋体" w:hAnsi="宋体" w:eastAsia="宋体"/>
          <w:b/>
          <w:color w:val="auto"/>
          <w:szCs w:val="21"/>
          <w:lang w:eastAsia="zh-CN"/>
        </w:rPr>
        <w:t>本项目无预付款，货到采购人指定地点并安装调试完成，待上级验收合格并资金到位后付至合同款的95%，剩余5%做为质保金，质保期满后无质量问题一次性无息付清。</w:t>
      </w:r>
    </w:p>
    <w:p>
      <w:pPr>
        <w:tabs>
          <w:tab w:val="left" w:pos="315"/>
        </w:tabs>
        <w:spacing w:beforeAutospacing="0" w:afterAutospacing="0" w:line="360" w:lineRule="auto"/>
        <w:ind w:firstLine="310" w:firstLineChars="147"/>
        <w:rPr>
          <w:rFonts w:hint="eastAsia" w:ascii="宋体" w:hAnsi="宋体"/>
          <w:b/>
          <w:color w:val="auto"/>
          <w:szCs w:val="21"/>
          <w:lang w:bidi="ar"/>
        </w:rPr>
      </w:pPr>
      <w:r>
        <w:rPr>
          <w:rFonts w:hint="eastAsia" w:ascii="宋体" w:hAnsi="宋体"/>
          <w:b/>
          <w:color w:val="auto"/>
          <w:szCs w:val="21"/>
          <w:lang w:bidi="ar"/>
        </w:rPr>
        <w:t>十、无效磋商响应文件：</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凡具有下列情形之一的，作无效磋商响应文件：</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1、不同供应商的响应文件由同一单位或者个人编制的；</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2、不同供应商委托同一单位或者个人办理磋商事宜的；</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3、不同供应商的响应文件载明的项目管理成员为同一人的；</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4、资格证明文件不全或无效的，或者不符合采购文件标明的资格要求的；</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5、响应文件无法定代表人或授权委托人签字或盖章的；</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6、项目完成时间、质保期等商务条款不能满足磋商文件要求的；</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7、不响应或者擅自改变采购文件要求或者响应文件有采购人不能接受的附加条件的；</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8、供应商在响应文件中提供虚假材料的；</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9、供应商与采购人、其他供应商或者采购代理机构恶意串通的；</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10、供应商在提交响应文件截止时间后撤回响应文件的；</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11、供应商的初次报价或最终报价高于采购预算的；</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1</w:t>
      </w:r>
      <w:r>
        <w:rPr>
          <w:rFonts w:hint="eastAsia" w:ascii="宋体" w:hAnsi="宋体"/>
          <w:color w:val="auto"/>
          <w:kern w:val="0"/>
          <w:szCs w:val="21"/>
          <w:lang w:val="en-US" w:eastAsia="zh-CN" w:bidi="ar"/>
        </w:rPr>
        <w:t>2</w:t>
      </w:r>
      <w:r>
        <w:rPr>
          <w:rFonts w:hint="eastAsia" w:ascii="宋体" w:hAnsi="宋体"/>
          <w:color w:val="auto"/>
          <w:kern w:val="0"/>
          <w:szCs w:val="21"/>
          <w:lang w:bidi="ar"/>
        </w:rPr>
        <w:t>、法律、法规规定的其他情况。</w:t>
      </w:r>
    </w:p>
    <w:p>
      <w:pPr>
        <w:tabs>
          <w:tab w:val="left" w:pos="315"/>
        </w:tabs>
        <w:spacing w:beforeAutospacing="0" w:afterAutospacing="0" w:line="360" w:lineRule="auto"/>
        <w:ind w:firstLine="310" w:firstLineChars="147"/>
        <w:rPr>
          <w:rFonts w:hint="eastAsia" w:ascii="宋体" w:hAnsi="宋体"/>
          <w:b/>
          <w:color w:val="auto"/>
          <w:szCs w:val="21"/>
          <w:lang w:bidi="ar"/>
        </w:rPr>
      </w:pPr>
      <w:r>
        <w:rPr>
          <w:rFonts w:hint="eastAsia" w:ascii="宋体" w:hAnsi="宋体"/>
          <w:b/>
          <w:color w:val="auto"/>
          <w:szCs w:val="21"/>
          <w:lang w:bidi="ar"/>
        </w:rPr>
        <w:t>十一、质疑和投诉：</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质疑：参加磋商的供应商认为采购文件、采购过程和成交结果使自己的合法权益受到损害的，有权依法向采购人或采购代理机构提出质疑。</w:t>
      </w:r>
    </w:p>
    <w:p>
      <w:pPr>
        <w:spacing w:beforeAutospacing="0" w:afterAutospacing="0" w:line="360" w:lineRule="auto"/>
        <w:ind w:firstLine="420" w:firstLineChars="200"/>
        <w:rPr>
          <w:rFonts w:hint="eastAsia" w:ascii="宋体" w:hAnsi="宋体"/>
          <w:color w:val="auto"/>
          <w:kern w:val="0"/>
          <w:szCs w:val="21"/>
          <w:lang w:bidi="ar"/>
        </w:rPr>
      </w:pPr>
      <w:r>
        <w:rPr>
          <w:rFonts w:hint="eastAsia" w:ascii="宋体" w:hAnsi="宋体"/>
          <w:color w:val="auto"/>
          <w:kern w:val="0"/>
          <w:szCs w:val="21"/>
          <w:lang w:bidi="ar"/>
        </w:rPr>
        <w:t>投诉：参加磋商的供应商对采购人的质疑答复不满意，或者采购人未在规定期限内作出答复的，供应商可以在答复期满后可以向相关行政主管部门投诉。</w:t>
      </w:r>
    </w:p>
    <w:p>
      <w:pPr>
        <w:widowControl/>
        <w:shd w:val="clear" w:color="auto" w:fill="FFFFFF"/>
        <w:spacing w:beforeAutospacing="0" w:afterAutospacing="0" w:line="440" w:lineRule="exact"/>
        <w:ind w:firstLine="480"/>
        <w:jc w:val="left"/>
        <w:rPr>
          <w:rFonts w:hint="eastAsia" w:ascii="宋体" w:hAnsi="宋体"/>
          <w:b/>
          <w:color w:val="auto"/>
          <w:szCs w:val="21"/>
        </w:rPr>
      </w:pPr>
      <w:r>
        <w:rPr>
          <w:rFonts w:hint="eastAsia" w:ascii="宋体" w:hAnsi="宋体"/>
          <w:b/>
          <w:color w:val="auto"/>
          <w:szCs w:val="21"/>
        </w:rPr>
        <w:t>十二、响应供应商不足三家：</w:t>
      </w:r>
    </w:p>
    <w:p>
      <w:pPr>
        <w:widowControl/>
        <w:shd w:val="clear" w:color="auto" w:fill="FFFFFF"/>
        <w:spacing w:beforeAutospacing="0" w:afterAutospacing="0" w:line="440" w:lineRule="exact"/>
        <w:ind w:firstLine="480"/>
        <w:jc w:val="left"/>
        <w:rPr>
          <w:rFonts w:hint="eastAsia" w:ascii="宋体" w:hAnsi="宋体"/>
          <w:bCs/>
          <w:color w:val="auto"/>
          <w:szCs w:val="21"/>
        </w:rPr>
      </w:pPr>
      <w:r>
        <w:rPr>
          <w:rFonts w:hint="eastAsia" w:ascii="宋体" w:hAnsi="宋体"/>
          <w:bCs/>
          <w:color w:val="auto"/>
          <w:szCs w:val="21"/>
        </w:rPr>
        <w:t>递交响应文件或对磋商文件做出实质响应的供应商不足三家的，采购人将中止磋商，重新组织采购。</w:t>
      </w:r>
    </w:p>
    <w:p>
      <w:pPr>
        <w:spacing w:beforeAutospacing="0" w:afterAutospacing="0" w:line="360" w:lineRule="auto"/>
        <w:rPr>
          <w:rFonts w:hint="eastAsia" w:ascii="宋体" w:hAnsi="宋体"/>
          <w:color w:val="auto"/>
          <w:szCs w:val="21"/>
        </w:rPr>
      </w:pPr>
    </w:p>
    <w:p>
      <w:pPr>
        <w:pStyle w:val="4"/>
        <w:bidi w:val="0"/>
        <w:rPr>
          <w:rFonts w:hint="eastAsia" w:ascii="宋体" w:hAnsi="宋体"/>
          <w:b w:val="0"/>
          <w:color w:val="auto"/>
          <w:sz w:val="30"/>
          <w:szCs w:val="30"/>
          <w:lang w:bidi="ar"/>
        </w:rPr>
      </w:pPr>
      <w:bookmarkStart w:id="13" w:name="_Toc12845"/>
      <w:bookmarkEnd w:id="13"/>
      <w:r>
        <w:rPr>
          <w:rFonts w:hint="eastAsia" w:ascii="宋体" w:hAnsi="宋体"/>
          <w:b w:val="0"/>
          <w:color w:val="auto"/>
          <w:sz w:val="30"/>
          <w:szCs w:val="30"/>
          <w:lang w:bidi="ar"/>
        </w:rPr>
        <w:br w:type="page"/>
      </w:r>
      <w:r>
        <w:rPr>
          <w:rFonts w:hint="eastAsia" w:ascii="宋体" w:hAnsi="宋体" w:eastAsia="宋体"/>
          <w:b/>
          <w:color w:val="auto"/>
          <w:kern w:val="44"/>
          <w:sz w:val="32"/>
          <w:szCs w:val="44"/>
          <w:lang w:val="en-US" w:eastAsia="zh-CN" w:bidi="ar-SA"/>
        </w:rPr>
        <w:t>第三部分  磋商组织、步骤与评审方法</w:t>
      </w:r>
    </w:p>
    <w:p>
      <w:pPr>
        <w:spacing w:beforeAutospacing="0" w:afterAutospacing="0" w:line="600" w:lineRule="exact"/>
        <w:ind w:firstLine="422" w:firstLineChars="200"/>
        <w:rPr>
          <w:rFonts w:hint="eastAsia" w:ascii="宋体" w:hAnsi="宋体"/>
          <w:b/>
          <w:color w:val="auto"/>
          <w:szCs w:val="21"/>
        </w:rPr>
      </w:pPr>
      <w:r>
        <w:rPr>
          <w:rFonts w:hint="eastAsia" w:ascii="宋体" w:hAnsi="宋体"/>
          <w:b/>
          <w:color w:val="auto"/>
          <w:szCs w:val="21"/>
        </w:rPr>
        <w:t>一、磋商组织：</w:t>
      </w:r>
    </w:p>
    <w:p>
      <w:pPr>
        <w:spacing w:beforeAutospacing="0" w:afterAutospacing="0" w:line="600" w:lineRule="exact"/>
        <w:ind w:firstLine="420" w:firstLineChars="200"/>
        <w:rPr>
          <w:rFonts w:hint="eastAsia" w:ascii="宋体" w:hAnsi="宋体"/>
          <w:color w:val="auto"/>
          <w:szCs w:val="21"/>
        </w:rPr>
      </w:pPr>
      <w:r>
        <w:rPr>
          <w:rFonts w:hint="eastAsia" w:ascii="宋体" w:hAnsi="宋体"/>
          <w:color w:val="auto"/>
          <w:szCs w:val="21"/>
        </w:rPr>
        <w:t>1、采购人在磋商文件规定的时间和地点组织磋商，磋商响应方须派代表参加；</w:t>
      </w:r>
    </w:p>
    <w:p>
      <w:pPr>
        <w:spacing w:beforeAutospacing="0" w:afterAutospacing="0" w:line="600" w:lineRule="exact"/>
        <w:ind w:firstLine="420" w:firstLineChars="200"/>
        <w:rPr>
          <w:rFonts w:hint="eastAsia" w:ascii="宋体" w:hAnsi="宋体"/>
          <w:color w:val="auto"/>
          <w:szCs w:val="21"/>
        </w:rPr>
      </w:pPr>
      <w:r>
        <w:rPr>
          <w:rFonts w:hint="eastAsia" w:ascii="宋体" w:hAnsi="宋体"/>
          <w:color w:val="auto"/>
          <w:szCs w:val="21"/>
        </w:rPr>
        <w:t>2、磋商小组由三人（含）以上单数的人员组成，其中专家的人数不少于成员总数的三分之二，磋商小组对磋商响应文件进行审查、质疑、评估和比较。</w:t>
      </w:r>
    </w:p>
    <w:p>
      <w:pPr>
        <w:spacing w:beforeAutospacing="0" w:afterAutospacing="0" w:line="600" w:lineRule="exact"/>
        <w:ind w:firstLine="422" w:firstLineChars="200"/>
        <w:rPr>
          <w:rFonts w:hint="eastAsia" w:ascii="宋体" w:hAnsi="宋体"/>
          <w:b/>
          <w:color w:val="auto"/>
          <w:szCs w:val="21"/>
        </w:rPr>
      </w:pPr>
      <w:r>
        <w:rPr>
          <w:rFonts w:hint="eastAsia" w:ascii="宋体" w:hAnsi="宋体"/>
          <w:b/>
          <w:color w:val="auto"/>
          <w:szCs w:val="21"/>
        </w:rPr>
        <w:t>二、磋商步骤：</w:t>
      </w:r>
    </w:p>
    <w:p>
      <w:pPr>
        <w:spacing w:beforeAutospacing="0" w:afterAutospacing="0" w:line="600" w:lineRule="exact"/>
        <w:ind w:firstLine="420" w:firstLineChars="200"/>
        <w:rPr>
          <w:rFonts w:hint="eastAsia" w:ascii="宋体" w:hAnsi="宋体"/>
          <w:color w:val="auto"/>
          <w:szCs w:val="21"/>
        </w:rPr>
      </w:pPr>
      <w:r>
        <w:rPr>
          <w:rFonts w:hint="eastAsia" w:ascii="宋体" w:hAnsi="宋体"/>
          <w:color w:val="auto"/>
          <w:szCs w:val="21"/>
        </w:rPr>
        <w:t>1、检查磋商响应文件密封情况：各磋商响应方对自己递交的磋商响应文件密封情况进行检查；</w:t>
      </w:r>
    </w:p>
    <w:p>
      <w:pPr>
        <w:spacing w:beforeAutospacing="0" w:afterAutospacing="0" w:line="600" w:lineRule="exact"/>
        <w:ind w:firstLine="420" w:firstLineChars="200"/>
        <w:rPr>
          <w:rFonts w:hint="eastAsia" w:ascii="宋体" w:hAnsi="宋体"/>
          <w:color w:val="auto"/>
          <w:szCs w:val="21"/>
        </w:rPr>
      </w:pPr>
      <w:r>
        <w:rPr>
          <w:rFonts w:hint="eastAsia" w:ascii="宋体" w:hAnsi="宋体"/>
          <w:color w:val="auto"/>
          <w:szCs w:val="21"/>
        </w:rPr>
        <w:t>2、磋商响应文件初步审核：</w:t>
      </w:r>
      <w:r>
        <w:rPr>
          <w:rFonts w:hint="eastAsia" w:ascii="宋体" w:hAnsi="宋体"/>
          <w:bCs/>
          <w:color w:val="auto"/>
          <w:szCs w:val="21"/>
        </w:rPr>
        <w:t>磋商</w:t>
      </w:r>
      <w:r>
        <w:rPr>
          <w:rFonts w:hint="eastAsia" w:ascii="宋体" w:hAnsi="宋体"/>
          <w:color w:val="auto"/>
          <w:szCs w:val="21"/>
        </w:rPr>
        <w:t>小组对</w:t>
      </w:r>
      <w:r>
        <w:rPr>
          <w:rFonts w:hint="eastAsia" w:ascii="宋体" w:hAnsi="宋体"/>
          <w:bCs/>
          <w:color w:val="auto"/>
          <w:szCs w:val="21"/>
        </w:rPr>
        <w:t>磋商</w:t>
      </w:r>
      <w:r>
        <w:rPr>
          <w:rFonts w:hint="eastAsia" w:ascii="宋体" w:hAnsi="宋体"/>
          <w:color w:val="auto"/>
          <w:szCs w:val="21"/>
        </w:rPr>
        <w:t>响应文件进行符合性审核；</w:t>
      </w:r>
    </w:p>
    <w:p>
      <w:pPr>
        <w:spacing w:beforeAutospacing="0" w:afterAutospacing="0" w:line="600" w:lineRule="exact"/>
        <w:ind w:firstLine="420" w:firstLineChars="200"/>
        <w:rPr>
          <w:rFonts w:hint="eastAsia" w:ascii="宋体" w:hAnsi="宋体"/>
          <w:color w:val="auto"/>
          <w:szCs w:val="21"/>
        </w:rPr>
      </w:pPr>
      <w:r>
        <w:rPr>
          <w:rFonts w:hint="eastAsia" w:ascii="宋体" w:hAnsi="宋体"/>
          <w:color w:val="auto"/>
          <w:szCs w:val="21"/>
        </w:rPr>
        <w:t>3、磋商小组所有成员集中根据磋商需要与单一供应商分别</w:t>
      </w:r>
      <w:r>
        <w:rPr>
          <w:rFonts w:hint="eastAsia" w:ascii="宋体" w:hAnsi="宋体"/>
          <w:bCs/>
          <w:color w:val="auto"/>
          <w:szCs w:val="21"/>
        </w:rPr>
        <w:t>磋商</w:t>
      </w:r>
      <w:r>
        <w:rPr>
          <w:rFonts w:hint="eastAsia" w:ascii="宋体" w:hAnsi="宋体"/>
          <w:color w:val="auto"/>
          <w:szCs w:val="21"/>
        </w:rPr>
        <w:t>；</w:t>
      </w:r>
    </w:p>
    <w:p>
      <w:pPr>
        <w:spacing w:beforeAutospacing="0" w:afterAutospacing="0" w:line="600" w:lineRule="exact"/>
        <w:ind w:firstLine="420" w:firstLineChars="200"/>
        <w:rPr>
          <w:rFonts w:hint="eastAsia" w:ascii="宋体" w:hAnsi="宋体"/>
          <w:color w:val="auto"/>
          <w:szCs w:val="21"/>
        </w:rPr>
      </w:pPr>
      <w:r>
        <w:rPr>
          <w:rFonts w:hint="eastAsia" w:ascii="宋体" w:hAnsi="宋体"/>
          <w:color w:val="auto"/>
          <w:szCs w:val="21"/>
        </w:rPr>
        <w:t>4、磋商结束后，所有实质性响应的供应商进行最终报价；</w:t>
      </w:r>
    </w:p>
    <w:p>
      <w:pPr>
        <w:spacing w:beforeAutospacing="0" w:afterAutospacing="0" w:line="600" w:lineRule="exact"/>
        <w:ind w:firstLine="420" w:firstLineChars="200"/>
        <w:rPr>
          <w:rFonts w:hint="eastAsia" w:ascii="宋体" w:hAnsi="宋体"/>
          <w:color w:val="auto"/>
          <w:szCs w:val="21"/>
        </w:rPr>
      </w:pPr>
      <w:r>
        <w:rPr>
          <w:rFonts w:hint="eastAsia" w:ascii="宋体" w:hAnsi="宋体"/>
          <w:color w:val="auto"/>
          <w:szCs w:val="21"/>
        </w:rPr>
        <w:t>5、磋商小组按照如下评审办法对最终报价后所有实质性响应的供应商进行评审，推荐3名成交候选供应商。</w:t>
      </w:r>
    </w:p>
    <w:p>
      <w:pPr>
        <w:spacing w:beforeAutospacing="0" w:afterAutospacing="0" w:line="360" w:lineRule="auto"/>
        <w:ind w:firstLine="422" w:firstLineChars="200"/>
        <w:rPr>
          <w:rFonts w:hint="eastAsia" w:ascii="宋体" w:hAnsi="宋体"/>
          <w:b/>
          <w:color w:val="auto"/>
          <w:szCs w:val="21"/>
        </w:rPr>
      </w:pPr>
      <w:r>
        <w:rPr>
          <w:rFonts w:hint="eastAsia" w:ascii="宋体" w:hAnsi="宋体"/>
          <w:b/>
          <w:color w:val="auto"/>
          <w:szCs w:val="21"/>
        </w:rPr>
        <w:t>三、评审办法：</w:t>
      </w:r>
    </w:p>
    <w:p>
      <w:pPr>
        <w:tabs>
          <w:tab w:val="left" w:pos="0"/>
          <w:tab w:val="left" w:pos="885"/>
          <w:tab w:val="left" w:pos="990"/>
        </w:tabs>
        <w:spacing w:beforeAutospacing="0" w:afterAutospacing="0" w:line="360" w:lineRule="auto"/>
        <w:ind w:firstLine="495" w:firstLineChars="236"/>
        <w:rPr>
          <w:rFonts w:hint="eastAsia" w:ascii="宋体" w:hAnsi="宋体"/>
          <w:color w:val="auto"/>
          <w:szCs w:val="21"/>
        </w:rPr>
      </w:pPr>
      <w:r>
        <w:rPr>
          <w:rFonts w:hint="eastAsia" w:ascii="宋体" w:hAnsi="宋体"/>
          <w:color w:val="auto"/>
          <w:szCs w:val="21"/>
        </w:rPr>
        <w:t>1、本项目采用综合评分法，是指响应文件满足磋商文件全部实质性要求且按评审因素的量化指标评审得分，按照评审得分由高到低顺序推荐成交候选供应商的评审方法。</w:t>
      </w:r>
    </w:p>
    <w:tbl>
      <w:tblPr>
        <w:tblStyle w:val="6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2134"/>
        <w:gridCol w:w="720"/>
        <w:gridCol w:w="6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trPr>
        <w:tc>
          <w:tcPr>
            <w:tcW w:w="682"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center"/>
              <w:rPr>
                <w:rFonts w:hint="eastAsia" w:ascii="Times New Roman" w:hAnsi="Times New Roman" w:eastAsia="Times New Roman"/>
                <w:color w:val="auto"/>
                <w:lang w:eastAsia="zh-CN"/>
              </w:rPr>
            </w:pPr>
            <w:r>
              <w:rPr>
                <w:rFonts w:hint="eastAsia" w:ascii="Times New Roman" w:hAnsi="Times New Roman" w:eastAsia="Times New Roman"/>
                <w:color w:val="auto"/>
                <w:lang w:eastAsia="zh-CN"/>
              </w:rPr>
              <w:t>序号</w:t>
            </w:r>
          </w:p>
        </w:tc>
        <w:tc>
          <w:tcPr>
            <w:tcW w:w="213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center"/>
              <w:rPr>
                <w:rFonts w:hint="eastAsia" w:ascii="Times New Roman" w:hAnsi="Times New Roman" w:eastAsia="Times New Roman"/>
                <w:color w:val="auto"/>
                <w:lang w:eastAsia="zh-CN"/>
              </w:rPr>
            </w:pPr>
            <w:r>
              <w:rPr>
                <w:rFonts w:hint="eastAsia" w:ascii="Times New Roman" w:hAnsi="Times New Roman" w:eastAsia="Times New Roman"/>
                <w:color w:val="auto"/>
                <w:lang w:eastAsia="zh-CN"/>
              </w:rPr>
              <w:t>评分要素</w:t>
            </w:r>
          </w:p>
        </w:tc>
        <w:tc>
          <w:tcPr>
            <w:tcW w:w="720"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center"/>
              <w:rPr>
                <w:rFonts w:hint="eastAsia" w:ascii="Times New Roman" w:hAnsi="Times New Roman" w:eastAsia="Times New Roman"/>
                <w:color w:val="auto"/>
                <w:lang w:eastAsia="zh-CN"/>
              </w:rPr>
            </w:pPr>
            <w:r>
              <w:rPr>
                <w:rFonts w:hint="eastAsia" w:ascii="Times New Roman" w:hAnsi="Times New Roman" w:eastAsia="Times New Roman"/>
                <w:color w:val="auto"/>
                <w:lang w:eastAsia="zh-CN"/>
              </w:rPr>
              <w:t>分数</w:t>
            </w:r>
          </w:p>
        </w:tc>
        <w:tc>
          <w:tcPr>
            <w:tcW w:w="6323"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center"/>
              <w:rPr>
                <w:rFonts w:hint="eastAsia" w:ascii="Times New Roman" w:hAnsi="Times New Roman" w:eastAsia="Times New Roman"/>
                <w:color w:val="auto"/>
                <w:lang w:eastAsia="zh-CN"/>
              </w:rPr>
            </w:pPr>
            <w:r>
              <w:rPr>
                <w:rFonts w:hint="eastAsia" w:ascii="Times New Roman" w:hAnsi="Times New Roman" w:eastAsia="Times New Roman"/>
                <w:color w:val="auto"/>
                <w:lang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8" w:hRule="atLeast"/>
        </w:trPr>
        <w:tc>
          <w:tcPr>
            <w:tcW w:w="682"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center"/>
              <w:rPr>
                <w:rFonts w:hint="eastAsia" w:ascii="Times New Roman" w:hAnsi="Times New Roman" w:eastAsia="Times New Roman"/>
                <w:color w:val="auto"/>
                <w:lang w:val="en-US" w:eastAsia="zh-CN"/>
              </w:rPr>
            </w:pPr>
            <w:r>
              <w:rPr>
                <w:rFonts w:hint="eastAsia" w:ascii="Times New Roman" w:hAnsi="Times New Roman" w:eastAsia="Times New Roman"/>
                <w:color w:val="auto"/>
                <w:lang w:val="en-US" w:eastAsia="zh-CN"/>
              </w:rPr>
              <w:t>1</w:t>
            </w:r>
          </w:p>
        </w:tc>
        <w:tc>
          <w:tcPr>
            <w:tcW w:w="213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center"/>
              <w:rPr>
                <w:rFonts w:hint="eastAsia" w:ascii="Times New Roman" w:hAnsi="Times New Roman" w:eastAsia="Times New Roman"/>
                <w:color w:val="auto"/>
                <w:lang w:val="en-US" w:eastAsia="zh-CN"/>
              </w:rPr>
            </w:pPr>
            <w:r>
              <w:rPr>
                <w:rFonts w:hint="eastAsia" w:ascii="Times New Roman" w:hAnsi="Times New Roman" w:eastAsia="Times New Roman"/>
                <w:color w:val="auto"/>
                <w:lang w:val="en-US" w:eastAsia="zh-CN"/>
              </w:rPr>
              <w:t>报价部分</w:t>
            </w:r>
          </w:p>
        </w:tc>
        <w:tc>
          <w:tcPr>
            <w:tcW w:w="720"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center"/>
              <w:rPr>
                <w:rFonts w:hint="eastAsia" w:ascii="Times New Roman" w:hAnsi="Times New Roman" w:eastAsia="Times New Roman"/>
                <w:color w:val="auto"/>
                <w:lang w:val="en-US" w:eastAsia="zh-CN"/>
              </w:rPr>
            </w:pPr>
            <w:r>
              <w:rPr>
                <w:rFonts w:hint="eastAsia" w:eastAsia="Times New Roman"/>
                <w:color w:val="auto"/>
                <w:lang w:val="en-US" w:eastAsia="zh-CN"/>
              </w:rPr>
              <w:t>50</w:t>
            </w:r>
            <w:r>
              <w:rPr>
                <w:rFonts w:hint="eastAsia" w:ascii="Times New Roman" w:hAnsi="Times New Roman" w:eastAsia="Times New Roman"/>
                <w:color w:val="auto"/>
                <w:lang w:val="en-US" w:eastAsia="zh-CN"/>
              </w:rPr>
              <w:t>分</w:t>
            </w:r>
          </w:p>
        </w:tc>
        <w:tc>
          <w:tcPr>
            <w:tcW w:w="6323"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both"/>
              <w:rPr>
                <w:rFonts w:hint="eastAsia" w:ascii="Times New Roman" w:hAnsi="Times New Roman" w:eastAsia="Times New Roman"/>
                <w:color w:val="auto"/>
              </w:rPr>
            </w:pPr>
            <w:r>
              <w:rPr>
                <w:rFonts w:hint="eastAsia" w:ascii="Times New Roman" w:hAnsi="Times New Roman" w:eastAsia="Times New Roman"/>
                <w:color w:val="auto"/>
              </w:rPr>
              <w:t>供应商的报价得分统一采用最低价优先法计算，即满足磋商文件要求且最终报价最低的供应商的价格为磋商基准价，其报价得分为满分</w:t>
            </w:r>
            <w:r>
              <w:rPr>
                <w:rFonts w:hint="eastAsia" w:eastAsia="Times New Roman"/>
                <w:color w:val="auto"/>
                <w:lang w:val="en-US" w:eastAsia="zh-CN"/>
              </w:rPr>
              <w:t>50</w:t>
            </w:r>
            <w:r>
              <w:rPr>
                <w:rFonts w:hint="eastAsia" w:ascii="Times New Roman" w:hAnsi="Times New Roman" w:eastAsia="Times New Roman"/>
                <w:color w:val="auto"/>
              </w:rPr>
              <w:t>分。其他供应商的报价得分统一按照下列公式计算：磋商报价得分=（磋商基准价/最终磋商报价）×</w:t>
            </w:r>
            <w:r>
              <w:rPr>
                <w:rFonts w:hint="eastAsia" w:eastAsia="Times New Roman"/>
                <w:color w:val="auto"/>
                <w:lang w:val="en-US" w:eastAsia="zh-CN"/>
              </w:rPr>
              <w:t>5</w:t>
            </w:r>
            <w:r>
              <w:rPr>
                <w:rFonts w:hint="eastAsia" w:ascii="Times New Roman" w:hAnsi="Times New Roman" w:eastAsia="Times New Roman"/>
                <w:color w:val="auto"/>
              </w:rPr>
              <w:t>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682"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center"/>
              <w:rPr>
                <w:rFonts w:hint="eastAsia" w:ascii="Times New Roman" w:hAnsi="Times New Roman" w:eastAsia="Times New Roman"/>
                <w:color w:val="auto"/>
                <w:lang w:val="en-US" w:eastAsia="zh-CN"/>
              </w:rPr>
            </w:pPr>
            <w:r>
              <w:rPr>
                <w:rFonts w:hint="eastAsia" w:ascii="Times New Roman" w:hAnsi="Times New Roman" w:eastAsia="Times New Roman"/>
                <w:color w:val="auto"/>
                <w:lang w:val="en-US" w:eastAsia="zh-CN"/>
              </w:rPr>
              <w:t>2</w:t>
            </w:r>
          </w:p>
        </w:tc>
        <w:tc>
          <w:tcPr>
            <w:tcW w:w="213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center"/>
              <w:rPr>
                <w:rFonts w:hint="eastAsia" w:ascii="Times New Roman" w:hAnsi="Times New Roman" w:eastAsia="Times New Roman"/>
                <w:color w:val="auto"/>
                <w:lang w:val="en-US" w:eastAsia="zh-CN"/>
              </w:rPr>
            </w:pPr>
            <w:r>
              <w:rPr>
                <w:rFonts w:hint="eastAsia" w:ascii="Times New Roman" w:hAnsi="Times New Roman" w:eastAsia="Times New Roman"/>
                <w:color w:val="auto"/>
                <w:lang w:val="en-US" w:eastAsia="zh-CN"/>
              </w:rPr>
              <w:t>类似业绩</w:t>
            </w:r>
          </w:p>
        </w:tc>
        <w:tc>
          <w:tcPr>
            <w:tcW w:w="720"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center"/>
              <w:rPr>
                <w:rFonts w:hint="eastAsia" w:ascii="Times New Roman" w:hAnsi="Times New Roman" w:eastAsia="Times New Roman"/>
                <w:color w:val="auto"/>
                <w:lang w:val="en-US" w:eastAsia="zh-CN"/>
              </w:rPr>
            </w:pPr>
            <w:r>
              <w:rPr>
                <w:rFonts w:hint="eastAsia" w:ascii="Times New Roman" w:hAnsi="Times New Roman" w:eastAsia="Times New Roman"/>
                <w:color w:val="auto"/>
                <w:lang w:val="en-US" w:eastAsia="zh-CN"/>
              </w:rPr>
              <w:t>1</w:t>
            </w:r>
            <w:r>
              <w:rPr>
                <w:rFonts w:hint="eastAsia" w:eastAsia="Times New Roman"/>
                <w:color w:val="auto"/>
                <w:lang w:val="en-US" w:eastAsia="zh-CN"/>
              </w:rPr>
              <w:t>0</w:t>
            </w:r>
            <w:r>
              <w:rPr>
                <w:rFonts w:hint="eastAsia" w:ascii="Times New Roman" w:hAnsi="Times New Roman" w:eastAsia="Times New Roman"/>
                <w:color w:val="auto"/>
                <w:lang w:val="en-US" w:eastAsia="zh-CN"/>
              </w:rPr>
              <w:t>分</w:t>
            </w:r>
          </w:p>
        </w:tc>
        <w:tc>
          <w:tcPr>
            <w:tcW w:w="6323"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both"/>
              <w:rPr>
                <w:rFonts w:hint="eastAsia" w:ascii="Times New Roman" w:hAnsi="Times New Roman" w:eastAsia="Times New Roman"/>
                <w:color w:val="auto"/>
              </w:rPr>
            </w:pPr>
            <w:r>
              <w:rPr>
                <w:rFonts w:hint="eastAsia" w:ascii="Times New Roman" w:hAnsi="Times New Roman" w:eastAsia="Times New Roman"/>
                <w:color w:val="auto"/>
              </w:rPr>
              <w:t>提供 20</w:t>
            </w:r>
            <w:r>
              <w:rPr>
                <w:rFonts w:hint="eastAsia" w:ascii="Times New Roman" w:hAnsi="Times New Roman" w:eastAsia="Times New Roman"/>
                <w:color w:val="auto"/>
                <w:lang w:val="en-US" w:eastAsia="zh-CN"/>
              </w:rPr>
              <w:t>20</w:t>
            </w:r>
            <w:r>
              <w:rPr>
                <w:rFonts w:hint="eastAsia" w:ascii="Times New Roman" w:hAnsi="Times New Roman" w:eastAsia="Times New Roman"/>
                <w:color w:val="auto"/>
              </w:rPr>
              <w:t xml:space="preserve"> 年 1 月 1 日以来的类似经营业绩，每个得</w:t>
            </w:r>
            <w:r>
              <w:rPr>
                <w:rFonts w:hint="eastAsia" w:ascii="Times New Roman" w:hAnsi="Times New Roman" w:eastAsia="Times New Roman"/>
                <w:color w:val="auto"/>
                <w:lang w:val="en-US" w:eastAsia="zh-CN"/>
              </w:rPr>
              <w:t>5</w:t>
            </w:r>
            <w:r>
              <w:rPr>
                <w:rFonts w:hint="eastAsia" w:ascii="Times New Roman" w:hAnsi="Times New Roman" w:eastAsia="Times New Roman"/>
                <w:color w:val="auto"/>
              </w:rPr>
              <w:t xml:space="preserve"> 分。本项最多得 1</w:t>
            </w:r>
            <w:r>
              <w:rPr>
                <w:rFonts w:hint="eastAsia" w:eastAsia="Times New Roman"/>
                <w:color w:val="auto"/>
                <w:lang w:val="en-US" w:eastAsia="zh-CN"/>
              </w:rPr>
              <w:t>0</w:t>
            </w:r>
            <w:r>
              <w:rPr>
                <w:rFonts w:hint="eastAsia" w:ascii="Times New Roman" w:hAnsi="Times New Roman" w:eastAsia="Times New Roman"/>
                <w:color w:val="auto"/>
              </w:rPr>
              <w:t>分；（时间以合同签订时间为准，需提供合同原件</w:t>
            </w:r>
            <w:r>
              <w:rPr>
                <w:rFonts w:hint="eastAsia" w:ascii="Times New Roman" w:hAnsi="Times New Roman" w:eastAsia="Times New Roman"/>
                <w:color w:val="auto"/>
                <w:lang w:eastAsia="zh-CN"/>
              </w:rPr>
              <w:t>）</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both"/>
              <w:rPr>
                <w:rFonts w:hint="eastAsia" w:ascii="Times New Roman" w:hAnsi="Times New Roman" w:eastAsia="Times New Roman"/>
                <w:color w:val="auto"/>
              </w:rPr>
            </w:pPr>
            <w:r>
              <w:rPr>
                <w:rFonts w:hint="eastAsia" w:ascii="Times New Roman" w:hAnsi="Times New Roman" w:eastAsia="Times New Roman"/>
                <w:color w:val="auto"/>
              </w:rPr>
              <w:t>类似经营业绩是指：与所投报产品同</w:t>
            </w:r>
            <w:r>
              <w:rPr>
                <w:rFonts w:hint="eastAsia" w:eastAsia="宋体"/>
                <w:color w:val="auto"/>
                <w:lang w:eastAsia="zh-CN"/>
              </w:rPr>
              <w:t>类型</w:t>
            </w:r>
            <w:r>
              <w:rPr>
                <w:rFonts w:hint="eastAsia" w:ascii="Times New Roman" w:hAnsi="Times New Roman" w:eastAsia="Times New Roman"/>
                <w:color w:val="auto"/>
              </w:rPr>
              <w:t>的经营业绩。</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both"/>
              <w:rPr>
                <w:rFonts w:hint="eastAsia" w:ascii="Times New Roman" w:hAnsi="Times New Roman" w:eastAsia="Times New Roman"/>
                <w:color w:val="auto"/>
              </w:rPr>
            </w:pPr>
            <w:r>
              <w:rPr>
                <w:rFonts w:hint="eastAsia" w:ascii="Times New Roman" w:hAnsi="Times New Roman" w:eastAsia="Times New Roman"/>
                <w:color w:val="auto"/>
              </w:rPr>
              <w:t>合同是指：</w:t>
            </w:r>
            <w:r>
              <w:rPr>
                <w:rFonts w:hint="eastAsia" w:ascii="Times New Roman" w:hAnsi="Times New Roman" w:eastAsia="Times New Roman"/>
                <w:color w:val="auto"/>
                <w:lang w:eastAsia="zh-CN"/>
              </w:rPr>
              <w:t>供应商</w:t>
            </w:r>
            <w:r>
              <w:rPr>
                <w:rFonts w:hint="eastAsia" w:ascii="Times New Roman" w:hAnsi="Times New Roman" w:eastAsia="Times New Roman"/>
                <w:color w:val="auto"/>
              </w:rPr>
              <w:t>与产品使用单位签署的购买合同。代理商之间或代理商与生产商之间签署的合同无效</w:t>
            </w:r>
            <w:r>
              <w:rPr>
                <w:rFonts w:hint="eastAsia" w:ascii="Times New Roman" w:hAnsi="Times New Roman" w:eastAsia="Times New Roman"/>
                <w:color w:val="auto"/>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6" w:hRule="atLeast"/>
        </w:trPr>
        <w:tc>
          <w:tcPr>
            <w:tcW w:w="682"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center"/>
              <w:rPr>
                <w:rFonts w:hint="eastAsia" w:ascii="Times New Roman" w:hAnsi="Times New Roman" w:eastAsia="Times New Roman"/>
                <w:color w:val="auto"/>
                <w:lang w:val="en-US" w:eastAsia="zh-CN"/>
              </w:rPr>
            </w:pPr>
            <w:r>
              <w:rPr>
                <w:rFonts w:hint="eastAsia" w:ascii="Times New Roman" w:hAnsi="Times New Roman" w:eastAsia="Times New Roman"/>
                <w:color w:val="auto"/>
                <w:lang w:val="en-US" w:eastAsia="zh-CN"/>
              </w:rPr>
              <w:t>3</w:t>
            </w:r>
          </w:p>
        </w:tc>
        <w:tc>
          <w:tcPr>
            <w:tcW w:w="213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center"/>
              <w:rPr>
                <w:rFonts w:hint="eastAsia" w:ascii="Times New Roman" w:hAnsi="Times New Roman" w:eastAsia="Times New Roman"/>
                <w:color w:val="auto"/>
              </w:rPr>
            </w:pPr>
            <w:r>
              <w:rPr>
                <w:rFonts w:hint="eastAsia" w:ascii="Times New Roman" w:hAnsi="Times New Roman" w:eastAsia="Times New Roman"/>
                <w:color w:val="auto"/>
              </w:rPr>
              <w:t>技术参数的响</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center"/>
              <w:rPr>
                <w:rFonts w:hint="eastAsia" w:ascii="Times New Roman" w:hAnsi="Times New Roman" w:eastAsia="Times New Roman"/>
                <w:color w:val="auto"/>
              </w:rPr>
            </w:pPr>
            <w:r>
              <w:rPr>
                <w:rFonts w:hint="eastAsia" w:ascii="Times New Roman" w:hAnsi="Times New Roman" w:eastAsia="Times New Roman"/>
                <w:color w:val="auto"/>
              </w:rPr>
              <w:t>应情况</w:t>
            </w:r>
          </w:p>
        </w:tc>
        <w:tc>
          <w:tcPr>
            <w:tcW w:w="720"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center"/>
              <w:rPr>
                <w:rFonts w:hint="eastAsia" w:ascii="Times New Roman" w:hAnsi="Times New Roman" w:eastAsia="Times New Roman"/>
                <w:color w:val="auto"/>
                <w:lang w:val="en-US" w:eastAsia="zh-CN"/>
              </w:rPr>
            </w:pPr>
            <w:r>
              <w:rPr>
                <w:rFonts w:hint="eastAsia" w:ascii="Times New Roman" w:hAnsi="Times New Roman" w:eastAsia="Times New Roman"/>
                <w:color w:val="auto"/>
                <w:lang w:val="en-US" w:eastAsia="zh-CN"/>
              </w:rPr>
              <w:t>20分</w:t>
            </w:r>
          </w:p>
        </w:tc>
        <w:tc>
          <w:tcPr>
            <w:tcW w:w="6323"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both"/>
              <w:rPr>
                <w:rFonts w:hint="eastAsia" w:ascii="Times New Roman" w:hAnsi="Times New Roman" w:eastAsia="Times New Roman"/>
                <w:color w:val="auto"/>
              </w:rPr>
            </w:pPr>
            <w:r>
              <w:rPr>
                <w:rFonts w:hint="eastAsia" w:ascii="Times New Roman" w:hAnsi="Times New Roman" w:eastAsia="Times New Roman"/>
                <w:color w:val="auto"/>
              </w:rPr>
              <w:t>根据各</w:t>
            </w:r>
            <w:r>
              <w:rPr>
                <w:rFonts w:hint="eastAsia" w:ascii="Times New Roman" w:hAnsi="Times New Roman" w:eastAsia="Times New Roman"/>
                <w:color w:val="auto"/>
                <w:lang w:eastAsia="zh-CN"/>
              </w:rPr>
              <w:t>供应商</w:t>
            </w:r>
            <w:r>
              <w:rPr>
                <w:rFonts w:hint="eastAsia" w:ascii="Times New Roman" w:hAnsi="Times New Roman" w:eastAsia="Times New Roman"/>
                <w:color w:val="auto"/>
              </w:rPr>
              <w:t>所提供技术参数的响应情况进行评价，所提供产品各项功能描述清晰、无负偏离项，设备产品完全满足招标文件要求，得满分</w:t>
            </w:r>
            <w:r>
              <w:rPr>
                <w:rFonts w:hint="eastAsia" w:ascii="Times New Roman" w:hAnsi="Times New Roman" w:eastAsia="Times New Roman"/>
                <w:color w:val="auto"/>
                <w:lang w:val="en-US" w:eastAsia="zh-CN"/>
              </w:rPr>
              <w:t>10</w:t>
            </w:r>
            <w:r>
              <w:rPr>
                <w:rFonts w:hint="eastAsia" w:ascii="Times New Roman" w:hAnsi="Times New Roman" w:eastAsia="Times New Roman"/>
                <w:color w:val="auto"/>
              </w:rPr>
              <w:t>分；经评审认定每有一项正偏离的加 2 分，最多加 10 分，经评审认定每有一项技术标准和要求存在细微负偏离项扣 2 分</w:t>
            </w:r>
            <w:r>
              <w:rPr>
                <w:rFonts w:hint="eastAsia" w:ascii="Times New Roman" w:hAnsi="Times New Roman" w:eastAsia="Times New Roman"/>
                <w:color w:val="auto"/>
                <w:lang w:eastAsia="zh-CN"/>
              </w:rPr>
              <w:t>，扣完为止。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4" w:hRule="atLeast"/>
        </w:trPr>
        <w:tc>
          <w:tcPr>
            <w:tcW w:w="682"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center"/>
              <w:rPr>
                <w:rFonts w:hint="eastAsia" w:ascii="Times New Roman" w:hAnsi="Times New Roman" w:eastAsia="Times New Roman"/>
                <w:color w:val="auto"/>
                <w:lang w:val="en-US" w:eastAsia="zh-CN"/>
              </w:rPr>
            </w:pPr>
            <w:r>
              <w:rPr>
                <w:rFonts w:hint="eastAsia" w:ascii="Times New Roman" w:hAnsi="Times New Roman" w:eastAsia="Times New Roman"/>
                <w:color w:val="auto"/>
                <w:lang w:val="en-US" w:eastAsia="zh-CN"/>
              </w:rPr>
              <w:t>4</w:t>
            </w:r>
          </w:p>
        </w:tc>
        <w:tc>
          <w:tcPr>
            <w:tcW w:w="213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center"/>
              <w:rPr>
                <w:rFonts w:hint="eastAsia" w:ascii="Times New Roman" w:hAnsi="Times New Roman" w:eastAsia="Times New Roman"/>
                <w:color w:val="auto"/>
              </w:rPr>
            </w:pPr>
            <w:r>
              <w:rPr>
                <w:rFonts w:hint="eastAsia" w:ascii="Times New Roman" w:hAnsi="Times New Roman" w:eastAsia="Times New Roman"/>
                <w:color w:val="auto"/>
              </w:rPr>
              <w:t>供货安装调试</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center"/>
              <w:rPr>
                <w:rFonts w:hint="eastAsia" w:ascii="Times New Roman" w:hAnsi="Times New Roman" w:eastAsia="Times New Roman"/>
                <w:color w:val="auto"/>
              </w:rPr>
            </w:pPr>
            <w:r>
              <w:rPr>
                <w:rFonts w:hint="eastAsia" w:ascii="Times New Roman" w:hAnsi="Times New Roman" w:eastAsia="Times New Roman"/>
                <w:color w:val="auto"/>
              </w:rPr>
              <w:t>验收方案</w:t>
            </w:r>
          </w:p>
        </w:tc>
        <w:tc>
          <w:tcPr>
            <w:tcW w:w="720"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center"/>
              <w:rPr>
                <w:rFonts w:hint="eastAsia" w:ascii="Times New Roman" w:hAnsi="Times New Roman" w:eastAsia="Times New Roman"/>
                <w:color w:val="auto"/>
                <w:lang w:val="en-US" w:eastAsia="zh-CN"/>
              </w:rPr>
            </w:pPr>
            <w:r>
              <w:rPr>
                <w:rFonts w:hint="eastAsia" w:eastAsia="Times New Roman"/>
                <w:color w:val="auto"/>
                <w:lang w:val="en-US" w:eastAsia="zh-CN"/>
              </w:rPr>
              <w:t>10</w:t>
            </w:r>
            <w:r>
              <w:rPr>
                <w:rFonts w:hint="eastAsia" w:ascii="Times New Roman" w:hAnsi="Times New Roman" w:eastAsia="Times New Roman"/>
                <w:color w:val="auto"/>
                <w:lang w:val="en-US" w:eastAsia="zh-CN"/>
              </w:rPr>
              <w:t>分</w:t>
            </w:r>
          </w:p>
        </w:tc>
        <w:tc>
          <w:tcPr>
            <w:tcW w:w="6323"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both"/>
              <w:rPr>
                <w:rFonts w:hint="eastAsia" w:ascii="Times New Roman" w:hAnsi="Times New Roman" w:eastAsia="Times New Roman"/>
                <w:color w:val="auto"/>
              </w:rPr>
            </w:pPr>
            <w:r>
              <w:rPr>
                <w:rFonts w:hint="eastAsia" w:ascii="Times New Roman" w:hAnsi="Times New Roman" w:eastAsia="Times New Roman"/>
                <w:color w:val="auto"/>
              </w:rPr>
              <w:t>根据投标人提供的供货安装调试验收方案进行综合评审：</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both"/>
              <w:rPr>
                <w:rFonts w:hint="eastAsia" w:ascii="Times New Roman" w:hAnsi="Times New Roman" w:eastAsia="Times New Roman"/>
                <w:color w:val="auto"/>
              </w:rPr>
            </w:pPr>
            <w:r>
              <w:rPr>
                <w:rFonts w:hint="eastAsia" w:ascii="Times New Roman" w:hAnsi="Times New Roman" w:eastAsia="Times New Roman"/>
                <w:color w:val="auto"/>
              </w:rPr>
              <w:t>①供货安装方案；</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both"/>
              <w:rPr>
                <w:rFonts w:hint="eastAsia" w:ascii="Times New Roman" w:hAnsi="Times New Roman" w:eastAsia="Times New Roman"/>
                <w:color w:val="auto"/>
              </w:rPr>
            </w:pPr>
            <w:r>
              <w:rPr>
                <w:rFonts w:hint="eastAsia" w:ascii="Times New Roman" w:hAnsi="Times New Roman" w:eastAsia="Times New Roman"/>
                <w:color w:val="auto"/>
              </w:rPr>
              <w:t>②调试验收方案；</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both"/>
              <w:rPr>
                <w:rFonts w:hint="eastAsia" w:ascii="Times New Roman" w:hAnsi="Times New Roman" w:eastAsia="Times New Roman"/>
                <w:color w:val="auto"/>
              </w:rPr>
            </w:pPr>
            <w:r>
              <w:rPr>
                <w:rFonts w:hint="eastAsia" w:ascii="Times New Roman" w:hAnsi="Times New Roman" w:eastAsia="Times New Roman"/>
                <w:color w:val="auto"/>
              </w:rPr>
              <w:t>③供货安装人员配备及安排；</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both"/>
              <w:rPr>
                <w:rFonts w:hint="eastAsia" w:ascii="Times New Roman" w:hAnsi="Times New Roman" w:eastAsia="Times New Roman"/>
                <w:color w:val="auto"/>
              </w:rPr>
            </w:pPr>
            <w:r>
              <w:rPr>
                <w:rFonts w:hint="eastAsia" w:ascii="Times New Roman" w:hAnsi="Times New Roman" w:eastAsia="Times New Roman"/>
                <w:color w:val="auto"/>
              </w:rPr>
              <w:t>④进度计划；</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both"/>
              <w:rPr>
                <w:rFonts w:hint="eastAsia" w:ascii="Times New Roman" w:hAnsi="Times New Roman" w:eastAsia="Times New Roman"/>
                <w:color w:val="auto"/>
              </w:rPr>
            </w:pPr>
            <w:r>
              <w:rPr>
                <w:rFonts w:hint="eastAsia" w:ascii="Times New Roman" w:hAnsi="Times New Roman" w:eastAsia="Times New Roman"/>
                <w:color w:val="auto"/>
              </w:rPr>
              <w:t>⑤质量保证措施。</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both"/>
              <w:rPr>
                <w:rFonts w:hint="eastAsia" w:ascii="Times New Roman" w:hAnsi="Times New Roman" w:eastAsia="Times New Roman"/>
                <w:color w:val="auto"/>
              </w:rPr>
            </w:pPr>
            <w:r>
              <w:rPr>
                <w:rFonts w:hint="eastAsia" w:ascii="Times New Roman" w:hAnsi="Times New Roman" w:eastAsia="Times New Roman"/>
                <w:color w:val="auto"/>
              </w:rPr>
              <w:t>以上</w:t>
            </w:r>
            <w:r>
              <w:rPr>
                <w:rFonts w:hint="eastAsia" w:eastAsia="宋体"/>
                <w:color w:val="auto"/>
                <w:lang w:val="en-US" w:eastAsia="zh-CN"/>
              </w:rPr>
              <w:t>5项</w:t>
            </w:r>
            <w:r>
              <w:rPr>
                <w:rFonts w:hint="eastAsia" w:ascii="Times New Roman" w:hAnsi="Times New Roman" w:eastAsia="Times New Roman"/>
                <w:color w:val="auto"/>
              </w:rPr>
              <w:t>方案措施安排科学、条理清晰、切合实际的</w:t>
            </w:r>
            <w:r>
              <w:rPr>
                <w:rFonts w:hint="eastAsia" w:eastAsia="宋体"/>
                <w:color w:val="auto"/>
                <w:lang w:eastAsia="zh-CN"/>
              </w:rPr>
              <w:t>每项</w:t>
            </w:r>
            <w:r>
              <w:rPr>
                <w:rFonts w:hint="eastAsia" w:ascii="Times New Roman" w:hAnsi="Times New Roman" w:eastAsia="Times New Roman"/>
                <w:color w:val="auto"/>
              </w:rPr>
              <w:t>得</w:t>
            </w:r>
            <w:r>
              <w:rPr>
                <w:rFonts w:hint="eastAsia" w:eastAsia="Times New Roman"/>
                <w:color w:val="auto"/>
                <w:lang w:val="en-US" w:eastAsia="zh-CN"/>
              </w:rPr>
              <w:t>2</w:t>
            </w:r>
            <w:r>
              <w:rPr>
                <w:rFonts w:hint="eastAsia" w:ascii="Times New Roman" w:hAnsi="Times New Roman" w:eastAsia="Times New Roman"/>
                <w:color w:val="auto"/>
              </w:rPr>
              <w:t>分，方案、内容完整性较一般的</w:t>
            </w:r>
            <w:r>
              <w:rPr>
                <w:rFonts w:hint="eastAsia" w:eastAsia="宋体"/>
                <w:color w:val="auto"/>
                <w:lang w:eastAsia="zh-CN"/>
              </w:rPr>
              <w:t>每项</w:t>
            </w:r>
            <w:r>
              <w:rPr>
                <w:rFonts w:hint="eastAsia" w:ascii="Times New Roman" w:hAnsi="Times New Roman" w:eastAsia="Times New Roman"/>
                <w:color w:val="auto"/>
              </w:rPr>
              <w:t xml:space="preserve">得 </w:t>
            </w:r>
            <w:r>
              <w:rPr>
                <w:rFonts w:hint="eastAsia" w:eastAsia="Times New Roman"/>
                <w:color w:val="auto"/>
                <w:lang w:val="en-US" w:eastAsia="zh-CN"/>
              </w:rPr>
              <w:t>1.5</w:t>
            </w:r>
            <w:r>
              <w:rPr>
                <w:rFonts w:hint="eastAsia" w:ascii="Times New Roman" w:hAnsi="Times New Roman" w:eastAsia="Times New Roman"/>
                <w:color w:val="auto"/>
              </w:rPr>
              <w:t>分，方案、内容缺乏重点</w:t>
            </w:r>
            <w:r>
              <w:rPr>
                <w:rFonts w:hint="eastAsia" w:eastAsia="宋体"/>
                <w:color w:val="auto"/>
                <w:lang w:eastAsia="zh-CN"/>
              </w:rPr>
              <w:t>的每项得</w:t>
            </w:r>
            <w:r>
              <w:rPr>
                <w:rFonts w:hint="eastAsia" w:ascii="Times New Roman" w:hAnsi="Times New Roman" w:eastAsia="Times New Roman"/>
                <w:color w:val="auto"/>
              </w:rPr>
              <w:t xml:space="preserve"> 1 分，没有不得分。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3" w:hRule="atLeast"/>
        </w:trPr>
        <w:tc>
          <w:tcPr>
            <w:tcW w:w="682"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center"/>
              <w:rPr>
                <w:rFonts w:hint="eastAsia" w:ascii="Times New Roman" w:hAnsi="Times New Roman" w:eastAsia="Times New Roman"/>
                <w:color w:val="auto"/>
                <w:lang w:val="en-US" w:eastAsia="zh-CN"/>
              </w:rPr>
            </w:pPr>
            <w:r>
              <w:rPr>
                <w:rFonts w:hint="eastAsia" w:ascii="Times New Roman" w:hAnsi="Times New Roman" w:eastAsia="Times New Roman"/>
                <w:color w:val="auto"/>
                <w:lang w:val="en-US" w:eastAsia="zh-CN"/>
              </w:rPr>
              <w:t>5</w:t>
            </w:r>
          </w:p>
        </w:tc>
        <w:tc>
          <w:tcPr>
            <w:tcW w:w="2134"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center"/>
              <w:rPr>
                <w:rFonts w:hint="eastAsia" w:ascii="Times New Roman" w:hAnsi="Times New Roman" w:eastAsia="Times New Roman"/>
                <w:color w:val="auto"/>
              </w:rPr>
            </w:pPr>
            <w:r>
              <w:rPr>
                <w:rFonts w:hint="eastAsia" w:ascii="Times New Roman" w:hAnsi="Times New Roman" w:eastAsia="Times New Roman"/>
                <w:color w:val="auto"/>
              </w:rPr>
              <w:t>售后服务方案</w:t>
            </w:r>
          </w:p>
        </w:tc>
        <w:tc>
          <w:tcPr>
            <w:tcW w:w="720"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center"/>
              <w:rPr>
                <w:rFonts w:hint="eastAsia" w:ascii="Times New Roman" w:hAnsi="Times New Roman" w:eastAsia="Times New Roman"/>
                <w:color w:val="auto"/>
                <w:lang w:val="en-US" w:eastAsia="zh-CN"/>
              </w:rPr>
            </w:pPr>
            <w:r>
              <w:rPr>
                <w:rFonts w:hint="eastAsia" w:ascii="Times New Roman" w:hAnsi="Times New Roman" w:eastAsia="Times New Roman"/>
                <w:color w:val="auto"/>
                <w:lang w:val="en-US" w:eastAsia="zh-CN"/>
              </w:rPr>
              <w:t>10分</w:t>
            </w:r>
          </w:p>
        </w:tc>
        <w:tc>
          <w:tcPr>
            <w:tcW w:w="6323" w:type="dxa"/>
            <w:vAlign w:val="center"/>
          </w:tcPr>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40" w:lineRule="exact"/>
              <w:ind w:left="0" w:right="0"/>
              <w:jc w:val="both"/>
              <w:rPr>
                <w:rFonts w:hint="eastAsia" w:ascii="Times New Roman" w:hAnsi="Times New Roman" w:eastAsia="Times New Roman"/>
                <w:color w:val="auto"/>
              </w:rPr>
            </w:pPr>
            <w:r>
              <w:rPr>
                <w:rFonts w:hint="eastAsia" w:ascii="Times New Roman" w:hAnsi="Times New Roman" w:eastAsia="Times New Roman"/>
                <w:color w:val="auto"/>
              </w:rPr>
              <w:t>售后服务体系是否完善，根据</w:t>
            </w:r>
            <w:r>
              <w:rPr>
                <w:rFonts w:hint="eastAsia" w:ascii="Times New Roman" w:hAnsi="Times New Roman" w:eastAsia="Times New Roman"/>
                <w:color w:val="auto"/>
                <w:lang w:eastAsia="zh-CN"/>
              </w:rPr>
              <w:t>供应商</w:t>
            </w:r>
            <w:r>
              <w:rPr>
                <w:rFonts w:hint="eastAsia" w:ascii="Times New Roman" w:hAnsi="Times New Roman" w:eastAsia="Times New Roman"/>
                <w:color w:val="auto"/>
              </w:rPr>
              <w:t>在产品保修、备品备件、维护响应时间、定期回访、人员培训方案、产品的应急预案措施、质保期内（外）的服务条款等方面的承诺进行综合评审</w:t>
            </w:r>
            <w:r>
              <w:rPr>
                <w:rFonts w:hint="eastAsia" w:ascii="Times New Roman" w:hAnsi="Times New Roman" w:eastAsia="Times New Roman"/>
                <w:color w:val="auto"/>
                <w:lang w:eastAsia="zh-CN"/>
              </w:rPr>
              <w:t>，</w:t>
            </w:r>
            <w:r>
              <w:rPr>
                <w:rFonts w:hint="eastAsia" w:ascii="Times New Roman" w:hAnsi="Times New Roman" w:eastAsia="Times New Roman"/>
                <w:color w:val="auto"/>
              </w:rPr>
              <w:t>以上方案措施安排科学、条理清晰、切合实际的得</w:t>
            </w:r>
            <w:r>
              <w:rPr>
                <w:rFonts w:hint="eastAsia" w:ascii="Times New Roman" w:hAnsi="Times New Roman" w:eastAsia="Times New Roman"/>
                <w:color w:val="auto"/>
                <w:lang w:val="en-US" w:eastAsia="zh-CN"/>
              </w:rPr>
              <w:t>10</w:t>
            </w:r>
            <w:r>
              <w:rPr>
                <w:rFonts w:hint="eastAsia" w:ascii="Times New Roman" w:hAnsi="Times New Roman" w:eastAsia="Times New Roman"/>
                <w:color w:val="auto"/>
              </w:rPr>
              <w:t xml:space="preserve">分，方案、内容完整性较一般的得 </w:t>
            </w:r>
            <w:r>
              <w:rPr>
                <w:rFonts w:hint="eastAsia" w:ascii="Times New Roman" w:hAnsi="Times New Roman" w:eastAsia="Times New Roman"/>
                <w:color w:val="auto"/>
                <w:lang w:val="en-US" w:eastAsia="zh-CN"/>
              </w:rPr>
              <w:t>6</w:t>
            </w:r>
            <w:r>
              <w:rPr>
                <w:rFonts w:hint="eastAsia" w:ascii="Times New Roman" w:hAnsi="Times New Roman" w:eastAsia="Times New Roman"/>
                <w:color w:val="auto"/>
              </w:rPr>
              <w:t xml:space="preserve">分，方案、内容缺乏重点得 </w:t>
            </w:r>
            <w:r>
              <w:rPr>
                <w:rFonts w:hint="eastAsia" w:ascii="Times New Roman" w:hAnsi="Times New Roman" w:eastAsia="Times New Roman"/>
                <w:color w:val="auto"/>
                <w:lang w:val="en-US" w:eastAsia="zh-CN"/>
              </w:rPr>
              <w:t>3</w:t>
            </w:r>
            <w:r>
              <w:rPr>
                <w:rFonts w:hint="eastAsia" w:ascii="Times New Roman" w:hAnsi="Times New Roman" w:eastAsia="Times New Roman"/>
                <w:color w:val="auto"/>
              </w:rPr>
              <w:t xml:space="preserve"> 分，没有不得分。</w:t>
            </w:r>
          </w:p>
        </w:tc>
      </w:tr>
    </w:tbl>
    <w:p>
      <w:pPr>
        <w:rPr>
          <w:rFonts w:hint="eastAsia"/>
          <w:color w:val="auto"/>
        </w:rPr>
      </w:pPr>
    </w:p>
    <w:p>
      <w:pPr>
        <w:spacing w:beforeAutospacing="0" w:afterAutospacing="0" w:line="360" w:lineRule="auto"/>
        <w:ind w:firstLine="422" w:firstLineChars="200"/>
        <w:rPr>
          <w:rFonts w:hint="eastAsia" w:ascii="宋体" w:hAnsi="宋体"/>
          <w:b/>
          <w:color w:val="auto"/>
          <w:szCs w:val="21"/>
          <w:lang w:bidi="ar"/>
        </w:rPr>
      </w:pPr>
      <w:r>
        <w:rPr>
          <w:rFonts w:hint="eastAsia" w:ascii="宋体" w:hAnsi="宋体"/>
          <w:b/>
          <w:color w:val="auto"/>
          <w:szCs w:val="21"/>
          <w:lang w:bidi="ar"/>
        </w:rPr>
        <w:t>注：1、总得分相同者，按报价低的名次在前；最终报价也相同的，商务部分得分高者优先，商务部分得分也相同的，技术部分得分高者优先。</w:t>
      </w:r>
    </w:p>
    <w:p>
      <w:pPr>
        <w:spacing w:beforeAutospacing="0" w:afterAutospacing="0" w:line="360" w:lineRule="auto"/>
        <w:ind w:firstLine="422" w:firstLineChars="200"/>
        <w:rPr>
          <w:rFonts w:hint="eastAsia" w:ascii="宋体" w:hAnsi="宋体"/>
          <w:b/>
          <w:color w:val="auto"/>
          <w:szCs w:val="21"/>
          <w:lang w:bidi="ar"/>
        </w:rPr>
      </w:pPr>
      <w:r>
        <w:rPr>
          <w:rFonts w:hint="eastAsia" w:ascii="宋体" w:hAnsi="宋体"/>
          <w:b/>
          <w:color w:val="auto"/>
          <w:szCs w:val="21"/>
          <w:lang w:bidi="ar"/>
        </w:rPr>
        <w:t>2、评分分值计算保留小数点后两位，小数点后第三位“四舍五入”。</w:t>
      </w:r>
    </w:p>
    <w:p>
      <w:pPr>
        <w:spacing w:beforeAutospacing="0" w:afterAutospacing="0" w:line="360" w:lineRule="auto"/>
        <w:ind w:firstLine="422" w:firstLineChars="200"/>
        <w:rPr>
          <w:rFonts w:hint="eastAsia" w:ascii="宋体" w:hAnsi="宋体"/>
          <w:b/>
          <w:color w:val="auto"/>
          <w:szCs w:val="21"/>
          <w:lang w:bidi="ar"/>
        </w:rPr>
      </w:pPr>
      <w:r>
        <w:rPr>
          <w:rFonts w:hint="eastAsia" w:ascii="宋体" w:hAnsi="宋体"/>
          <w:b/>
          <w:color w:val="auto"/>
          <w:szCs w:val="21"/>
          <w:lang w:bidi="ar"/>
        </w:rPr>
        <w:t>四、成交通知书：</w:t>
      </w:r>
      <w:r>
        <w:rPr>
          <w:rFonts w:hint="eastAsia" w:ascii="宋体" w:hAnsi="宋体"/>
          <w:color w:val="auto"/>
          <w:szCs w:val="21"/>
          <w:lang w:bidi="ar"/>
        </w:rPr>
        <w:t>成交结果公示结束无异议后，采购人向成交供应商签发《成交通知书》。</w:t>
      </w:r>
    </w:p>
    <w:p>
      <w:pPr>
        <w:spacing w:beforeAutospacing="0" w:afterAutospacing="0" w:line="360" w:lineRule="auto"/>
        <w:ind w:firstLine="422" w:firstLineChars="200"/>
        <w:rPr>
          <w:rFonts w:hint="eastAsia" w:ascii="宋体" w:hAnsi="宋体"/>
          <w:b/>
          <w:color w:val="auto"/>
          <w:szCs w:val="21"/>
          <w:lang w:bidi="ar"/>
        </w:rPr>
      </w:pPr>
      <w:r>
        <w:rPr>
          <w:rFonts w:hint="eastAsia" w:ascii="宋体" w:hAnsi="宋体"/>
          <w:b/>
          <w:color w:val="auto"/>
          <w:szCs w:val="21"/>
          <w:lang w:bidi="ar"/>
        </w:rPr>
        <w:t>五、其他</w:t>
      </w:r>
    </w:p>
    <w:p>
      <w:pPr>
        <w:spacing w:beforeAutospacing="0" w:afterAutospacing="0" w:line="360" w:lineRule="auto"/>
        <w:ind w:firstLine="420" w:firstLineChars="200"/>
        <w:jc w:val="left"/>
        <w:rPr>
          <w:rFonts w:hint="eastAsia" w:ascii="宋体" w:hAnsi="宋体"/>
          <w:bCs/>
          <w:color w:val="auto"/>
          <w:szCs w:val="21"/>
          <w:lang w:bidi="ar"/>
        </w:rPr>
      </w:pPr>
      <w:r>
        <w:rPr>
          <w:rFonts w:hint="eastAsia" w:ascii="宋体" w:hAnsi="宋体"/>
          <w:bCs/>
          <w:color w:val="auto"/>
          <w:szCs w:val="21"/>
          <w:lang w:bidi="ar"/>
        </w:rPr>
        <w:t>评分办法中涉及业绩、证件按照相关要求提供，供应商应保证相关证件的真实性，评审办法中标单位的业绩验证结果将予以公示。提供虚假证明材料的，取消其竞标资格；若如日后查出以虚假证明材料谋取成交的，一经查实，采购人可以随时终止采购合同，并由该单位赔偿采购人的一切损失。</w:t>
      </w:r>
    </w:p>
    <w:p>
      <w:pPr>
        <w:rPr>
          <w:color w:val="auto"/>
        </w:rPr>
      </w:pPr>
    </w:p>
    <w:p>
      <w:pPr>
        <w:spacing w:beforeAutospacing="0" w:afterAutospacing="0" w:line="360" w:lineRule="auto"/>
        <w:jc w:val="left"/>
        <w:rPr>
          <w:rFonts w:hint="eastAsia" w:ascii="宋体" w:hAnsi="宋体"/>
          <w:bCs/>
          <w:color w:val="auto"/>
          <w:szCs w:val="21"/>
          <w:lang w:bidi="ar"/>
        </w:rPr>
      </w:pPr>
    </w:p>
    <w:p>
      <w:pPr>
        <w:spacing w:beforeAutospacing="0" w:afterAutospacing="0" w:line="360" w:lineRule="auto"/>
        <w:jc w:val="center"/>
        <w:outlineLvl w:val="0"/>
        <w:rPr>
          <w:rFonts w:hint="eastAsia" w:ascii="宋体" w:hAnsi="宋体" w:eastAsia="宋体"/>
          <w:b/>
          <w:color w:val="auto"/>
          <w:kern w:val="44"/>
          <w:sz w:val="32"/>
          <w:szCs w:val="44"/>
          <w:lang w:val="en-US" w:eastAsia="zh-CN" w:bidi="ar-SA"/>
        </w:rPr>
      </w:pPr>
      <w:bookmarkStart w:id="14" w:name="_Toc6518"/>
      <w:bookmarkEnd w:id="14"/>
      <w:r>
        <w:rPr>
          <w:rFonts w:hint="eastAsia" w:ascii="宋体" w:hAnsi="宋体" w:eastAsia="宋体"/>
          <w:b/>
          <w:color w:val="auto"/>
          <w:kern w:val="44"/>
          <w:sz w:val="32"/>
          <w:szCs w:val="44"/>
          <w:lang w:val="en-US" w:eastAsia="zh-CN" w:bidi="ar-SA"/>
        </w:rPr>
        <w:br w:type="page"/>
      </w:r>
      <w:r>
        <w:rPr>
          <w:rStyle w:val="16"/>
          <w:rFonts w:hint="eastAsia"/>
          <w:color w:val="auto"/>
          <w:lang w:val="en-US" w:eastAsia="zh-CN"/>
        </w:rPr>
        <w:t>第四部分  采购内容及要求</w:t>
      </w:r>
    </w:p>
    <w:p>
      <w:pPr>
        <w:keepNext w:val="0"/>
        <w:keepLines w:val="0"/>
        <w:pageBreakBefore w:val="0"/>
        <w:kinsoku/>
        <w:wordWrap/>
        <w:overflowPunct/>
        <w:topLinePunct w:val="0"/>
        <w:autoSpaceDE/>
        <w:autoSpaceDN/>
        <w:bidi w:val="0"/>
        <w:spacing w:beforeAutospacing="0" w:afterAutospacing="0" w:line="480" w:lineRule="exact"/>
        <w:rPr>
          <w:rFonts w:hint="eastAsia" w:ascii="宋体" w:hAnsi="宋体"/>
          <w:b/>
          <w:color w:val="auto"/>
          <w:sz w:val="21"/>
          <w:szCs w:val="21"/>
          <w:lang w:bidi="ar"/>
        </w:rPr>
      </w:pPr>
      <w:r>
        <w:rPr>
          <w:rFonts w:hint="eastAsia" w:ascii="宋体" w:hAnsi="宋体"/>
          <w:b/>
          <w:color w:val="auto"/>
          <w:sz w:val="21"/>
          <w:szCs w:val="21"/>
          <w:lang w:bidi="ar"/>
        </w:rPr>
        <w:t>一、采购内容及要求</w:t>
      </w:r>
    </w:p>
    <w:p>
      <w:pPr>
        <w:keepNext w:val="0"/>
        <w:keepLines w:val="0"/>
        <w:pageBreakBefore w:val="0"/>
        <w:kinsoku/>
        <w:wordWrap/>
        <w:overflowPunct/>
        <w:topLinePunct w:val="0"/>
        <w:autoSpaceDE/>
        <w:autoSpaceDN/>
        <w:bidi w:val="0"/>
        <w:spacing w:beforeAutospacing="0" w:afterAutospacing="0" w:line="480" w:lineRule="exact"/>
        <w:ind w:firstLine="420" w:firstLineChars="200"/>
        <w:jc w:val="left"/>
        <w:rPr>
          <w:rFonts w:hint="eastAsia" w:ascii="宋体" w:hAnsi="宋体"/>
          <w:color w:val="auto"/>
          <w:sz w:val="21"/>
          <w:szCs w:val="21"/>
        </w:rPr>
      </w:pPr>
      <w:r>
        <w:rPr>
          <w:rFonts w:hint="eastAsia" w:ascii="宋体" w:hAnsi="宋体"/>
          <w:color w:val="auto"/>
          <w:sz w:val="21"/>
          <w:szCs w:val="21"/>
        </w:rPr>
        <w:t>采购内容：</w:t>
      </w:r>
      <w:r>
        <w:rPr>
          <w:rFonts w:hint="eastAsia" w:ascii="宋体" w:hAnsi="宋体"/>
          <w:color w:val="auto"/>
          <w:sz w:val="21"/>
          <w:szCs w:val="21"/>
          <w:shd w:val="clear" w:color="auto" w:fill="FFFFFF"/>
          <w:lang w:eastAsia="zh-CN" w:bidi="ar"/>
        </w:rPr>
        <w:t>邹城市看庄镇卫生院医疗设备采购项目，主要内容包括医疗用品及设施的采购。</w:t>
      </w:r>
      <w:r>
        <w:rPr>
          <w:rFonts w:hint="eastAsia" w:ascii="宋体" w:hAnsi="宋体"/>
          <w:color w:val="auto"/>
          <w:sz w:val="21"/>
          <w:szCs w:val="21"/>
        </w:rPr>
        <w:t>采购预算：</w:t>
      </w:r>
      <w:r>
        <w:rPr>
          <w:rFonts w:hint="eastAsia" w:ascii="宋体" w:hAnsi="宋体"/>
          <w:color w:val="auto"/>
          <w:sz w:val="21"/>
          <w:szCs w:val="21"/>
          <w:lang w:val="en-US" w:eastAsia="zh-CN"/>
        </w:rPr>
        <w:t>12</w:t>
      </w:r>
      <w:r>
        <w:rPr>
          <w:rFonts w:hint="eastAsia" w:ascii="宋体" w:hAnsi="宋体"/>
          <w:color w:val="auto"/>
          <w:sz w:val="21"/>
          <w:szCs w:val="21"/>
          <w:lang w:eastAsia="zh-CN"/>
        </w:rPr>
        <w:t>0000</w:t>
      </w:r>
      <w:r>
        <w:rPr>
          <w:rFonts w:hint="eastAsia" w:ascii="宋体" w:hAnsi="宋体"/>
          <w:color w:val="auto"/>
          <w:sz w:val="21"/>
          <w:szCs w:val="21"/>
          <w:lang w:val="en-US" w:eastAsia="zh-CN"/>
        </w:rPr>
        <w:t>.00</w:t>
      </w:r>
      <w:r>
        <w:rPr>
          <w:rFonts w:hint="eastAsia" w:ascii="宋体" w:hAnsi="宋体"/>
          <w:color w:val="auto"/>
          <w:sz w:val="21"/>
          <w:szCs w:val="21"/>
        </w:rPr>
        <w:t>元。</w:t>
      </w:r>
    </w:p>
    <w:p>
      <w:pPr>
        <w:keepNext w:val="0"/>
        <w:keepLines w:val="0"/>
        <w:pageBreakBefore w:val="0"/>
        <w:numPr>
          <w:ilvl w:val="0"/>
          <w:numId w:val="1"/>
        </w:numPr>
        <w:kinsoku/>
        <w:wordWrap/>
        <w:overflowPunct/>
        <w:topLinePunct w:val="0"/>
        <w:autoSpaceDE/>
        <w:autoSpaceDN/>
        <w:bidi w:val="0"/>
        <w:snapToGrid w:val="0"/>
        <w:spacing w:beforeAutospacing="0" w:afterAutospacing="0" w:line="480" w:lineRule="exact"/>
        <w:rPr>
          <w:rFonts w:hint="eastAsia" w:ascii="宋体" w:hAnsi="宋体"/>
          <w:b/>
          <w:color w:val="auto"/>
          <w:sz w:val="21"/>
          <w:szCs w:val="21"/>
        </w:rPr>
      </w:pPr>
      <w:r>
        <w:rPr>
          <w:rFonts w:hint="eastAsia" w:ascii="宋体" w:hAnsi="宋体"/>
          <w:b/>
          <w:color w:val="auto"/>
          <w:sz w:val="21"/>
          <w:szCs w:val="21"/>
        </w:rPr>
        <w:t>技术参数要求：</w:t>
      </w:r>
    </w:p>
    <w:tbl>
      <w:tblPr>
        <w:tblStyle w:val="2"/>
        <w:tblW w:w="4998" w:type="pct"/>
        <w:jc w:val="center"/>
        <w:tblLayout w:type="autofit"/>
        <w:tblCellMar>
          <w:top w:w="0" w:type="dxa"/>
          <w:left w:w="108" w:type="dxa"/>
          <w:bottom w:w="0" w:type="dxa"/>
          <w:right w:w="108" w:type="dxa"/>
        </w:tblCellMar>
      </w:tblPr>
      <w:tblGrid>
        <w:gridCol w:w="836"/>
        <w:gridCol w:w="1571"/>
        <w:gridCol w:w="5973"/>
        <w:gridCol w:w="791"/>
        <w:gridCol w:w="791"/>
      </w:tblGrid>
      <w:tr>
        <w:tblPrEx>
          <w:tblCellMar>
            <w:top w:w="0" w:type="dxa"/>
            <w:left w:w="108" w:type="dxa"/>
            <w:bottom w:w="0" w:type="dxa"/>
            <w:right w:w="108" w:type="dxa"/>
          </w:tblCellMar>
        </w:tblPrEx>
        <w:trPr>
          <w:trHeight w:val="454" w:hRule="atLeast"/>
          <w:jc w:val="center"/>
        </w:trPr>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序号</w:t>
            </w:r>
          </w:p>
        </w:tc>
        <w:tc>
          <w:tcPr>
            <w:tcW w:w="54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名称</w:t>
            </w:r>
          </w:p>
        </w:tc>
        <w:tc>
          <w:tcPr>
            <w:tcW w:w="3217"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技术参数</w:t>
            </w:r>
          </w:p>
        </w:tc>
        <w:tc>
          <w:tcPr>
            <w:tcW w:w="39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单位</w:t>
            </w:r>
          </w:p>
        </w:tc>
        <w:tc>
          <w:tcPr>
            <w:tcW w:w="39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数量</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诊查床</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1930*630*650mm</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1、床身：采用优质钢管弯制焊接而成。</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2、床面：高级皮革包裹进口海绵，美观耐用且易于清理，是各科室的理想选择。</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3、表面处理：床身采用静电喷塑处理。</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张</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诊桌椅</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宽60cm</w:t>
            </w:r>
            <w:r>
              <w:rPr>
                <w:rFonts w:hint="eastAsia"/>
                <w:color w:val="auto"/>
                <w:lang w:val="en-US" w:eastAsia="zh-CN"/>
              </w:rPr>
              <w:t>X</w:t>
            </w:r>
            <w:r>
              <w:rPr>
                <w:rFonts w:hint="eastAsia"/>
                <w:color w:val="auto"/>
              </w:rPr>
              <w:t>长120cm</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套</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资料柜</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900*400*1750mm</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1、柜体表面高级静电喷塑，外形美观大方，耐久防锈，抗腐蚀，负荷量大。</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2、底座由优质304不锈钢制成，耐磨，牢固。</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3、四开门，充分利用空间，承载量大。</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个</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4</w:t>
            </w:r>
          </w:p>
        </w:tc>
        <w:tc>
          <w:tcPr>
            <w:tcW w:w="548"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壁挂式全科诊断仪</w:t>
            </w:r>
          </w:p>
        </w:tc>
        <w:tc>
          <w:tcPr>
            <w:tcW w:w="3217"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1、系统组成：直接检眼镜、医用放大镜、医用检查灯、电子血压计、额温枪集成一体化壁挂式设计、方便使用管理。</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2、直接检眼镜</w:t>
            </w:r>
            <w:r>
              <w:rPr>
                <w:rFonts w:hint="eastAsia"/>
                <w:color w:val="auto"/>
              </w:rPr>
              <w:tab/>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2.1、观察视场角≥3°可一次性观察整个眼底；</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▲2.2、29种屈光度正（＋1、＋2、＋3、＋4、＋5、＋6、＋7、＋8、＋9、＋10、＋12、＋15、＋20、＋40）D，负（－1、－2、－3、－4、－5、－6、－7、－8、－9、－10、－15、－20、－25、－30、－35）D；</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▲2.3、6种照明形式（小圆、中圆、半圆、大圆、网格、裂隙，</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▲2.4、3种滤片：无赤滤片（绿色滤片）、钴蓝滤片（蓝色滤片）、偏光滤片</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2.5、最大孔径照明角θ：≥7°；</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2.6、色温3000K±10%；最大照度不低于750 LX；</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2.7、照明系统的照度应能从最大值调节到最大值的10%，输出照明光的显色指数应不少于85；</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3、医用放大镜</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3.1、光照稳定，无闪烁、忽明忽暗现象，光源360°无影光环照明，配有鼓气囊插口；</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3.2、放大透镜可放大2.5X，视窗放大透镜可左右移开，使器械可伸入耳道；</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3.3、色温≥3000K，最大照度≥7000LX；</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★4.医用检查灯</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4.1、光照稳定，无闪烁、忽明忽暗现象，最大照度≥30000LX，色温3000K±10%；</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4.2、可与一次性压舌板配备使用，压舌板插入时应顺畅、无阻塞，压舌板插好后应稳固、无脱落。按压自动弹片，压舌板应能顺畅有力地自动弹出压舌板。</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4.3、直接检眼镜、医用放大镜镜、医用检查灯须为同一品牌。</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5、血压计</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▲5.1、采用脉搏波法测量法、双气囊双传感器机构设计，保证测量准确性</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5.2、测量范围： 压力（0～270）mmHg［(0～36)kPa］</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5.3、脉率数40次/分～180次/分</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5.4、测量准确度：≤ ±3mmHg(±0.4kPa）</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5.5、脉率数≤±5%</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5.6、存储容量：可存储100组测量数据</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体温</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6.1、</w:t>
            </w:r>
            <w:r>
              <w:rPr>
                <w:rFonts w:hint="eastAsia"/>
                <w:color w:val="auto"/>
                <w:lang w:val="zh-CN"/>
              </w:rPr>
              <w:t>测量方式：非接触式</w:t>
            </w:r>
            <w:r>
              <w:rPr>
                <w:rFonts w:hint="eastAsia"/>
                <w:color w:val="auto"/>
              </w:rPr>
              <w:t xml:space="preserve"> 测量距离：3-5cm</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6.2、</w:t>
            </w:r>
            <w:r>
              <w:rPr>
                <w:rFonts w:hint="eastAsia"/>
                <w:color w:val="auto"/>
                <w:lang w:val="zh-CN"/>
              </w:rPr>
              <w:t>测量范围：32.0℃-42.9℃</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6.3、</w:t>
            </w:r>
            <w:r>
              <w:rPr>
                <w:rFonts w:hint="eastAsia"/>
                <w:color w:val="auto"/>
                <w:lang w:val="zh-CN"/>
              </w:rPr>
              <w:t>精准度：</w:t>
            </w:r>
            <w:r>
              <w:rPr>
                <w:rFonts w:hint="eastAsia"/>
                <w:color w:val="auto"/>
              </w:rPr>
              <w:t>体温计在35.0℃～42.0℃的温度显示范围内，最大允许误差±0.2℃，</w:t>
            </w:r>
            <w:r>
              <w:rPr>
                <w:rFonts w:hint="eastAsia"/>
                <w:color w:val="auto"/>
                <w:lang w:val="zh-CN"/>
              </w:rPr>
              <w:t>低于35.0℃或高于42.0℃，</w:t>
            </w:r>
            <w:r>
              <w:rPr>
                <w:rFonts w:hint="eastAsia"/>
                <w:color w:val="auto"/>
              </w:rPr>
              <w:t>最大允许误差±0.3℃</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6.4、记忆功能：可储存60组测量数据</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6.5、工作条件： 16℃-35℃（60.8℉-95.0℉）相对湿度≤85%</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6.6、运输、储存条件：-20℃--＋55℃（-4℉--131℉）湿度≤93%</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6.7、自动关机功能：小于60秒，系统将自动关机。</w:t>
            </w:r>
          </w:p>
        </w:tc>
        <w:tc>
          <w:tcPr>
            <w:tcW w:w="392"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台</w:t>
            </w:r>
          </w:p>
        </w:tc>
        <w:tc>
          <w:tcPr>
            <w:tcW w:w="392" w:type="dxa"/>
            <w:tcBorders>
              <w:top w:val="nil"/>
              <w:left w:val="nil"/>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　</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5</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身高体重计</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1、重量计量：最大秤量Max=120kg</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 xml:space="preserve">             最小秤量Min=5kg</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 xml:space="preserve">             分度值e=d=0.5kg</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2、准确度等级：Ⅲ</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3、长度计量：量度范围70～190（cm）  分度值0.5cm</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4、承重板面积：（长×宽）370×270（mm）</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5、外形尺寸：（长×宽×高）695×278×935（mm）</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台</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6</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视力表灯箱</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1、规格型号：普通型</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具体规格型号为标准对数（普通型5m、2.5m）</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2、功能：供医疗单位检查眼睛视力时用。</w:t>
            </w:r>
            <w:r>
              <w:rPr>
                <w:rFonts w:hint="eastAsia"/>
                <w:color w:val="auto"/>
              </w:rPr>
              <w:br w:type="textWrapping"/>
            </w:r>
            <w:r>
              <w:rPr>
                <w:rFonts w:hint="eastAsia"/>
                <w:color w:val="auto"/>
              </w:rPr>
              <w:t>3、主要参数</w:t>
            </w:r>
            <w:r>
              <w:rPr>
                <w:rFonts w:hint="eastAsia"/>
                <w:color w:val="auto"/>
              </w:rPr>
              <w:br w:type="textWrapping"/>
            </w:r>
            <w:r>
              <w:rPr>
                <w:rFonts w:hint="eastAsia"/>
                <w:color w:val="auto"/>
              </w:rPr>
              <w:t>1）正常工作条件</w:t>
            </w:r>
            <w:r>
              <w:rPr>
                <w:rFonts w:hint="eastAsia"/>
                <w:color w:val="auto"/>
              </w:rPr>
              <w:br w:type="textWrapping"/>
            </w:r>
            <w:r>
              <w:rPr>
                <w:rFonts w:hint="eastAsia"/>
                <w:color w:val="auto"/>
              </w:rPr>
              <w:t>a)环境温度：5℃～40℃；</w:t>
            </w:r>
            <w:r>
              <w:rPr>
                <w:rFonts w:hint="eastAsia"/>
                <w:color w:val="auto"/>
              </w:rPr>
              <w:br w:type="textWrapping"/>
            </w:r>
            <w:r>
              <w:rPr>
                <w:rFonts w:hint="eastAsia"/>
                <w:color w:val="auto"/>
              </w:rPr>
              <w:t>b)相对湿度：≤80%；</w:t>
            </w:r>
            <w:r>
              <w:rPr>
                <w:rFonts w:hint="eastAsia"/>
                <w:color w:val="auto"/>
              </w:rPr>
              <w:br w:type="textWrapping"/>
            </w:r>
            <w:r>
              <w:rPr>
                <w:rFonts w:hint="eastAsia"/>
                <w:color w:val="auto"/>
              </w:rPr>
              <w:t>c)大气压力：80kPa～106kPa；</w:t>
            </w:r>
            <w:r>
              <w:rPr>
                <w:rFonts w:hint="eastAsia"/>
                <w:color w:val="auto"/>
              </w:rPr>
              <w:br w:type="textWrapping"/>
            </w:r>
            <w:r>
              <w:rPr>
                <w:rFonts w:hint="eastAsia"/>
                <w:color w:val="auto"/>
              </w:rPr>
              <w:t>d)使用电源：交流220V、50Hz。</w:t>
            </w:r>
            <w:r>
              <w:rPr>
                <w:rFonts w:hint="eastAsia"/>
                <w:color w:val="auto"/>
              </w:rPr>
              <w:br w:type="textWrapping"/>
            </w:r>
            <w:r>
              <w:rPr>
                <w:rFonts w:hint="eastAsia"/>
                <w:color w:val="auto"/>
              </w:rPr>
              <w:t>2）普通型视力表灯箱外形尺寸如下表</w:t>
            </w:r>
            <w:r>
              <w:rPr>
                <w:rFonts w:hint="eastAsia"/>
                <w:color w:val="auto"/>
              </w:rPr>
              <w:br w:type="textWrapping"/>
            </w:r>
            <w:r>
              <w:rPr>
                <w:rFonts w:hint="eastAsia"/>
                <w:color w:val="auto"/>
              </w:rPr>
              <w:t>规格 5m、标准</w:t>
            </w:r>
            <w:r>
              <w:rPr>
                <w:rFonts w:hint="eastAsia"/>
                <w:color w:val="auto"/>
              </w:rPr>
              <w:br w:type="textWrapping"/>
            </w:r>
            <w:r>
              <w:rPr>
                <w:rFonts w:hint="eastAsia"/>
                <w:color w:val="auto"/>
              </w:rPr>
              <w:t>对数 2.5m、标准</w:t>
            </w:r>
            <w:r>
              <w:rPr>
                <w:rFonts w:hint="eastAsia"/>
                <w:color w:val="auto"/>
              </w:rPr>
              <w:br w:type="textWrapping"/>
            </w:r>
            <w:r>
              <w:rPr>
                <w:rFonts w:hint="eastAsia"/>
                <w:color w:val="auto"/>
              </w:rPr>
              <w:t>对数 多功能</w:t>
            </w:r>
            <w:r>
              <w:rPr>
                <w:rFonts w:hint="eastAsia"/>
                <w:color w:val="auto"/>
              </w:rPr>
              <w:br w:type="textWrapping"/>
            </w:r>
            <w:r>
              <w:rPr>
                <w:rFonts w:hint="eastAsia"/>
                <w:color w:val="auto"/>
              </w:rPr>
              <w:t>产品尺寸：940x280x80mm</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eastAsia="zh-CN"/>
              </w:rPr>
            </w:pPr>
            <w:r>
              <w:rPr>
                <w:rFonts w:hint="eastAsia"/>
                <w:color w:val="auto"/>
                <w:lang w:eastAsia="zh-CN"/>
              </w:rPr>
              <w:t>个</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7</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治疗（处置）台</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1600*700*800mm</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1、整体经焊接组装而成，外型美观，平整、端正、四角平行，表面无锋棱、毛刺等明显缺陷，各焊接部件打磨平整光滑，抛光均匀，喷塑柜体耐腐蚀，不生锈。</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2、工作台桌面及底面均由优质不锈钢材质制成，坚固耐磨，易清洗、易擦拭。</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3、下方多抽屉配置，可根据需要放置各种物品，更有开门储物柜，可放置大容积物品，多样化设计符合各种需要，更方便实用</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台</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8</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中西药柜</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900*240/400*1750mm</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1、柜体表面高级静电喷塑，外形美观大方，耐久防锈，抗腐蚀，负荷量大。</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2、上层为推拉门设计，内嵌玻璃，三层搁板，高低可调，可以锁闭。</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3、下层为钢制对开门，内侧有一层活动搁板，可以锁闭。</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4、折边的圆弧直线、精致；移门滑轮凹槽，一次性冲压成形，不易积尘，易清洁。</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5、底座由优质304不锈钢制成，耐磨，牢固。</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台</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9</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无菌柜</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900*400*1750mm</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1、采用优质钢板焊接而成，表面平滑，美观大方，柜体表面采用环保阿克苏粉末静电喷涂，外形美观大方，耐久防锈，抗腐蚀，负荷量大。</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2、四个实体对开门可以放置器械包,中部配有两个抽屉。</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3、柜门安装有锁，安全方便无菌器械管理。</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4、中层配有两个抽屉，优质锁芯；滑道采用三节静音式滑轮，抽拉灵活，无噪音。</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5、底座由优质304不锈钢制成，耐磨，牢固。</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台</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10</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冷藏包</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冷藏包：参数：内尺寸：336*180*230（MM）</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外尺寸：400*240*300（MM</w:t>
            </w:r>
            <w:r>
              <w:rPr>
                <w:rFonts w:hint="eastAsia"/>
                <w:color w:val="auto"/>
                <w:lang w:eastAsia="zh-CN"/>
              </w:rPr>
              <w:t>）</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个</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2</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11</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出诊箱</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外形尺寸：230x150x160mm（9寸）</w:t>
            </w:r>
            <w:r>
              <w:rPr>
                <w:rFonts w:hint="eastAsia"/>
                <w:color w:val="auto"/>
                <w:lang w:val="en-US" w:eastAsia="zh-CN"/>
              </w:rPr>
              <w:t>（肩带）</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个</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12</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急救箱</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材质：铝合金</w:t>
            </w:r>
            <w:r>
              <w:rPr>
                <w:rFonts w:hint="eastAsia"/>
                <w:color w:val="auto"/>
              </w:rPr>
              <w:br w:type="textWrapping"/>
            </w:r>
            <w:r>
              <w:rPr>
                <w:rFonts w:hint="eastAsia"/>
                <w:color w:val="auto"/>
                <w:lang w:val="en-US" w:eastAsia="zh-CN"/>
              </w:rPr>
              <w:t>9寸（肩带）</w:t>
            </w:r>
            <w:r>
              <w:rPr>
                <w:rFonts w:hint="eastAsia"/>
                <w:color w:val="auto"/>
              </w:rPr>
              <w:br w:type="textWrapping"/>
            </w:r>
            <w:r>
              <w:rPr>
                <w:rFonts w:hint="eastAsia"/>
                <w:color w:val="auto"/>
              </w:rPr>
              <w:t>装箱数：5PCS</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个</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13</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治疗盘</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300*1980*50mm 不锈钢防碘伏治疗盘</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采用优质加厚进口板材冲压，拉伸而成；盘内配有消毒瓶架和试管架，同时配有两大两小消毒瓶。</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该治疗盘可供高温高压消毒，在一定时间内耐碘伏、碘酊等消毒液。稳定可靠，操作简单方便。</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个</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14</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有盖方盘</w:t>
            </w:r>
          </w:p>
        </w:tc>
        <w:tc>
          <w:tcPr>
            <w:tcW w:w="3217" w:type="dxa"/>
            <w:tcBorders>
              <w:top w:val="nil"/>
              <w:left w:val="nil"/>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300*200*50mm  不锈钢防碘伏带盖消毒盘</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采用优质加厚进口板材冲压，拉伸而成。</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该消毒盘可供高温高压消毒，在一定时间内耐碘伏、碘酊等消毒液。稳定可靠，操作简单方便。</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个</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15</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地站灯</w:t>
            </w:r>
          </w:p>
        </w:tc>
        <w:tc>
          <w:tcPr>
            <w:tcW w:w="3217" w:type="dxa"/>
            <w:tcBorders>
              <w:top w:val="nil"/>
              <w:left w:val="nil"/>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伸缩调节杆调节范围 1000～1600mm，</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调节球头绕球头臂转动范围： 前后 90°、左右 90°正斜调节。伸缩调节杆的升降调节应灵活，各零部件配合良好，经坚固后，没有松动现象，</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电源要求：交流 220V、50Hz、直流电圧：24V、输入功率(VA)： 25W</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使用灵活、方便。</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个</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16</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氧气袋</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一、产品性能结构及组成</w:t>
            </w:r>
            <w:r>
              <w:rPr>
                <w:rFonts w:hint="eastAsia"/>
                <w:color w:val="auto"/>
              </w:rPr>
              <w:br w:type="textWrapping"/>
            </w:r>
            <w:r>
              <w:rPr>
                <w:rFonts w:hint="eastAsia"/>
                <w:color w:val="auto"/>
              </w:rPr>
              <w:t>1、氧气袋主要由气囊料、气嘴、胶管、调压阀体等部件组成</w:t>
            </w:r>
            <w:r>
              <w:rPr>
                <w:rFonts w:hint="eastAsia"/>
                <w:color w:val="auto"/>
              </w:rPr>
              <w:br w:type="textWrapping"/>
            </w:r>
            <w:r>
              <w:rPr>
                <w:rFonts w:hint="eastAsia"/>
                <w:color w:val="auto"/>
              </w:rPr>
              <w:t>2、制作氧气袋的气囊料符合GB/T 3830的要求</w:t>
            </w:r>
            <w:r>
              <w:rPr>
                <w:rFonts w:hint="eastAsia"/>
                <w:color w:val="auto"/>
              </w:rPr>
              <w:br w:type="textWrapping"/>
            </w:r>
            <w:r>
              <w:rPr>
                <w:rFonts w:hint="eastAsia"/>
                <w:color w:val="auto"/>
              </w:rPr>
              <w:t>二、技术特性</w:t>
            </w:r>
            <w:r>
              <w:rPr>
                <w:rFonts w:hint="eastAsia"/>
                <w:color w:val="auto"/>
              </w:rPr>
              <w:br w:type="textWrapping"/>
            </w:r>
            <w:r>
              <w:rPr>
                <w:rFonts w:hint="eastAsia"/>
                <w:color w:val="auto"/>
              </w:rPr>
              <w:t>1、爆破压力：不小于16kPa</w:t>
            </w:r>
            <w:r>
              <w:rPr>
                <w:rFonts w:hint="eastAsia"/>
                <w:color w:val="auto"/>
              </w:rPr>
              <w:br w:type="textWrapping"/>
            </w:r>
            <w:r>
              <w:rPr>
                <w:rFonts w:hint="eastAsia"/>
                <w:color w:val="auto"/>
              </w:rPr>
              <w:t>2、规格：650mm*400mm</w:t>
            </w:r>
            <w:r>
              <w:rPr>
                <w:rFonts w:hint="eastAsia"/>
                <w:color w:val="auto"/>
              </w:rPr>
              <w:br w:type="textWrapping"/>
            </w:r>
            <w:r>
              <w:rPr>
                <w:rFonts w:hint="eastAsia"/>
                <w:color w:val="auto"/>
              </w:rPr>
              <w:t>3、产品规格：30L</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个</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17</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氧气瓶</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1.容积:2L</w:t>
            </w:r>
            <w:r>
              <w:rPr>
                <w:rFonts w:hint="eastAsia"/>
                <w:color w:val="auto"/>
              </w:rPr>
              <w:br w:type="textWrapping"/>
            </w:r>
            <w:r>
              <w:rPr>
                <w:rFonts w:hint="eastAsia"/>
                <w:color w:val="auto"/>
              </w:rPr>
              <w:t>2.高度：310mm</w:t>
            </w:r>
            <w:r>
              <w:rPr>
                <w:rFonts w:hint="eastAsia"/>
                <w:color w:val="auto"/>
              </w:rPr>
              <w:br w:type="textWrapping"/>
            </w:r>
            <w:r>
              <w:rPr>
                <w:rFonts w:hint="eastAsia"/>
                <w:color w:val="auto"/>
              </w:rPr>
              <w:t>3.重量：3.6Kg</w:t>
            </w:r>
            <w:r>
              <w:rPr>
                <w:rFonts w:hint="eastAsia"/>
                <w:color w:val="auto"/>
              </w:rPr>
              <w:br w:type="textWrapping"/>
            </w:r>
            <w:r>
              <w:rPr>
                <w:rFonts w:hint="eastAsia"/>
                <w:color w:val="auto"/>
              </w:rPr>
              <w:t>4.工作压力：15MPa</w:t>
            </w:r>
            <w:r>
              <w:rPr>
                <w:rFonts w:hint="eastAsia"/>
                <w:color w:val="auto"/>
              </w:rPr>
              <w:br w:type="textWrapping"/>
            </w:r>
            <w:r>
              <w:rPr>
                <w:rFonts w:hint="eastAsia"/>
                <w:color w:val="auto"/>
              </w:rPr>
              <w:t>5.设计壁厚：2.9mm</w:t>
            </w:r>
            <w:r>
              <w:rPr>
                <w:rFonts w:hint="eastAsia"/>
                <w:color w:val="auto"/>
              </w:rPr>
              <w:br w:type="textWrapping"/>
            </w:r>
            <w:r>
              <w:rPr>
                <w:rFonts w:hint="eastAsia"/>
                <w:color w:val="auto"/>
              </w:rPr>
              <w:t xml:space="preserve">6.外径：108mm  </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个</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18</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开口器</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用途：用于急救时撑开口腔用</w:t>
            </w:r>
            <w:r>
              <w:rPr>
                <w:rFonts w:hint="eastAsia"/>
                <w:color w:val="auto"/>
              </w:rPr>
              <w:br w:type="textWrapping"/>
            </w:r>
            <w:r>
              <w:rPr>
                <w:rFonts w:hint="eastAsia"/>
                <w:color w:val="auto"/>
              </w:rPr>
              <w:t>材质：不锈钢</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个</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19</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简易呼吸器</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针对患者体重：＞40kg</w:t>
            </w:r>
            <w:r>
              <w:rPr>
                <w:rFonts w:hint="eastAsia"/>
                <w:color w:val="auto"/>
              </w:rPr>
              <w:br w:type="textWrapping"/>
            </w:r>
            <w:r>
              <w:rPr>
                <w:rFonts w:hint="eastAsia"/>
                <w:color w:val="auto"/>
              </w:rPr>
              <w:t>尺寸（长*外径）：212mm*131mmm</w:t>
            </w:r>
            <w:r>
              <w:rPr>
                <w:rFonts w:hint="eastAsia"/>
                <w:color w:val="auto"/>
              </w:rPr>
              <w:br w:type="textWrapping"/>
            </w:r>
            <w:r>
              <w:rPr>
                <w:rFonts w:hint="eastAsia"/>
                <w:color w:val="auto"/>
              </w:rPr>
              <w:t>产品重量：320g</w:t>
            </w:r>
            <w:r>
              <w:rPr>
                <w:rFonts w:hint="eastAsia"/>
                <w:color w:val="auto"/>
              </w:rPr>
              <w:br w:type="textWrapping"/>
            </w:r>
            <w:r>
              <w:rPr>
                <w:rFonts w:hint="eastAsia"/>
                <w:color w:val="auto"/>
              </w:rPr>
              <w:t>球体容积：1500ml</w:t>
            </w:r>
            <w:r>
              <w:rPr>
                <w:rFonts w:hint="eastAsia"/>
                <w:color w:val="auto"/>
              </w:rPr>
              <w:br w:type="textWrapping"/>
            </w:r>
            <w:r>
              <w:rPr>
                <w:rFonts w:hint="eastAsia"/>
                <w:color w:val="auto"/>
              </w:rPr>
              <w:t>限压阀压力：40cmH₂O＜P＜60cmH₂O</w:t>
            </w:r>
            <w:r>
              <w:rPr>
                <w:rFonts w:hint="eastAsia"/>
                <w:color w:val="auto"/>
              </w:rPr>
              <w:br w:type="textWrapping"/>
            </w:r>
            <w:r>
              <w:rPr>
                <w:rFonts w:hint="eastAsia"/>
                <w:color w:val="auto"/>
              </w:rPr>
              <w:t>死腔量：＜65ml</w:t>
            </w:r>
            <w:r>
              <w:rPr>
                <w:rFonts w:hint="eastAsia"/>
                <w:color w:val="auto"/>
              </w:rPr>
              <w:br w:type="textWrapping"/>
            </w:r>
            <w:r>
              <w:rPr>
                <w:rFonts w:hint="eastAsia"/>
                <w:color w:val="auto"/>
              </w:rPr>
              <w:t>呼气阻抗＜5cmH₂O</w:t>
            </w:r>
            <w:r>
              <w:rPr>
                <w:rFonts w:hint="eastAsia"/>
                <w:color w:val="auto"/>
              </w:rPr>
              <w:br w:type="textWrapping"/>
            </w:r>
            <w:r>
              <w:rPr>
                <w:rFonts w:hint="eastAsia"/>
                <w:color w:val="auto"/>
              </w:rPr>
              <w:t>吸气阻抗5cmH₂O</w:t>
            </w:r>
            <w:r>
              <w:rPr>
                <w:rFonts w:hint="eastAsia"/>
                <w:color w:val="auto"/>
              </w:rPr>
              <w:br w:type="textWrapping"/>
            </w:r>
            <w:r>
              <w:rPr>
                <w:rFonts w:hint="eastAsia"/>
                <w:color w:val="auto"/>
              </w:rPr>
              <w:t>储气袋容量：2000ml</w:t>
            </w:r>
            <w:r>
              <w:rPr>
                <w:rFonts w:hint="eastAsia"/>
                <w:color w:val="auto"/>
              </w:rPr>
              <w:br w:type="textWrapping"/>
            </w:r>
            <w:r>
              <w:rPr>
                <w:rFonts w:hint="eastAsia"/>
                <w:color w:val="auto"/>
              </w:rPr>
              <w:t>病人阀接头锥度尺寸：参照YY1040.1-2015标准执行</w:t>
            </w:r>
            <w:r>
              <w:rPr>
                <w:rFonts w:hint="eastAsia"/>
                <w:color w:val="auto"/>
              </w:rPr>
              <w:br w:type="textWrapping"/>
            </w:r>
            <w:r>
              <w:rPr>
                <w:rFonts w:hint="eastAsia"/>
                <w:color w:val="auto"/>
              </w:rPr>
              <w:t>操作温度：-18°C~50°C</w:t>
            </w:r>
            <w:r>
              <w:rPr>
                <w:rFonts w:hint="eastAsia"/>
                <w:color w:val="auto"/>
              </w:rPr>
              <w:br w:type="textWrapping"/>
            </w:r>
            <w:r>
              <w:rPr>
                <w:rFonts w:hint="eastAsia"/>
                <w:color w:val="auto"/>
              </w:rPr>
              <w:t>操作湿度：15%~95%</w:t>
            </w:r>
            <w:r>
              <w:rPr>
                <w:rFonts w:hint="eastAsia"/>
                <w:color w:val="auto"/>
              </w:rPr>
              <w:br w:type="textWrapping"/>
            </w:r>
            <w:r>
              <w:rPr>
                <w:rFonts w:hint="eastAsia"/>
                <w:color w:val="auto"/>
              </w:rPr>
              <w:t>存储温度：-40°C~60°C</w:t>
            </w:r>
            <w:r>
              <w:rPr>
                <w:rFonts w:hint="eastAsia"/>
                <w:color w:val="auto"/>
              </w:rPr>
              <w:br w:type="textWrapping"/>
            </w:r>
            <w:r>
              <w:rPr>
                <w:rFonts w:hint="eastAsia"/>
                <w:color w:val="auto"/>
              </w:rPr>
              <w:t>存储湿度：40%~95%</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个</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20</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吸痰器</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w:t>
            </w:r>
            <w:r>
              <w:rPr>
                <w:rFonts w:hint="eastAsia"/>
                <w:color w:val="auto"/>
              </w:rPr>
              <w:t>采用无油润滑活塞泵作为负压源，无油雾污染，压力系统不会产生正压</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2．负压调节系统，可根据粘液的粘稠度作无级调压；</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3.设有溢流保护装置能有效的阻止液体进入中间管道和泵内；</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4.配置的空气过滤器也可以防止负压泵受到污染。</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 xml:space="preserve">5.*极限负压值：≥0.08MPa (600mmHg) </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 xml:space="preserve">6.负压调节范围：0.02MPa(150mmHg)～极限负压值 </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7.*抽气速率：≥20 L/min</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8.贮液瓶：1000mL（PC塑料）</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9.电源：～220V 50Hz</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10.输入功率：110VA</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11.毛重：5.5kg</w:t>
            </w:r>
            <w:r>
              <w:rPr>
                <w:rFonts w:hint="eastAsia"/>
                <w:color w:val="auto"/>
              </w:rPr>
              <w:tab/>
            </w:r>
            <w:r>
              <w:rPr>
                <w:rFonts w:hint="eastAsia"/>
                <w:color w:val="auto"/>
              </w:rPr>
              <w:tab/>
            </w:r>
            <w:r>
              <w:rPr>
                <w:rFonts w:hint="eastAsia"/>
                <w:color w:val="auto"/>
              </w:rPr>
              <w:t>净重：4.0㎏</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12.外型尺寸：35cm×14cm×34cm</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台</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21</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观察床</w:t>
            </w:r>
          </w:p>
        </w:tc>
        <w:tc>
          <w:tcPr>
            <w:tcW w:w="3217" w:type="dxa"/>
            <w:tcBorders>
              <w:top w:val="nil"/>
              <w:left w:val="nil"/>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2300*650*770mm</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1、座板: 采用优质加厚1.2mm冷轧钢板，经80T冲床冲孔后，油压成型，焊接、抛光、打磨、静电喷涂处理，座宽500mm。</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2、横梁: 采用优质加厚1.3mm三角形冷轧钢管，经开料后，酸洗、磷化、静电喷涂处理。</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3、扶手脚: 采用加厚1.2mm优质冷轧钢板，经120T冲床开料后，油压拉深成型，焊接、抛光、打磨、静电喷涂处理。</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张</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2</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22</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输液床</w:t>
            </w:r>
          </w:p>
        </w:tc>
        <w:tc>
          <w:tcPr>
            <w:tcW w:w="3217" w:type="dxa"/>
            <w:tcBorders>
              <w:top w:val="nil"/>
              <w:left w:val="nil"/>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规格:2</w:t>
            </w:r>
            <w:r>
              <w:rPr>
                <w:rFonts w:hint="eastAsia"/>
                <w:color w:val="auto"/>
                <w:lang w:val="en-US" w:eastAsia="zh-CN"/>
              </w:rPr>
              <w:t>05</w:t>
            </w:r>
            <w:r>
              <w:rPr>
                <w:rFonts w:hint="eastAsia"/>
                <w:color w:val="auto"/>
              </w:rPr>
              <w:t>0×</w:t>
            </w:r>
            <w:r>
              <w:rPr>
                <w:rFonts w:hint="eastAsia"/>
                <w:color w:val="auto"/>
                <w:lang w:val="en-US" w:eastAsia="zh-CN"/>
              </w:rPr>
              <w:t>90</w:t>
            </w:r>
            <w:r>
              <w:rPr>
                <w:rFonts w:hint="eastAsia"/>
                <w:color w:val="auto"/>
              </w:rPr>
              <w:t>0×</w:t>
            </w:r>
            <w:r>
              <w:rPr>
                <w:rFonts w:hint="eastAsia"/>
                <w:color w:val="auto"/>
                <w:lang w:val="en-US" w:eastAsia="zh-CN"/>
              </w:rPr>
              <w:t>50</w:t>
            </w:r>
            <w:r>
              <w:rPr>
                <w:rFonts w:hint="eastAsia"/>
                <w:color w:val="auto"/>
              </w:rPr>
              <w:t>0mm</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床头、床尾采用</w:t>
            </w:r>
            <w:r>
              <w:rPr>
                <w:rFonts w:hint="eastAsia"/>
                <w:color w:val="auto"/>
                <w:lang w:eastAsia="zh-CN"/>
              </w:rPr>
              <w:t>钢制</w:t>
            </w:r>
            <w:r>
              <w:rPr>
                <w:rFonts w:hint="eastAsia"/>
                <w:color w:val="auto"/>
              </w:rPr>
              <w:t>Φ38×1.</w:t>
            </w:r>
            <w:r>
              <w:rPr>
                <w:rFonts w:hint="eastAsia"/>
                <w:color w:val="auto"/>
                <w:lang w:val="en-US" w:eastAsia="zh-CN"/>
              </w:rPr>
              <w:t>2</w:t>
            </w:r>
            <w:r>
              <w:rPr>
                <w:rFonts w:hint="eastAsia"/>
                <w:color w:val="auto"/>
              </w:rPr>
              <w:t>mm圆管弯曲制作，挂式设计，拆卸方便，稳定可靠，尾板外侧有病人信息卡插槽。</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床面采用优质冷轧钢</w:t>
            </w:r>
            <w:r>
              <w:rPr>
                <w:rFonts w:hint="eastAsia"/>
                <w:color w:val="auto"/>
                <w:lang w:eastAsia="zh-CN"/>
              </w:rPr>
              <w:t>带一次压制</w:t>
            </w:r>
            <w:r>
              <w:rPr>
                <w:rFonts w:hint="eastAsia"/>
                <w:color w:val="auto"/>
              </w:rPr>
              <w:t>成型，厚度1.2mm，</w:t>
            </w:r>
            <w:r>
              <w:rPr>
                <w:rFonts w:hint="eastAsia"/>
                <w:color w:val="auto"/>
                <w:lang w:val="en-US" w:eastAsia="zh-CN"/>
              </w:rPr>
              <w:t>M</w:t>
            </w:r>
            <w:r>
              <w:rPr>
                <w:rFonts w:hint="eastAsia"/>
                <w:color w:val="auto"/>
              </w:rPr>
              <w:t>型</w:t>
            </w:r>
            <w:r>
              <w:rPr>
                <w:rFonts w:hint="eastAsia"/>
                <w:color w:val="auto"/>
                <w:lang w:eastAsia="zh-CN"/>
              </w:rPr>
              <w:t>设计，</w:t>
            </w:r>
            <w:r>
              <w:rPr>
                <w:rFonts w:hint="eastAsia"/>
                <w:color w:val="auto"/>
              </w:rPr>
              <w:t>便于透气并具有防滑功能。表面无焊点，背部有钢管加强筋，采用双支撑结构，延长病床寿命。</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床体骨架采用</w:t>
            </w:r>
            <w:r>
              <w:rPr>
                <w:rFonts w:hint="eastAsia"/>
                <w:color w:val="auto"/>
                <w:lang w:val="en-US" w:eastAsia="zh-CN"/>
              </w:rPr>
              <w:t>4</w:t>
            </w:r>
            <w:r>
              <w:rPr>
                <w:rFonts w:hint="eastAsia"/>
                <w:color w:val="auto"/>
              </w:rPr>
              <w:t>0*</w:t>
            </w:r>
            <w:r>
              <w:rPr>
                <w:rFonts w:hint="eastAsia"/>
                <w:color w:val="auto"/>
                <w:lang w:val="en-US" w:eastAsia="zh-CN"/>
              </w:rPr>
              <w:t>8</w:t>
            </w:r>
            <w:r>
              <w:rPr>
                <w:rFonts w:hint="eastAsia"/>
                <w:color w:val="auto"/>
              </w:rPr>
              <w:t>0*1.</w:t>
            </w:r>
            <w:r>
              <w:rPr>
                <w:rFonts w:hint="eastAsia"/>
                <w:color w:val="auto"/>
                <w:lang w:val="en-US" w:eastAsia="zh-CN"/>
              </w:rPr>
              <w:t>2</w:t>
            </w:r>
            <w:r>
              <w:rPr>
                <w:rFonts w:hint="eastAsia"/>
                <w:color w:val="auto"/>
              </w:rPr>
              <w:t>mm</w:t>
            </w:r>
            <w:r>
              <w:rPr>
                <w:rFonts w:hint="eastAsia"/>
                <w:color w:val="auto"/>
                <w:lang w:val="en-US" w:eastAsia="zh-CN"/>
              </w:rPr>
              <w:t>,</w:t>
            </w:r>
            <w:r>
              <w:rPr>
                <w:rFonts w:hint="eastAsia"/>
                <w:color w:val="auto"/>
              </w:rPr>
              <w:t>的成型方管焊接而成</w:t>
            </w:r>
            <w:r>
              <w:rPr>
                <w:rFonts w:hint="eastAsia"/>
                <w:color w:val="auto"/>
                <w:lang w:eastAsia="zh-CN"/>
              </w:rPr>
              <w:t>.</w:t>
            </w:r>
            <w:r>
              <w:rPr>
                <w:rFonts w:hint="eastAsia"/>
                <w:color w:val="auto"/>
              </w:rPr>
              <w:t>先进的焊接工艺</w:t>
            </w:r>
            <w:r>
              <w:rPr>
                <w:rFonts w:hint="eastAsia"/>
                <w:color w:val="auto"/>
                <w:lang w:eastAsia="zh-CN"/>
              </w:rPr>
              <w:t>.</w:t>
            </w:r>
            <w:r>
              <w:rPr>
                <w:rFonts w:hint="eastAsia"/>
                <w:color w:val="auto"/>
              </w:rPr>
              <w:t>焊接质量优质</w:t>
            </w:r>
            <w:r>
              <w:rPr>
                <w:rFonts w:hint="eastAsia"/>
                <w:color w:val="auto"/>
                <w:lang w:eastAsia="zh-CN"/>
              </w:rPr>
              <w:t>.</w:t>
            </w:r>
            <w:r>
              <w:rPr>
                <w:rFonts w:hint="eastAsia"/>
                <w:color w:val="auto"/>
              </w:rPr>
              <w:t>床体坚固</w:t>
            </w:r>
            <w:r>
              <w:rPr>
                <w:rFonts w:hint="eastAsia"/>
                <w:color w:val="auto"/>
                <w:lang w:eastAsia="zh-CN"/>
              </w:rPr>
              <w:t>.</w:t>
            </w:r>
            <w:r>
              <w:rPr>
                <w:rFonts w:hint="eastAsia"/>
                <w:color w:val="auto"/>
              </w:rPr>
              <w:t>可承载≥2</w:t>
            </w:r>
            <w:r>
              <w:rPr>
                <w:rFonts w:hint="eastAsia"/>
                <w:color w:val="auto"/>
                <w:lang w:val="en-US" w:eastAsia="zh-CN"/>
              </w:rPr>
              <w:t>4</w:t>
            </w:r>
            <w:r>
              <w:rPr>
                <w:rFonts w:hint="eastAsia"/>
                <w:color w:val="auto"/>
              </w:rPr>
              <w:t>0kg</w:t>
            </w:r>
            <w:r>
              <w:rPr>
                <w:rFonts w:hint="eastAsia"/>
                <w:color w:val="auto"/>
                <w:lang w:eastAsia="zh-CN"/>
              </w:rPr>
              <w:t>。</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整体</w:t>
            </w:r>
            <w:r>
              <w:rPr>
                <w:rFonts w:hint="eastAsia"/>
                <w:color w:val="auto"/>
                <w:lang w:eastAsia="zh-CN"/>
              </w:rPr>
              <w:t>床体</w:t>
            </w:r>
            <w:r>
              <w:rPr>
                <w:rFonts w:hint="eastAsia"/>
                <w:color w:val="auto"/>
              </w:rPr>
              <w:t>采用</w:t>
            </w:r>
            <w:r>
              <w:rPr>
                <w:rFonts w:hint="eastAsia"/>
                <w:color w:val="auto"/>
                <w:lang w:eastAsia="zh-CN"/>
              </w:rPr>
              <w:t>抛丸除锈等</w:t>
            </w:r>
            <w:r>
              <w:rPr>
                <w:rFonts w:hint="eastAsia"/>
                <w:color w:val="auto"/>
              </w:rPr>
              <w:t>一系列工艺，</w:t>
            </w:r>
            <w:r>
              <w:rPr>
                <w:rFonts w:hint="eastAsia"/>
                <w:color w:val="auto"/>
                <w:lang w:eastAsia="zh-CN"/>
              </w:rPr>
              <w:t>使用</w:t>
            </w:r>
            <w:r>
              <w:rPr>
                <w:rFonts w:hint="eastAsia"/>
                <w:color w:val="auto"/>
              </w:rPr>
              <w:t>阿克苏粉末静电喷涂，色泽鲜</w:t>
            </w:r>
            <w:r>
              <w:rPr>
                <w:rFonts w:hint="eastAsia"/>
                <w:color w:val="auto"/>
                <w:lang w:eastAsia="zh-CN"/>
              </w:rPr>
              <w:t>亮</w:t>
            </w:r>
            <w:r>
              <w:rPr>
                <w:rFonts w:hint="eastAsia"/>
                <w:color w:val="auto"/>
              </w:rPr>
              <w:t>，附着牢固</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张</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2</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23</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冷藏柜</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【容 积】100L</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【额定电压】220V</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【额定频率】50Hz</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【额定输入功率】85W</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【噪声（声功计）】39dB(A)</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【箱内温度控制范围】2～8℃</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【箱体尺寸】（WｘDｘH）480ｘ490ｘ845mm</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【制冷剂/用量】R600a/29g</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【箱体净重】23 kg</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台</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24</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 xml:space="preserve">各类针具、 </w:t>
            </w:r>
            <w:r>
              <w:rPr>
                <w:rFonts w:hint="eastAsia"/>
                <w:color w:val="auto"/>
              </w:rPr>
              <w:br w:type="textWrapping"/>
            </w:r>
            <w:r>
              <w:rPr>
                <w:rFonts w:hint="eastAsia"/>
                <w:color w:val="auto"/>
              </w:rPr>
              <w:t>电针治疗、</w:t>
            </w:r>
            <w:r>
              <w:rPr>
                <w:rFonts w:hint="eastAsia"/>
                <w:color w:val="auto"/>
              </w:rPr>
              <w:br w:type="textWrapping"/>
            </w:r>
            <w:r>
              <w:rPr>
                <w:rFonts w:hint="eastAsia"/>
                <w:color w:val="auto"/>
              </w:rPr>
              <w:t>灸疗设备及拔罐器具</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输入功率：10.0VA</w:t>
            </w:r>
            <w:r>
              <w:rPr>
                <w:rFonts w:hint="eastAsia"/>
                <w:color w:val="auto"/>
              </w:rPr>
              <w:br w:type="textWrapping"/>
            </w:r>
            <w:r>
              <w:rPr>
                <w:rFonts w:hint="eastAsia"/>
                <w:color w:val="auto"/>
              </w:rPr>
              <w:t>输出脉冲波形：非对称双向脉冲波</w:t>
            </w:r>
            <w:r>
              <w:rPr>
                <w:rFonts w:hint="eastAsia"/>
                <w:color w:val="auto"/>
              </w:rPr>
              <w:br w:type="textWrapping"/>
            </w:r>
            <w:r>
              <w:rPr>
                <w:rFonts w:hint="eastAsia"/>
                <w:color w:val="auto"/>
              </w:rPr>
              <w:t>输出脉冲路数：六路输出</w:t>
            </w:r>
            <w:r>
              <w:rPr>
                <w:rFonts w:hint="eastAsia"/>
                <w:color w:val="auto"/>
              </w:rPr>
              <w:br w:type="textWrapping"/>
            </w:r>
            <w:r>
              <w:rPr>
                <w:rFonts w:hint="eastAsia"/>
                <w:color w:val="auto"/>
              </w:rPr>
              <w:t>最大输出功率：0.3VA</w:t>
            </w:r>
            <w:r>
              <w:rPr>
                <w:rFonts w:hint="eastAsia"/>
                <w:color w:val="auto"/>
              </w:rPr>
              <w:br w:type="textWrapping"/>
            </w:r>
            <w:r>
              <w:rPr>
                <w:rFonts w:hint="eastAsia"/>
                <w:color w:val="auto"/>
              </w:rPr>
              <w:t>输出脉冲频率：1-100HZ可调，允差为±15%</w:t>
            </w:r>
            <w:r>
              <w:rPr>
                <w:rFonts w:hint="eastAsia"/>
                <w:color w:val="auto"/>
              </w:rPr>
              <w:br w:type="textWrapping"/>
            </w:r>
            <w:r>
              <w:rPr>
                <w:rFonts w:hint="eastAsia"/>
                <w:color w:val="auto"/>
              </w:rPr>
              <w:t>工作模式：</w:t>
            </w:r>
            <w:r>
              <w:rPr>
                <w:rFonts w:hint="eastAsia"/>
                <w:color w:val="auto"/>
              </w:rPr>
              <w:br w:type="textWrapping"/>
            </w:r>
            <w:r>
              <w:rPr>
                <w:rFonts w:hint="eastAsia"/>
                <w:color w:val="auto"/>
              </w:rPr>
              <w:t>1、连续波工作模式：连续</w:t>
            </w:r>
            <w:r>
              <w:rPr>
                <w:rFonts w:hint="eastAsia"/>
                <w:color w:val="auto"/>
              </w:rPr>
              <w:br w:type="textWrapping"/>
            </w:r>
            <w:r>
              <w:rPr>
                <w:rFonts w:hint="eastAsia"/>
                <w:color w:val="auto"/>
              </w:rPr>
              <w:t>2、断续波工作模式：工作15S，停15S</w:t>
            </w:r>
            <w:r>
              <w:rPr>
                <w:rFonts w:hint="eastAsia"/>
                <w:color w:val="auto"/>
              </w:rPr>
              <w:br w:type="textWrapping"/>
            </w:r>
            <w:r>
              <w:rPr>
                <w:rFonts w:hint="eastAsia"/>
                <w:color w:val="auto"/>
              </w:rPr>
              <w:t>3、疏密波工作模式：疏密频率与密波频率之比是1:5；疏波工作5S，密波工作10S；输出电流的限制：≤10mA</w:t>
            </w:r>
            <w:r>
              <w:rPr>
                <w:rFonts w:hint="eastAsia"/>
                <w:color w:val="auto"/>
              </w:rPr>
              <w:br w:type="textWrapping"/>
            </w:r>
            <w:r>
              <w:rPr>
                <w:rFonts w:hint="eastAsia"/>
                <w:color w:val="auto"/>
              </w:rPr>
              <w:t>输出直流分量：0</w:t>
            </w:r>
            <w:r>
              <w:rPr>
                <w:rFonts w:hint="eastAsia"/>
                <w:color w:val="auto"/>
              </w:rPr>
              <w:br w:type="textWrapping"/>
            </w:r>
            <w:r>
              <w:rPr>
                <w:rFonts w:hint="eastAsia"/>
                <w:color w:val="auto"/>
              </w:rPr>
              <w:t>输出脉冲宽度：0.2ms±30%（EMC检测基本性能）</w:t>
            </w:r>
            <w:r>
              <w:rPr>
                <w:rFonts w:hint="eastAsia"/>
                <w:color w:val="auto"/>
              </w:rPr>
              <w:br w:type="textWrapping"/>
            </w:r>
            <w:r>
              <w:rPr>
                <w:rFonts w:hint="eastAsia"/>
                <w:color w:val="auto"/>
              </w:rPr>
              <w:t>体积：345mm*225mm*94mm</w:t>
            </w:r>
            <w:r>
              <w:rPr>
                <w:rFonts w:hint="eastAsia"/>
                <w:color w:val="auto"/>
              </w:rPr>
              <w:br w:type="textWrapping"/>
            </w:r>
            <w:r>
              <w:rPr>
                <w:rFonts w:hint="eastAsia"/>
                <w:color w:val="auto"/>
              </w:rPr>
              <w:t>质量：1.4Kg</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套</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25</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针灸/推拿治疗床</w:t>
            </w:r>
          </w:p>
        </w:tc>
        <w:tc>
          <w:tcPr>
            <w:tcW w:w="3217" w:type="dxa"/>
            <w:tcBorders>
              <w:top w:val="nil"/>
              <w:left w:val="nil"/>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1930*630*650mm</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1、床身：采用优质钢管弯制焊接而成。</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2、床面：高级皮革包裹进口海绵，美观耐用且易于清理，是各科室的理想选择，带透气孔设计。</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3、表面处理：床身采用静电喷塑处理。</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台</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26</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电磁波治疗仪</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产品式样：立式小单头</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结构特点：治疗头和控制部分之间分别为独立系统</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电源电压：AC220V±10%</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功率、频率：230W±10%、50Hz</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计时方式：机械定时（0-60分钟或常通）</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台</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27</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电麻仪</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输出脉冲波形：非对称双向脉冲波，分连续波、断续波以及疏密波。</w:t>
            </w:r>
            <w:r>
              <w:rPr>
                <w:rFonts w:hint="eastAsia"/>
                <w:color w:val="auto"/>
              </w:rPr>
              <w:br w:type="textWrapping"/>
            </w:r>
            <w:r>
              <w:rPr>
                <w:rFonts w:hint="eastAsia"/>
                <w:color w:val="auto"/>
              </w:rPr>
              <w:t>输出脉冲路线：六路输出。</w:t>
            </w:r>
            <w:r>
              <w:rPr>
                <w:rFonts w:hint="eastAsia"/>
                <w:color w:val="auto"/>
              </w:rPr>
              <w:br w:type="textWrapping"/>
            </w:r>
            <w:r>
              <w:rPr>
                <w:rFonts w:hint="eastAsia"/>
                <w:color w:val="auto"/>
              </w:rPr>
              <w:t>输出脉冲频率：连续波：频率1~100HZ连续可调。</w:t>
            </w:r>
            <w:r>
              <w:rPr>
                <w:rFonts w:hint="eastAsia"/>
                <w:color w:val="auto"/>
              </w:rPr>
              <w:br w:type="textWrapping"/>
            </w:r>
            <w:r>
              <w:rPr>
                <w:rFonts w:hint="eastAsia"/>
                <w:color w:val="auto"/>
              </w:rPr>
              <w:t>断续波：续波频率1~100HZ连续可调，断波时间5秒钟，续波时间15秒。</w:t>
            </w:r>
            <w:r>
              <w:rPr>
                <w:rFonts w:hint="eastAsia"/>
                <w:color w:val="auto"/>
              </w:rPr>
              <w:br w:type="textWrapping"/>
            </w:r>
            <w:r>
              <w:rPr>
                <w:rFonts w:hint="eastAsia"/>
                <w:color w:val="auto"/>
              </w:rPr>
              <w:t>疏密波：疏波频率是密波频率的1/5密波频率5~100HZ可调，疏波时间为5秒钟，密波时间为10秒。</w:t>
            </w:r>
            <w:r>
              <w:rPr>
                <w:rFonts w:hint="eastAsia"/>
                <w:color w:val="auto"/>
              </w:rPr>
              <w:br w:type="textWrapping"/>
            </w:r>
            <w:r>
              <w:rPr>
                <w:rFonts w:hint="eastAsia"/>
                <w:color w:val="auto"/>
              </w:rPr>
              <w:t>电流的限制：≤50mA 直流分量：0。</w:t>
            </w:r>
            <w:r>
              <w:rPr>
                <w:rFonts w:hint="eastAsia"/>
                <w:color w:val="auto"/>
              </w:rPr>
              <w:br w:type="textWrapping"/>
            </w:r>
            <w:r>
              <w:rPr>
                <w:rFonts w:hint="eastAsia"/>
                <w:color w:val="auto"/>
              </w:rPr>
              <w:t>输出脉冲宽度：200us。</w:t>
            </w:r>
            <w:r>
              <w:rPr>
                <w:rFonts w:hint="eastAsia"/>
                <w:color w:val="auto"/>
              </w:rPr>
              <w:br w:type="textWrapping"/>
            </w:r>
            <w:r>
              <w:rPr>
                <w:rFonts w:hint="eastAsia"/>
                <w:color w:val="auto"/>
              </w:rPr>
              <w:t>电源电压：DC9V。</w:t>
            </w:r>
            <w:r>
              <w:rPr>
                <w:rFonts w:hint="eastAsia"/>
                <w:color w:val="auto"/>
              </w:rPr>
              <w:br w:type="textWrapping"/>
            </w:r>
            <w:r>
              <w:rPr>
                <w:rFonts w:hint="eastAsia"/>
                <w:color w:val="auto"/>
              </w:rPr>
              <w:t>外型尺寸：新款：360×255×95mm3。</w:t>
            </w:r>
            <w:r>
              <w:rPr>
                <w:rFonts w:hint="eastAsia"/>
                <w:color w:val="auto"/>
              </w:rPr>
              <w:br w:type="textWrapping"/>
            </w:r>
            <w:r>
              <w:rPr>
                <w:rFonts w:hint="eastAsia"/>
                <w:color w:val="auto"/>
              </w:rPr>
              <w:t>重量：1.2kg。</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台</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28</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关节旋转训练器</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改善肩,肘关节活动范围77×35×98cm，高度调节范围0～63cm。手柄至转动轴距离调节范围17～33cm。</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台</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29</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艾灸仪</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该仪器操作安全简便、疗效可靠，无疼痛，适用于临床内、外、儿科、皮肤科、骨伤科、康复理疗科等一百余种系统疾病。</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台</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30</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中低频治疗仪</w:t>
            </w:r>
          </w:p>
        </w:tc>
        <w:tc>
          <w:tcPr>
            <w:tcW w:w="3217" w:type="dxa"/>
            <w:tcBorders>
              <w:top w:val="nil"/>
              <w:left w:val="nil"/>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BA2008-II型电脑中频治疗仪内存多步程序处方，对镇痛、消炎、解痉、软化疤痕和改善局部组织血液循环以及；老年人常见的慢性劳损型及颈肩腰腿痛的治疗效果明显。二路异步输出通道，二路温热输出通道（温度三档可调）</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台</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31</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健康档案柜</w:t>
            </w:r>
          </w:p>
        </w:tc>
        <w:tc>
          <w:tcPr>
            <w:tcW w:w="3217" w:type="dxa"/>
            <w:tcBorders>
              <w:top w:val="nil"/>
              <w:left w:val="nil"/>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1、900*400*1750mm</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2、整体由经焊接组装而成，外型美观，平整、端正、四角平行，表面无锋棱、毛刺等明显缺陷，各焊接部件打磨平整光滑，抛光均匀，静电喷涂耐腐蚀，不生锈。</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3、柜体表面采用环保阿克苏粉末静电喷涂，外形美观大方，耐久防锈，抗腐蚀，负荷量大。</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4、底座采用优质304不锈钢制成，耐磨，牢固。</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5、充分利用空间，承载量大。</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台</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32</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电视</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屏幕尺寸：50英寸，分辨率3840*2160，响应时间8ms，</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3*HDMI2.0接口，2*USB2.0接口，1*AV输入，1*RCA,操作系统Android屏幕比例16：9，刷新率60HZ，对比度3000:1，</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可视角度178/178度，屏幕亮度280cd/m²，色彩数1.07G色，</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扫描方式：逐行扫描，接收制式：PAL-D/K,B/G，I，图像技术：10bit色彩引擎，功耗：120W，四核ARM Cortex A53 1.4GHzRAM:2GB, ROM16GB，支持WiFi，USB媒体播放支持：视频：。</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台</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33</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电脑</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CPU：双核，14纳米，LGA1200接口，4G主频，双核心，四线程，4M三级缓存，58W功耗，支持最大内存128G,集成Intel HD graphics 610显卡。</w:t>
            </w:r>
            <w:r>
              <w:rPr>
                <w:rFonts w:hint="eastAsia"/>
                <w:color w:val="auto"/>
              </w:rPr>
              <w:br w:type="textWrapping"/>
            </w:r>
            <w:r>
              <w:rPr>
                <w:rFonts w:hint="eastAsia"/>
                <w:color w:val="auto"/>
              </w:rPr>
              <w:t>内存：容量8G；DDR4规格，2666主频，工作电压1.2V。</w:t>
            </w:r>
            <w:r>
              <w:rPr>
                <w:rFonts w:hint="eastAsia"/>
                <w:color w:val="auto"/>
              </w:rPr>
              <w:br w:type="textWrapping"/>
            </w:r>
            <w:r>
              <w:rPr>
                <w:rFonts w:hint="eastAsia"/>
                <w:color w:val="auto"/>
              </w:rPr>
              <w:t>主板：IntelH410芯片组，2*DDR4 DIMM，集成Realtek ALC887 7.1声卡，板载Realtek RTL8111H千兆网卡，64G最大内存容量，PCI-E3.0,4*SATA3接口，2×USB3.2 Gen1接口，4×USB2.0接口，前置USB接口（共6），2×USB3.2 Gen1接口，2×USB2.0接口，1×DVI接口，1×VGA接口。</w:t>
            </w:r>
            <w:r>
              <w:rPr>
                <w:rFonts w:hint="eastAsia"/>
                <w:color w:val="auto"/>
              </w:rPr>
              <w:br w:type="textWrapping"/>
            </w:r>
            <w:r>
              <w:rPr>
                <w:rFonts w:hint="eastAsia"/>
                <w:color w:val="auto"/>
              </w:rPr>
              <w:t>硬盘：容量1TB：3.5英寸，64MB缓存,STAT3.0接口类型，7200rpm转速，接口速率6Gb/秒。</w:t>
            </w:r>
            <w:r>
              <w:rPr>
                <w:rFonts w:hint="eastAsia"/>
                <w:color w:val="auto"/>
              </w:rPr>
              <w:br w:type="textWrapping"/>
            </w:r>
            <w:r>
              <w:rPr>
                <w:rFonts w:hint="eastAsia"/>
                <w:color w:val="auto"/>
              </w:rPr>
              <w:t>电源：额定功率180W，转换效率78%，电压范围180-264VAC，PFC被动式供电，处理器接口4P，2个SATA接口，2个HD接口，温控风扇直径12cm。</w:t>
            </w:r>
            <w:r>
              <w:rPr>
                <w:rFonts w:hint="eastAsia"/>
                <w:color w:val="auto"/>
              </w:rPr>
              <w:br w:type="textWrapping"/>
            </w:r>
            <w:r>
              <w:rPr>
                <w:rFonts w:hint="eastAsia"/>
                <w:color w:val="auto"/>
              </w:rPr>
              <w:t>机箱：标准ATX机箱，五金尺寸：290*170*350mm，箱体颜色：黑色，硬盘支持：HDD*2,2.5SSD*1,前置USB2.0*2+AUDIO</w:t>
            </w:r>
            <w:r>
              <w:rPr>
                <w:rFonts w:hint="eastAsia"/>
                <w:color w:val="auto"/>
              </w:rPr>
              <w:br w:type="textWrapping"/>
            </w:r>
            <w:r>
              <w:rPr>
                <w:rFonts w:hint="eastAsia"/>
                <w:color w:val="auto"/>
              </w:rPr>
              <w:t>显示器：面板类型：TN，分辨率：1920*1080，亮度：250cd/㎡，5ms响应时间，动态对比度：1000000:1，VGA接口，外观尺寸508*394*210mm，支持壁挂。</w:t>
            </w:r>
            <w:r>
              <w:rPr>
                <w:rFonts w:hint="eastAsia"/>
                <w:color w:val="auto"/>
              </w:rPr>
              <w:br w:type="textWrapping"/>
            </w:r>
            <w:r>
              <w:rPr>
                <w:rFonts w:hint="eastAsia"/>
                <w:color w:val="auto"/>
              </w:rPr>
              <w:t>键鼠：有线套装，USB接口，火山口架构，黑色，键盘尺寸：450*154*22mm，鼠标工作方式：光电。</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台</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w:t>
            </w:r>
            <w:r>
              <w:rPr>
                <w:rFonts w:hint="eastAsia"/>
                <w:color w:val="auto"/>
                <w:lang w:val="en-US" w:eastAsia="zh-CN"/>
              </w:rPr>
              <w:t>4</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打印机</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功能：打印/复印/扫描，A4幅面，鼓粉一体，预热时间10秒，耗材容量约1600页，黑白打印速度18ppm，打印分辨率：等效1200*600dpi，600*400dpi，月打印符合约8000页，复印速度18ppm，复印分辨率600*600dpi，连续复印1-29页，支持ID卡复印。缩放范围50-200%（最小调整量为10%），支持调节浓度复印，缩放复印，扫描类型为平板式，扫描元件cis，光学分辨率600*600dpi，最大分辨率9600*9600dpi，最大扫描尺寸216*297mm，灰度等级256级，纸盒容量150页，英文显示屏，64mb内存，USB2.0接口，最大耗电量约960W，产品重量8.2KG,产品尺寸372×371×254mm（含纸盒），工作电压220-240V。</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台</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35</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空调</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颜色：冰雪白+轻奢金(圆柱）电压/频率：220V/50Hz</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制冷功率(W)：2300(300-3500)能效等级：三级能效</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冷暖类型：冷暖产品匹数：3匹内机噪音(dB(A)：超强47高43低22外机噪音(dB(A)：56特殊功能：断电记忆</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台</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36</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数字监控</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200万有效像素，分辨率1920*1080，支持日夜转换，宽动态，数字降噪，1/4英寸progressive Scan CMOS成像器件，镜头参数：4mm@F2.0，对角视场角82°，镜头接口类型：M12，日夜转换模式：ICR红外滤片式数字降噪：3D数字降噪，宽动态范围：数字宽动态，无线标准：IEEE802.11b，802.11g，802.11n，频率范围：2.4-2.4835GHz，信道带宽：支持20MHz，产品尺寸：88*88*119mm，产品重量：252g，环境温度：-10°-45°，环境湿度：＜95%（无凝结），图像设置：亮度，对比度，饱和度等，背光补偿：支持；智能报警：移动侦测，通用功能：防闪烁，双码流，心跳，镜像，密码保护，水印，存储接口：Micro SD卡（最大256G），电源接口：Micro USB接口，红外照射距离：10米（因环境而异）。</w:t>
            </w:r>
            <w:r>
              <w:rPr>
                <w:rFonts w:hint="eastAsia"/>
                <w:color w:val="auto"/>
              </w:rPr>
              <w:br w:type="textWrapping"/>
            </w:r>
            <w:r>
              <w:rPr>
                <w:rFonts w:hint="eastAsia"/>
                <w:color w:val="auto"/>
              </w:rPr>
              <w:t>存储卡：128G存储，100M读取/写入速度，存储视频时长约10天</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个</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37</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烟雾报警器</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规格产品尺寸（mm）102Φ*46mm</w:t>
            </w:r>
            <w:r>
              <w:rPr>
                <w:rFonts w:hint="eastAsia"/>
                <w:color w:val="auto"/>
              </w:rPr>
              <w:br w:type="textWrapping"/>
            </w:r>
            <w:r>
              <w:rPr>
                <w:rFonts w:hint="eastAsia"/>
                <w:color w:val="auto"/>
              </w:rPr>
              <w:t>包装清单烟雾报警器×1说明书×1电池×1螺丝×2膨胀塞x2</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个</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38</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应急照明设备</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材质:树脂</w:t>
            </w:r>
            <w:r>
              <w:rPr>
                <w:rFonts w:hint="eastAsia"/>
                <w:color w:val="auto"/>
              </w:rPr>
              <w:br w:type="textWrapping"/>
            </w:r>
            <w:r>
              <w:rPr>
                <w:rFonts w:hint="eastAsia"/>
                <w:color w:val="auto"/>
              </w:rPr>
              <w:t>型号:消防应急灯</w:t>
            </w:r>
            <w:r>
              <w:rPr>
                <w:rFonts w:hint="eastAsia"/>
                <w:color w:val="auto"/>
              </w:rPr>
              <w:br w:type="textWrapping"/>
            </w:r>
            <w:r>
              <w:rPr>
                <w:rFonts w:hint="eastAsia"/>
                <w:color w:val="auto"/>
              </w:rPr>
              <w:t>产品尺寸(mm):1</w:t>
            </w:r>
            <w:r>
              <w:rPr>
                <w:rFonts w:hint="eastAsia"/>
                <w:color w:val="auto"/>
              </w:rPr>
              <w:br w:type="textWrapping"/>
            </w:r>
            <w:r>
              <w:rPr>
                <w:rFonts w:hint="eastAsia"/>
                <w:color w:val="auto"/>
              </w:rPr>
              <w:t>产品净重(kg):1kg</w:t>
            </w:r>
            <w:r>
              <w:rPr>
                <w:rFonts w:hint="eastAsia"/>
                <w:color w:val="auto"/>
              </w:rPr>
              <w:br w:type="textWrapping"/>
            </w:r>
            <w:r>
              <w:rPr>
                <w:rFonts w:hint="eastAsia"/>
                <w:color w:val="auto"/>
              </w:rPr>
              <w:t>防水等级:IPX0</w:t>
            </w:r>
            <w:r>
              <w:rPr>
                <w:rFonts w:hint="eastAsia"/>
                <w:color w:val="auto"/>
              </w:rPr>
              <w:br w:type="textWrapping"/>
            </w:r>
            <w:r>
              <w:rPr>
                <w:rFonts w:hint="eastAsia"/>
                <w:color w:val="auto"/>
              </w:rPr>
              <w:t>功率(W):1</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个</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39</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紫外线消毒灯（车）</w:t>
            </w:r>
          </w:p>
        </w:tc>
        <w:tc>
          <w:tcPr>
            <w:tcW w:w="3217" w:type="dxa"/>
            <w:tcBorders>
              <w:top w:val="nil"/>
              <w:left w:val="nil"/>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1.紫外消毒车采用双灯管结构，并可以单独使用，灯臂角度可以180度调节，不用时请垂放关上保护门以免灯管破坏，又能保持灯管清洁。</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2.定时器可以在120分钟内定时控制消毒时间，定时器工作完毕会自行断路而灯管熄灭。</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3.形式为移动式</w:t>
            </w:r>
            <w:r>
              <w:rPr>
                <w:rFonts w:hint="eastAsia"/>
                <w:color w:val="auto"/>
                <w:lang w:eastAsia="zh-CN"/>
              </w:rPr>
              <w:t>，</w:t>
            </w:r>
            <w:r>
              <w:rPr>
                <w:rFonts w:hint="eastAsia"/>
                <w:color w:val="auto"/>
              </w:rPr>
              <w:t>安全防护分类为I类</w:t>
            </w:r>
            <w:r>
              <w:rPr>
                <w:rFonts w:hint="eastAsia"/>
                <w:color w:val="auto"/>
                <w:lang w:eastAsia="zh-CN"/>
              </w:rPr>
              <w:t>。</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4、</w:t>
            </w:r>
            <w:r>
              <w:rPr>
                <w:rFonts w:hint="eastAsia"/>
                <w:color w:val="auto"/>
              </w:rPr>
              <w:t>.灯臂长度为：920mm+2mm,灯臂调节角度为0-180度</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5</w:t>
            </w:r>
            <w:r>
              <w:rPr>
                <w:rFonts w:hint="eastAsia"/>
                <w:color w:val="auto"/>
              </w:rPr>
              <w:t>.输入功率为：150VA</w:t>
            </w:r>
            <w:r>
              <w:rPr>
                <w:rFonts w:hint="eastAsia"/>
                <w:color w:val="auto"/>
                <w:lang w:eastAsia="zh-CN"/>
              </w:rPr>
              <w:t>，</w:t>
            </w:r>
            <w:r>
              <w:rPr>
                <w:rFonts w:hint="eastAsia"/>
                <w:color w:val="auto"/>
                <w:lang w:val="en-US" w:eastAsia="zh-CN"/>
              </w:rPr>
              <w:t xml:space="preserve"> </w:t>
            </w:r>
            <w:r>
              <w:rPr>
                <w:rFonts w:hint="eastAsia"/>
                <w:color w:val="auto"/>
              </w:rPr>
              <w:t>环境温度：5-40C</w:t>
            </w:r>
            <w:r>
              <w:rPr>
                <w:rFonts w:hint="eastAsia"/>
                <w:color w:val="auto"/>
                <w:lang w:eastAsia="zh-CN"/>
              </w:rPr>
              <w:t>，</w:t>
            </w:r>
            <w:r>
              <w:rPr>
                <w:rFonts w:hint="eastAsia"/>
                <w:color w:val="auto"/>
              </w:rPr>
              <w:t>相对温度：80%</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6</w:t>
            </w:r>
            <w:r>
              <w:rPr>
                <w:rFonts w:hint="eastAsia"/>
                <w:color w:val="auto"/>
              </w:rPr>
              <w:t>.电源220V+22V 50Hz+1Hz</w:t>
            </w:r>
            <w:r>
              <w:rPr>
                <w:rFonts w:hint="eastAsia"/>
                <w:color w:val="auto"/>
                <w:lang w:eastAsia="zh-CN"/>
              </w:rPr>
              <w:t>，</w:t>
            </w:r>
            <w:r>
              <w:rPr>
                <w:rFonts w:hint="eastAsia"/>
                <w:color w:val="auto"/>
              </w:rPr>
              <w:t>紫外线波长253.7A</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7、</w:t>
            </w:r>
            <w:r>
              <w:rPr>
                <w:rFonts w:hint="eastAsia"/>
                <w:color w:val="auto"/>
              </w:rPr>
              <w:t>.电流电压220V 50Hz</w:t>
            </w:r>
            <w:r>
              <w:rPr>
                <w:rFonts w:hint="eastAsia"/>
                <w:color w:val="auto"/>
                <w:lang w:eastAsia="zh-CN"/>
              </w:rPr>
              <w:t>，</w:t>
            </w:r>
            <w:r>
              <w:rPr>
                <w:rFonts w:hint="eastAsia"/>
                <w:color w:val="auto"/>
              </w:rPr>
              <w:t>功率2×30W</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8.</w:t>
            </w:r>
            <w:r>
              <w:rPr>
                <w:rFonts w:hint="eastAsia"/>
                <w:color w:val="auto"/>
              </w:rPr>
              <w:t>灯臂调节角度ZXC-1型为 0-180°</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9</w:t>
            </w:r>
            <w:r>
              <w:rPr>
                <w:rFonts w:hint="eastAsia"/>
                <w:color w:val="auto"/>
              </w:rPr>
              <w:t>.定时范围：1-120分钟，其最大定时误差&lt;=15min</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台</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w:t>
            </w:r>
          </w:p>
        </w:tc>
      </w:tr>
      <w:tr>
        <w:tblPrEx>
          <w:tblCellMar>
            <w:top w:w="0" w:type="dxa"/>
            <w:left w:w="108" w:type="dxa"/>
            <w:bottom w:w="0" w:type="dxa"/>
            <w:right w:w="108" w:type="dxa"/>
          </w:tblCellMar>
        </w:tblPrEx>
        <w:trPr>
          <w:trHeight w:val="454"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40</w:t>
            </w:r>
          </w:p>
        </w:tc>
        <w:tc>
          <w:tcPr>
            <w:tcW w:w="548"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血液分析仪</w:t>
            </w:r>
          </w:p>
        </w:tc>
        <w:tc>
          <w:tcPr>
            <w:tcW w:w="3217"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1、工作原理：电阻抗法计数，无氰化物法检测HGB</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2、检测参数：21项参数，3个直方图</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3、标本用量：全血模式9μl，预稀释模式20μl</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4、测量模式：全血模式、预稀释模式，独立血红蛋白测量系统</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5、工作速度：</w:t>
            </w:r>
            <w:r>
              <w:rPr>
                <w:rFonts w:hint="eastAsia"/>
                <w:color w:val="auto"/>
                <w:lang w:val="en-US" w:eastAsia="zh-CN"/>
              </w:rPr>
              <w:t>70</w:t>
            </w:r>
            <w:r>
              <w:rPr>
                <w:rFonts w:hint="eastAsia"/>
                <w:color w:val="auto"/>
              </w:rPr>
              <w:t>样本/小时</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6、结果储存：50万条（结果+图形）</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7、*试剂系统：使用原厂配套试剂、校准品、质控品，可提供校准品溯源性证书；且原厂具备CNAS标准化实验室认证；</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8、排堵功能：具有正反冲、高压灼烧、浸泡等多种排堵方式</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9、报警提示：主界面具有WBC、RBC、PLT结果异常报警功能</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10、*显示屏：10.4寸彩色液晶触摸屏</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11、试剂管理：主机内置主要试剂</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12、*数据传输：4个USB接口，支持无线网卡功能，适配小型实验室搭建无线网络传输数据</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13、报告打印：打印中英文报告，格式可选，内置高效热敏打印机，可选USB接口打印机</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14、工作环境：自动适应110V-230V电源</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台</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tc>
      </w:tr>
      <w:tr>
        <w:tblPrEx>
          <w:tblCellMar>
            <w:top w:w="0" w:type="dxa"/>
            <w:left w:w="108" w:type="dxa"/>
            <w:bottom w:w="0" w:type="dxa"/>
            <w:right w:w="108" w:type="dxa"/>
          </w:tblCellMar>
        </w:tblPrEx>
        <w:trPr>
          <w:trHeight w:val="6214" w:hRule="atLeast"/>
          <w:jc w:val="center"/>
        </w:trPr>
        <w:tc>
          <w:tcPr>
            <w:tcW w:w="450"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41</w:t>
            </w:r>
          </w:p>
        </w:tc>
        <w:tc>
          <w:tcPr>
            <w:tcW w:w="548"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除颤仪</w:t>
            </w:r>
          </w:p>
        </w:tc>
        <w:tc>
          <w:tcPr>
            <w:tcW w:w="3217"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一、物理性能：</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1.整机重量（含电池）≤2.6kg</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2.设备具备便携把手，具备高便携性</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3.抗冲击/跌落性能：具备优异的抗冲击/跌落性能，机器六面均可承受≥1.5 m跌落冲击</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 xml:space="preserve">4．防尘防水级别：设备具有良好的防尘防水设计，防尘防水级别IP55 </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 xml:space="preserve">5．工作温度范围至少满足 -5ºC ～ 50ºC，且从室温环境下进入-20ºC 环境后，至少能工作60分钟 </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6．工作湿度范围至少满足 5% ～ 95% 非冷凝。</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7．工作海拔高度（大气压力）范围：-381 m ～ +4575 m.（57.0 kPa ～ 106.2 kPa）</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 xml:space="preserve"> 二、除颤性能：</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1.采用双相波技术，双相指数截断（BTE）波形，波形参数可根据病人阻抗进行自动补偿</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2.输出能量：成人最大能量可支持360J</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3．从开机到200J放电准备就绪用时＜7s</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4．开始AED分析到200J放电准备就绪时间＜5s</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三、除颤电极片：</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1.与机器配套的电极片，要有明显的指示粘贴部位标记，防止粘贴错误，粘贴无效时有语音提示。备用状态时电极片不裸露，取用AED过程中不散落。</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1.有效期： 5年。</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2.在待机状态，电极片与主机预先连接，节省了开机后插入电极片步骤，提高抢救效率</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3.电极片上具有电极片粘贴方式示意图</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5．主机上有电极片粘贴位置动画提示</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6．具有电极片有效期自检功能和电极片过期提示</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7．可自动识别成人、小儿电极片，并根据电极片类型自动选择对应的除颤能量</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8．提供智能语音播报。设备根据急救人员响应速度，智能提示急救人员除去病人的衣物、粘贴电极片。</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四、电池：</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 在室温温度环境下，电池待机寿命不少于4年</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2．在适合条件下，可支持350次200J除颤治疗或200次360J除颤治疗</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3.可检测电池低电量并给出报警提示，低电量报警后至少还可持续30分钟工作时间和至少10次200J除颤充放电（适合条件下）</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五、屏幕/操作：</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 xml:space="preserve">1.提供7英寸显示屏，支持动画指导用户执行急救操作 </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 彩色显示屏，分辨率不小于800×480 像素</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3.设备屏幕支持显示ECG波形</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4.设备能够根据环境光强度自动调节屏幕显示亮度，适应野外强光环境下使用</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5.设备能够根据环境噪音强度自动调节语音播放音量，适应急救现场嘈杂环境下使用</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6.提供中英文双语支持，包括界面显示和语音提示，可一键快速切换中英文，符合公共领域使用要求</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7.支持成人/小儿患者类型快速一键切换，可根据病人类型自动切换提示信息、除颤能量和六、CPR按压模式：</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CPR按压模式支持配置30:2,15:2和仅按压模式</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七、数据传输和存储：</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1.存储容量：设备的内部存储容量不小于1GB，可存储不少于1000份自检报告</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2．具备录音功能，可保存60分钟抢救现场录音</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3．数据存储：可存储ECG波形数据、事件数据、录音数据、急救数据、录音数据等</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4．支持USB接口，可通过外部USB闪存设备导出抢救记录数据</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八、设备维护与自检：</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1．设备具有用户自检和设备自检功能。</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2．支持每日、每周、每月、每季度的设备自检</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3．提供设备状态指示灯：根据自检结果，红灯/绿灯显示设备状态</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4．支持设备使用时实时自检和开机自检，检测主控模块、治疗模块、电源模块的状态</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九、配置：</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配置清单：自动体外除颤器、一次性免维护不可充电电池、一次性电极片、用户手册、快速操作指南。</w:t>
            </w:r>
          </w:p>
        </w:tc>
        <w:tc>
          <w:tcPr>
            <w:tcW w:w="392"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台</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　</w:t>
            </w:r>
          </w:p>
        </w:tc>
      </w:tr>
      <w:tr>
        <w:tblPrEx>
          <w:tblCellMar>
            <w:top w:w="0" w:type="dxa"/>
            <w:left w:w="108" w:type="dxa"/>
            <w:bottom w:w="0" w:type="dxa"/>
            <w:right w:w="108" w:type="dxa"/>
          </w:tblCellMar>
        </w:tblPrEx>
        <w:trPr>
          <w:trHeight w:val="1382" w:hRule="atLeast"/>
          <w:jc w:val="center"/>
        </w:trPr>
        <w:tc>
          <w:tcPr>
            <w:tcW w:w="450"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lang w:val="en-US" w:eastAsia="zh-CN"/>
              </w:rPr>
            </w:pPr>
            <w:r>
              <w:rPr>
                <w:rFonts w:hint="eastAsia"/>
                <w:color w:val="auto"/>
                <w:lang w:val="en-US" w:eastAsia="zh-CN"/>
              </w:rPr>
              <w:t>42</w:t>
            </w:r>
          </w:p>
        </w:tc>
        <w:tc>
          <w:tcPr>
            <w:tcW w:w="548"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心电图机</w:t>
            </w:r>
          </w:p>
        </w:tc>
        <w:tc>
          <w:tcPr>
            <w:tcW w:w="3217"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1.心电采集</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1.1信号输入：标准 12 导联心电信号同步采集</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1.2输入电路：浮地输入，具有抗除颤电击防护功能</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1.3耐极化电压：±550mV</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1.4时间常数：≥3.2s</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★1.5频率响应：0.05Hz～250Hz（-3db 以内），高精度，更适合采集儿童心电波形</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1.6噪声电平：≤15μv（峰峰值）</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★1.7增益类型： 自动增益，0.625，1.25，2.5，5，10/5，10，20/10，20，40 mm/mV，误差±2%</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1.8输入阻抗：≥30 MΩ（10Hz）</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 xml:space="preserve">1.9输入回路电流：≤0.1μA </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1.10患者漏电流：≤10μA</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1.11共模抑制比：&gt;115dB</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1.12采样率：8000Hz</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1.13标准灵敏度：10mm/mv±2%</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1.14灵敏阈：≤20μv（峰峰值）</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1.15定标电压：1 mV±5 %</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1.16A/D转换：24位</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1.17滤波功能：交流、基线漂移、肌电滤波器</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2.心电诊断及分析</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★2.1经欧盟CSE心电数据库认证，邦健CardioproTM心电分析算法在测量和分析时精度高，可靠性强</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★2.2QRS检测的灵敏度高达99%</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★2.3 0.01Hz的高通滤波器有助于无损ST段的测量和分析</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★2.4 节律记录时间：采集 30~300秒波形用于节律分析</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2.5测量参数:心室率，PR 间期，QRS 时限，QT/QTC 间期，P/QRS/T 轴，RV5/SV1 电压，RV5+SV1电压</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3.心电记录</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 xml:space="preserve">3.1记录方式：热点阵打印系统 </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3.2记录格式：1×12，1×12+1R</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 xml:space="preserve">3.3记录模式：自动、手动、上传 </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3.4记录速度：5 ，6.25 ，10 ，12.5 ，25 ，50 mm/s，误差≤5%</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3.5记录纸规格：50 mm 卷纸</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4.输入输出</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★4.1支持HL7接口协议，方便联网共享</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4.2支持外接U盘存储，使用扫码枪快速录入病人ID号</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★4.3灵活选择输出ECG 、XML 、JPEG 、DICOM、PDF多种数据格式</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5.资质认证</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5.1通过CE认证，通过FDA（510k）审核</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p>
        </w:tc>
        <w:tc>
          <w:tcPr>
            <w:tcW w:w="392"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台</w:t>
            </w:r>
          </w:p>
        </w:tc>
        <w:tc>
          <w:tcPr>
            <w:tcW w:w="392" w:type="dxa"/>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1</w:t>
            </w:r>
          </w:p>
          <w:p>
            <w:pPr>
              <w:keepNext w:val="0"/>
              <w:keepLines w:val="0"/>
              <w:pageBreakBefore w:val="0"/>
              <w:widowControl w:val="0"/>
              <w:kinsoku/>
              <w:wordWrap/>
              <w:overflowPunct/>
              <w:topLinePunct w:val="0"/>
              <w:autoSpaceDE/>
              <w:autoSpaceDN/>
              <w:bidi w:val="0"/>
              <w:snapToGrid/>
              <w:spacing w:beforeAutospacing="0" w:afterAutospacing="0" w:line="320" w:lineRule="exact"/>
              <w:rPr>
                <w:rFonts w:hint="eastAsia"/>
                <w:color w:val="auto"/>
              </w:rPr>
            </w:pPr>
            <w:r>
              <w:rPr>
                <w:rFonts w:hint="eastAsia"/>
                <w:color w:val="auto"/>
              </w:rPr>
              <w:t>　</w:t>
            </w:r>
          </w:p>
        </w:tc>
      </w:tr>
    </w:tbl>
    <w:p>
      <w:pPr>
        <w:keepNext w:val="0"/>
        <w:keepLines w:val="0"/>
        <w:pageBreakBefore w:val="0"/>
        <w:kinsoku/>
        <w:wordWrap/>
        <w:overflowPunct/>
        <w:topLinePunct w:val="0"/>
        <w:autoSpaceDE/>
        <w:autoSpaceDN/>
        <w:bidi w:val="0"/>
        <w:spacing w:beforeAutospacing="0" w:afterAutospacing="0" w:line="480" w:lineRule="exact"/>
        <w:ind w:firstLine="422" w:firstLineChars="200"/>
        <w:jc w:val="left"/>
        <w:rPr>
          <w:rFonts w:hint="eastAsia" w:ascii="宋体" w:hAnsi="宋体"/>
          <w:b/>
          <w:bCs/>
          <w:color w:val="auto"/>
          <w:sz w:val="21"/>
          <w:szCs w:val="21"/>
          <w:lang w:eastAsia="zh-CN"/>
        </w:rPr>
      </w:pPr>
      <w:r>
        <w:rPr>
          <w:rFonts w:hint="eastAsia" w:ascii="宋体" w:hAnsi="宋体"/>
          <w:b/>
          <w:bCs/>
          <w:color w:val="auto"/>
          <w:sz w:val="21"/>
          <w:szCs w:val="21"/>
          <w:lang w:eastAsia="zh-CN"/>
        </w:rPr>
        <w:t>备注：</w:t>
      </w:r>
    </w:p>
    <w:p>
      <w:pPr>
        <w:keepNext w:val="0"/>
        <w:keepLines w:val="0"/>
        <w:pageBreakBefore w:val="0"/>
        <w:kinsoku/>
        <w:wordWrap/>
        <w:overflowPunct/>
        <w:topLinePunct w:val="0"/>
        <w:autoSpaceDE/>
        <w:autoSpaceDN/>
        <w:bidi w:val="0"/>
        <w:spacing w:beforeAutospacing="0" w:afterAutospacing="0" w:line="480" w:lineRule="exact"/>
        <w:ind w:firstLine="422" w:firstLineChars="200"/>
        <w:jc w:val="left"/>
        <w:rPr>
          <w:rFonts w:hint="eastAsia" w:ascii="宋体" w:hAnsi="宋体"/>
          <w:b/>
          <w:bCs/>
          <w:color w:val="auto"/>
          <w:sz w:val="21"/>
          <w:szCs w:val="21"/>
          <w:lang w:eastAsia="zh-CN"/>
        </w:rPr>
      </w:pPr>
      <w:r>
        <w:rPr>
          <w:rFonts w:hint="eastAsia" w:ascii="宋体" w:hAnsi="宋体"/>
          <w:b/>
          <w:bCs/>
          <w:color w:val="auto"/>
          <w:sz w:val="21"/>
          <w:szCs w:val="21"/>
          <w:lang w:eastAsia="zh-CN"/>
        </w:rPr>
        <w:t>1、带“★”号项为关键性条款，若有负偏离视为无效投标。</w:t>
      </w:r>
    </w:p>
    <w:p>
      <w:pPr>
        <w:keepNext w:val="0"/>
        <w:keepLines w:val="0"/>
        <w:pageBreakBefore w:val="0"/>
        <w:kinsoku/>
        <w:wordWrap/>
        <w:overflowPunct/>
        <w:topLinePunct w:val="0"/>
        <w:autoSpaceDE/>
        <w:autoSpaceDN/>
        <w:bidi w:val="0"/>
        <w:spacing w:beforeAutospacing="0" w:afterAutospacing="0" w:line="480" w:lineRule="exact"/>
        <w:ind w:firstLine="422" w:firstLineChars="200"/>
        <w:jc w:val="left"/>
        <w:rPr>
          <w:rFonts w:hint="eastAsia" w:ascii="宋体" w:hAnsi="宋体"/>
          <w:b/>
          <w:bCs/>
          <w:color w:val="auto"/>
          <w:sz w:val="21"/>
          <w:szCs w:val="21"/>
          <w:lang w:eastAsia="zh-CN"/>
        </w:rPr>
      </w:pPr>
      <w:r>
        <w:rPr>
          <w:rFonts w:hint="eastAsia" w:ascii="宋体" w:hAnsi="宋体"/>
          <w:b/>
          <w:bCs/>
          <w:color w:val="auto"/>
          <w:sz w:val="21"/>
          <w:szCs w:val="21"/>
          <w:lang w:eastAsia="zh-CN"/>
        </w:rPr>
        <w:t>2、非“▲”号项的条款，如出现3项及以上负偏离视为无效投标。</w:t>
      </w:r>
    </w:p>
    <w:p>
      <w:pPr>
        <w:keepNext w:val="0"/>
        <w:keepLines w:val="0"/>
        <w:pageBreakBefore w:val="0"/>
        <w:kinsoku/>
        <w:wordWrap/>
        <w:overflowPunct/>
        <w:topLinePunct w:val="0"/>
        <w:autoSpaceDE/>
        <w:autoSpaceDN/>
        <w:bidi w:val="0"/>
        <w:spacing w:beforeAutospacing="0" w:afterAutospacing="0" w:line="480" w:lineRule="exact"/>
        <w:rPr>
          <w:rFonts w:hint="eastAsia" w:ascii="宋体" w:hAnsi="宋体"/>
          <w:b/>
          <w:color w:val="auto"/>
          <w:sz w:val="21"/>
          <w:szCs w:val="21"/>
          <w:lang w:eastAsia="zh-CN"/>
        </w:rPr>
      </w:pPr>
      <w:r>
        <w:rPr>
          <w:rFonts w:hint="eastAsia" w:ascii="宋体" w:hAnsi="宋体"/>
          <w:b/>
          <w:color w:val="auto"/>
          <w:sz w:val="21"/>
          <w:szCs w:val="21"/>
          <w:lang w:eastAsia="zh-CN"/>
        </w:rPr>
        <w:t>三、</w:t>
      </w:r>
      <w:r>
        <w:rPr>
          <w:rFonts w:ascii="宋体" w:hAnsi="宋体"/>
          <w:b/>
          <w:color w:val="auto"/>
          <w:sz w:val="21"/>
          <w:szCs w:val="21"/>
        </w:rPr>
        <w:t>服务要求</w:t>
      </w:r>
    </w:p>
    <w:p>
      <w:pPr>
        <w:keepNext w:val="0"/>
        <w:keepLines w:val="0"/>
        <w:pageBreakBefore w:val="0"/>
        <w:widowControl w:val="0"/>
        <w:kinsoku/>
        <w:wordWrap/>
        <w:overflowPunct/>
        <w:topLinePunct w:val="0"/>
        <w:autoSpaceDE/>
        <w:autoSpaceDN/>
        <w:bidi w:val="0"/>
        <w:snapToGrid/>
        <w:spacing w:beforeAutospacing="0" w:afterAutospacing="0" w:line="480" w:lineRule="exact"/>
        <w:ind w:firstLine="420" w:firstLineChars="200"/>
        <w:jc w:val="left"/>
        <w:rPr>
          <w:rFonts w:ascii="宋体" w:hAnsi="宋体"/>
          <w:color w:val="auto"/>
          <w:sz w:val="21"/>
          <w:szCs w:val="21"/>
        </w:rPr>
      </w:pPr>
      <w:r>
        <w:rPr>
          <w:rFonts w:ascii="宋体" w:hAnsi="宋体"/>
          <w:color w:val="auto"/>
          <w:sz w:val="21"/>
          <w:szCs w:val="21"/>
        </w:rPr>
        <w:t>1、安装和调试：</w:t>
      </w:r>
      <w:r>
        <w:rPr>
          <w:rFonts w:hint="eastAsia" w:ascii="宋体" w:hAnsi="宋体"/>
          <w:color w:val="auto"/>
          <w:sz w:val="21"/>
          <w:szCs w:val="21"/>
          <w:lang w:eastAsia="zh-CN"/>
        </w:rPr>
        <w:t>成交供应商</w:t>
      </w:r>
      <w:r>
        <w:rPr>
          <w:rFonts w:ascii="宋体" w:hAnsi="宋体"/>
          <w:color w:val="auto"/>
          <w:sz w:val="21"/>
          <w:szCs w:val="21"/>
        </w:rPr>
        <w:t>应负责将货物运送到用户指定地点并负责设备安装、调试。设备安装、调试所需工具、安装材料等均由</w:t>
      </w:r>
      <w:r>
        <w:rPr>
          <w:rFonts w:hint="eastAsia" w:ascii="宋体" w:hAnsi="宋体"/>
          <w:color w:val="auto"/>
          <w:sz w:val="21"/>
          <w:szCs w:val="21"/>
          <w:lang w:eastAsia="zh-CN"/>
        </w:rPr>
        <w:t>成交供应商</w:t>
      </w:r>
      <w:r>
        <w:rPr>
          <w:rFonts w:ascii="宋体" w:hAnsi="宋体"/>
          <w:color w:val="auto"/>
          <w:sz w:val="21"/>
          <w:szCs w:val="21"/>
        </w:rPr>
        <w:t>负责提供。提供必要的检验设备，进行各项数据测试，并向采购人提供安装、调试报告和相关的测试数据。经最终验收合格后，交付采购人使用。</w:t>
      </w:r>
    </w:p>
    <w:p>
      <w:pPr>
        <w:keepNext w:val="0"/>
        <w:keepLines w:val="0"/>
        <w:pageBreakBefore w:val="0"/>
        <w:widowControl w:val="0"/>
        <w:kinsoku/>
        <w:wordWrap/>
        <w:overflowPunct/>
        <w:topLinePunct w:val="0"/>
        <w:autoSpaceDE/>
        <w:autoSpaceDN/>
        <w:bidi w:val="0"/>
        <w:snapToGrid/>
        <w:spacing w:beforeAutospacing="0" w:afterAutospacing="0" w:line="480" w:lineRule="exact"/>
        <w:ind w:firstLine="420" w:firstLineChars="200"/>
        <w:jc w:val="left"/>
        <w:rPr>
          <w:rFonts w:ascii="宋体" w:hAnsi="宋体"/>
          <w:color w:val="auto"/>
          <w:sz w:val="21"/>
          <w:szCs w:val="21"/>
        </w:rPr>
      </w:pPr>
      <w:r>
        <w:rPr>
          <w:rFonts w:ascii="宋体" w:hAnsi="宋体"/>
          <w:color w:val="auto"/>
          <w:sz w:val="21"/>
          <w:szCs w:val="21"/>
        </w:rPr>
        <w:t>2、保修期自验收合格之日算起，质保期内，所有设备维修服务均为上门服务，由此产生的费用均不再收取，保修期外有偿维修只收取零配件成本费用。中标人应以优良的服务态度，设备停产后5年内能供应备件。</w:t>
      </w:r>
    </w:p>
    <w:p>
      <w:pPr>
        <w:keepNext w:val="0"/>
        <w:keepLines w:val="0"/>
        <w:pageBreakBefore w:val="0"/>
        <w:widowControl w:val="0"/>
        <w:kinsoku/>
        <w:wordWrap/>
        <w:overflowPunct/>
        <w:topLinePunct w:val="0"/>
        <w:autoSpaceDE/>
        <w:autoSpaceDN/>
        <w:bidi w:val="0"/>
        <w:snapToGrid/>
        <w:spacing w:beforeAutospacing="0" w:afterAutospacing="0" w:line="480" w:lineRule="exact"/>
        <w:ind w:firstLine="420" w:firstLineChars="200"/>
        <w:jc w:val="left"/>
        <w:rPr>
          <w:rFonts w:hint="eastAsia" w:ascii="宋体" w:hAnsi="宋体"/>
          <w:color w:val="auto"/>
          <w:sz w:val="21"/>
          <w:szCs w:val="21"/>
          <w:lang w:val="en-US" w:eastAsia="zh-CN"/>
        </w:rPr>
      </w:pPr>
      <w:r>
        <w:rPr>
          <w:rFonts w:hint="eastAsia" w:ascii="宋体" w:hAnsi="宋体"/>
          <w:color w:val="auto"/>
          <w:sz w:val="21"/>
          <w:szCs w:val="21"/>
          <w:lang w:val="en-US" w:eastAsia="zh-CN"/>
        </w:rPr>
        <w:t>3、</w:t>
      </w:r>
      <w:r>
        <w:rPr>
          <w:rFonts w:ascii="宋体" w:hAnsi="宋体"/>
          <w:color w:val="auto"/>
          <w:sz w:val="21"/>
          <w:szCs w:val="21"/>
        </w:rPr>
        <w:t>根据投标货物特点及技术要求，供应商应对采购人的技术、管理人员进行有关设备使用操作、设备维修、故障排除、保养等方面进行现场技术培训，直至使受训人员能熟练独立操作。免费提供业务培训，现场培训由供应商负责在设备安装现场对采购人技术、管理人员组织技术培训，人数不限。</w:t>
      </w:r>
    </w:p>
    <w:p>
      <w:pPr>
        <w:keepNext w:val="0"/>
        <w:keepLines w:val="0"/>
        <w:pageBreakBefore w:val="0"/>
        <w:widowControl w:val="0"/>
        <w:kinsoku/>
        <w:wordWrap/>
        <w:overflowPunct/>
        <w:topLinePunct w:val="0"/>
        <w:autoSpaceDE/>
        <w:autoSpaceDN/>
        <w:bidi w:val="0"/>
        <w:snapToGrid/>
        <w:spacing w:beforeAutospacing="0" w:afterAutospacing="0" w:line="480" w:lineRule="exact"/>
        <w:ind w:firstLine="420" w:firstLineChars="200"/>
        <w:jc w:val="left"/>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4、成交供应商的产品有残次、损坏现象，成交供应商应无条件更换新产品，并补偿因此给采购人带来的损失。此部分费用视为已包含在成交供应商的报价之中，且并不因此影响货物的交付时间。成交供应商的产品不符合采购文件对产品规格型号要求的，采购人有权取消其成交资格。</w:t>
      </w:r>
    </w:p>
    <w:p>
      <w:pPr>
        <w:keepNext w:val="0"/>
        <w:keepLines w:val="0"/>
        <w:pageBreakBefore w:val="0"/>
        <w:widowControl w:val="0"/>
        <w:kinsoku/>
        <w:wordWrap/>
        <w:overflowPunct/>
        <w:topLinePunct w:val="0"/>
        <w:autoSpaceDE/>
        <w:autoSpaceDN/>
        <w:bidi w:val="0"/>
        <w:snapToGrid/>
        <w:spacing w:beforeAutospacing="0" w:afterAutospacing="0" w:line="480" w:lineRule="exact"/>
        <w:ind w:firstLine="420" w:firstLineChars="200"/>
        <w:jc w:val="center"/>
        <w:outlineLvl w:val="0"/>
        <w:rPr>
          <w:rFonts w:hint="eastAsia" w:ascii="宋体" w:hAnsi="宋体" w:eastAsia="宋体"/>
          <w:color w:val="auto"/>
          <w:sz w:val="21"/>
          <w:szCs w:val="21"/>
        </w:rPr>
      </w:pPr>
      <w:bookmarkStart w:id="15" w:name="_Toc19053"/>
      <w:bookmarkEnd w:id="15"/>
      <w:bookmarkStart w:id="16" w:name="_Toc1506"/>
      <w:bookmarkEnd w:id="16"/>
      <w:r>
        <w:rPr>
          <w:rFonts w:hint="eastAsia" w:ascii="宋体" w:hAnsi="宋体" w:eastAsia="宋体"/>
          <w:color w:val="auto"/>
          <w:sz w:val="21"/>
          <w:szCs w:val="21"/>
        </w:rPr>
        <w:br w:type="page"/>
      </w:r>
      <w:r>
        <w:rPr>
          <w:rStyle w:val="16"/>
          <w:rFonts w:hint="eastAsia"/>
          <w:color w:val="auto"/>
          <w:lang w:val="en-US" w:eastAsia="zh-CN"/>
        </w:rPr>
        <w:t>第五部分  合同授予</w:t>
      </w:r>
    </w:p>
    <w:p>
      <w:pPr>
        <w:keepNext w:val="0"/>
        <w:keepLines w:val="0"/>
        <w:pageBreakBefore w:val="0"/>
        <w:widowControl/>
        <w:kinsoku/>
        <w:wordWrap/>
        <w:overflowPunct/>
        <w:topLinePunct w:val="0"/>
        <w:autoSpaceDE/>
        <w:autoSpaceDN/>
        <w:bidi w:val="0"/>
        <w:spacing w:beforeAutospacing="0" w:afterAutospacing="0" w:line="480" w:lineRule="exact"/>
        <w:ind w:firstLine="420" w:firstLineChars="200"/>
        <w:rPr>
          <w:rFonts w:hint="eastAsia" w:ascii="宋体" w:hAnsi="宋体"/>
          <w:color w:val="auto"/>
          <w:kern w:val="0"/>
          <w:sz w:val="21"/>
          <w:szCs w:val="21"/>
          <w:lang w:bidi="ar"/>
        </w:rPr>
      </w:pPr>
      <w:r>
        <w:rPr>
          <w:rFonts w:hint="eastAsia" w:ascii="宋体" w:hAnsi="宋体"/>
          <w:color w:val="auto"/>
          <w:kern w:val="0"/>
          <w:sz w:val="21"/>
          <w:szCs w:val="21"/>
          <w:lang w:bidi="ar"/>
        </w:rPr>
        <w:t>一、签订合同：</w:t>
      </w:r>
    </w:p>
    <w:p>
      <w:pPr>
        <w:keepNext w:val="0"/>
        <w:keepLines w:val="0"/>
        <w:pageBreakBefore w:val="0"/>
        <w:widowControl/>
        <w:kinsoku/>
        <w:wordWrap/>
        <w:overflowPunct/>
        <w:topLinePunct w:val="0"/>
        <w:autoSpaceDE/>
        <w:autoSpaceDN/>
        <w:bidi w:val="0"/>
        <w:spacing w:beforeAutospacing="0" w:afterAutospacing="0" w:line="480" w:lineRule="exact"/>
        <w:ind w:firstLine="420" w:firstLineChars="200"/>
        <w:rPr>
          <w:rFonts w:hint="eastAsia" w:ascii="宋体" w:hAnsi="宋体"/>
          <w:bCs/>
          <w:color w:val="auto"/>
          <w:kern w:val="0"/>
          <w:sz w:val="21"/>
          <w:szCs w:val="21"/>
          <w:lang w:bidi="ar"/>
        </w:rPr>
      </w:pPr>
      <w:r>
        <w:rPr>
          <w:rFonts w:hint="eastAsia" w:ascii="宋体" w:hAnsi="宋体"/>
          <w:bCs/>
          <w:color w:val="auto"/>
          <w:kern w:val="0"/>
          <w:sz w:val="21"/>
          <w:szCs w:val="21"/>
          <w:lang w:bidi="ar"/>
        </w:rPr>
        <w:t>成交供应商应在接到采购人或代理机构成交通知书之日起</w:t>
      </w:r>
      <w:r>
        <w:rPr>
          <w:rFonts w:hint="eastAsia" w:ascii="宋体" w:hAnsi="宋体"/>
          <w:bCs/>
          <w:color w:val="auto"/>
          <w:kern w:val="0"/>
          <w:sz w:val="21"/>
          <w:szCs w:val="21"/>
          <w:lang w:val="en-US" w:eastAsia="zh-CN" w:bidi="ar"/>
        </w:rPr>
        <w:t>10个工作</w:t>
      </w:r>
      <w:r>
        <w:rPr>
          <w:rFonts w:hint="eastAsia" w:ascii="宋体" w:hAnsi="宋体"/>
          <w:bCs/>
          <w:color w:val="auto"/>
          <w:kern w:val="0"/>
          <w:sz w:val="21"/>
          <w:szCs w:val="21"/>
          <w:lang w:bidi="ar"/>
        </w:rPr>
        <w:t>日内，按磋商文件要求签订采购合同，合同签订的内容不能超出磋商文件、成交供应商的响应文件、</w:t>
      </w:r>
      <w:r>
        <w:rPr>
          <w:rFonts w:hint="eastAsia" w:ascii="宋体" w:hAnsi="宋体"/>
          <w:bCs/>
          <w:color w:val="auto"/>
          <w:sz w:val="21"/>
          <w:szCs w:val="21"/>
          <w:lang w:bidi="ar"/>
        </w:rPr>
        <w:t>磋商</w:t>
      </w:r>
      <w:r>
        <w:rPr>
          <w:rFonts w:hint="eastAsia" w:ascii="宋体" w:hAnsi="宋体"/>
          <w:bCs/>
          <w:color w:val="auto"/>
          <w:kern w:val="0"/>
          <w:sz w:val="21"/>
          <w:szCs w:val="21"/>
          <w:lang w:bidi="ar"/>
        </w:rPr>
        <w:t>过程中的补充承诺、最终书面报价等的实质性内容。因供应商原因不能与采购人签订合同的，视为供应商放弃成交资格。</w:t>
      </w:r>
    </w:p>
    <w:p>
      <w:pPr>
        <w:spacing w:before="261" w:beforeAutospacing="0" w:afterAutospacing="0" w:line="764" w:lineRule="exact"/>
        <w:jc w:val="center"/>
        <w:rPr>
          <w:rFonts w:hint="eastAsia" w:ascii="宋体" w:hAnsi="宋体"/>
          <w:color w:val="auto"/>
          <w:sz w:val="21"/>
          <w:szCs w:val="21"/>
          <w:lang w:bidi="ar"/>
        </w:rPr>
      </w:pPr>
      <w:r>
        <w:rPr>
          <w:rFonts w:hint="eastAsia" w:ascii="宋体" w:hAnsi="宋体"/>
          <w:color w:val="auto"/>
          <w:sz w:val="21"/>
          <w:szCs w:val="21"/>
          <w:lang w:bidi="ar"/>
        </w:rPr>
        <w:br w:type="page"/>
      </w:r>
      <w:r>
        <w:rPr>
          <w:rFonts w:hint="eastAsia"/>
          <w:b/>
          <w:color w:val="auto"/>
          <w:spacing w:val="43"/>
          <w:sz w:val="48"/>
        </w:rPr>
        <w:t>采 购 合 同 书</w:t>
      </w:r>
    </w:p>
    <w:p>
      <w:pPr>
        <w:jc w:val="center"/>
        <w:rPr>
          <w:color w:val="auto"/>
        </w:rPr>
      </w:pPr>
    </w:p>
    <w:p>
      <w:pPr>
        <w:jc w:val="center"/>
        <w:rPr>
          <w:color w:val="auto"/>
        </w:rPr>
      </w:pPr>
      <w:r>
        <w:rPr>
          <w:color w:val="auto"/>
        </w:rPr>
        <w:t>（具体合同条款内容由采购人与成交供应商在签订合同时商定）</w:t>
      </w:r>
    </w:p>
    <w:p>
      <w:pPr>
        <w:pStyle w:val="35"/>
        <w:rPr>
          <w:b/>
          <w:color w:val="auto"/>
          <w:sz w:val="28"/>
        </w:rPr>
      </w:pPr>
    </w:p>
    <w:p>
      <w:pPr>
        <w:pStyle w:val="35"/>
        <w:rPr>
          <w:rFonts w:ascii="Microsoft YaHei UI"/>
          <w:b/>
          <w:color w:val="auto"/>
          <w:sz w:val="28"/>
        </w:rPr>
      </w:pPr>
    </w:p>
    <w:p>
      <w:pPr>
        <w:tabs>
          <w:tab w:val="left" w:pos="7480"/>
        </w:tabs>
        <w:spacing w:beforeAutospacing="0" w:afterAutospacing="0" w:line="360" w:lineRule="auto"/>
        <w:ind w:left="2200" w:right="2971"/>
        <w:jc w:val="both"/>
        <w:rPr>
          <w:rFonts w:hint="eastAsia"/>
          <w:color w:val="auto"/>
          <w:sz w:val="28"/>
        </w:rPr>
      </w:pPr>
      <w:r>
        <w:rPr>
          <w:rFonts w:hint="eastAsia"/>
          <w:color w:val="auto"/>
          <w:sz w:val="28"/>
        </w:rPr>
        <w:t>项目名称：</w:t>
      </w:r>
      <w:r>
        <w:rPr>
          <w:color w:val="auto"/>
          <w:sz w:val="28"/>
        </w:rPr>
        <w:tab/>
      </w:r>
    </w:p>
    <w:p>
      <w:pPr>
        <w:pStyle w:val="35"/>
        <w:rPr>
          <w:rFonts w:ascii="Microsoft YaHei UI"/>
          <w:b/>
          <w:color w:val="auto"/>
          <w:sz w:val="28"/>
        </w:rPr>
      </w:pPr>
    </w:p>
    <w:p>
      <w:pPr>
        <w:pStyle w:val="35"/>
        <w:rPr>
          <w:rFonts w:ascii="Microsoft YaHei UI"/>
          <w:b/>
          <w:color w:val="auto"/>
          <w:sz w:val="28"/>
        </w:rPr>
      </w:pPr>
    </w:p>
    <w:p>
      <w:pPr>
        <w:pStyle w:val="35"/>
        <w:rPr>
          <w:rFonts w:ascii="Microsoft YaHei UI"/>
          <w:b/>
          <w:color w:val="auto"/>
          <w:sz w:val="28"/>
        </w:rPr>
      </w:pPr>
    </w:p>
    <w:p>
      <w:pPr>
        <w:pStyle w:val="35"/>
        <w:rPr>
          <w:rFonts w:ascii="Microsoft YaHei UI"/>
          <w:b/>
          <w:color w:val="auto"/>
          <w:sz w:val="28"/>
        </w:rPr>
      </w:pPr>
    </w:p>
    <w:p>
      <w:pPr>
        <w:pStyle w:val="35"/>
        <w:rPr>
          <w:rFonts w:ascii="Microsoft YaHei UI"/>
          <w:b/>
          <w:color w:val="auto"/>
          <w:sz w:val="28"/>
        </w:rPr>
      </w:pPr>
    </w:p>
    <w:p>
      <w:pPr>
        <w:pStyle w:val="35"/>
        <w:rPr>
          <w:rFonts w:ascii="Microsoft YaHei UI"/>
          <w:b/>
          <w:color w:val="auto"/>
          <w:sz w:val="28"/>
        </w:rPr>
      </w:pPr>
    </w:p>
    <w:p>
      <w:pPr>
        <w:pStyle w:val="35"/>
        <w:rPr>
          <w:rFonts w:ascii="Microsoft YaHei UI"/>
          <w:b/>
          <w:color w:val="auto"/>
          <w:sz w:val="28"/>
        </w:rPr>
      </w:pPr>
    </w:p>
    <w:p>
      <w:pPr>
        <w:pStyle w:val="35"/>
        <w:rPr>
          <w:rFonts w:ascii="Microsoft YaHei UI"/>
          <w:b/>
          <w:color w:val="auto"/>
          <w:sz w:val="28"/>
        </w:rPr>
      </w:pPr>
    </w:p>
    <w:p>
      <w:pPr>
        <w:pStyle w:val="35"/>
        <w:rPr>
          <w:rFonts w:ascii="Microsoft YaHei UI"/>
          <w:b/>
          <w:color w:val="auto"/>
          <w:sz w:val="28"/>
        </w:rPr>
      </w:pPr>
    </w:p>
    <w:p>
      <w:pPr>
        <w:pStyle w:val="35"/>
        <w:rPr>
          <w:rFonts w:ascii="Microsoft YaHei UI"/>
          <w:b/>
          <w:color w:val="auto"/>
          <w:sz w:val="28"/>
        </w:rPr>
      </w:pPr>
    </w:p>
    <w:p>
      <w:pPr>
        <w:pStyle w:val="35"/>
        <w:rPr>
          <w:rFonts w:ascii="Microsoft YaHei UI"/>
          <w:b/>
          <w:color w:val="auto"/>
          <w:sz w:val="28"/>
        </w:rPr>
      </w:pPr>
    </w:p>
    <w:p>
      <w:pPr>
        <w:tabs>
          <w:tab w:val="left" w:pos="8032"/>
        </w:tabs>
        <w:spacing w:beforeAutospacing="0" w:afterAutospacing="0" w:line="360" w:lineRule="auto"/>
        <w:ind w:left="2200" w:right="2971"/>
        <w:jc w:val="both"/>
        <w:rPr>
          <w:rFonts w:hint="eastAsia"/>
          <w:color w:val="auto"/>
          <w:sz w:val="28"/>
        </w:rPr>
      </w:pPr>
      <w:r>
        <w:rPr>
          <w:rFonts w:hint="eastAsia"/>
          <w:color w:val="auto"/>
          <w:sz w:val="28"/>
        </w:rPr>
        <w:t>甲方（采购人）：</w:t>
      </w:r>
      <w:r>
        <w:rPr>
          <w:color w:val="auto"/>
          <w:sz w:val="28"/>
        </w:rPr>
        <w:tab/>
      </w:r>
      <w:r>
        <w:rPr>
          <w:rFonts w:hint="eastAsia"/>
          <w:color w:val="auto"/>
          <w:sz w:val="28"/>
        </w:rPr>
        <w:t xml:space="preserve">  </w:t>
      </w:r>
    </w:p>
    <w:p>
      <w:pPr>
        <w:tabs>
          <w:tab w:val="left" w:pos="8032"/>
        </w:tabs>
        <w:spacing w:beforeAutospacing="0" w:afterAutospacing="0" w:line="360" w:lineRule="auto"/>
        <w:ind w:left="2200" w:right="2971"/>
        <w:jc w:val="both"/>
        <w:rPr>
          <w:rFonts w:hint="eastAsia"/>
          <w:color w:val="auto"/>
          <w:sz w:val="28"/>
        </w:rPr>
      </w:pPr>
      <w:r>
        <w:rPr>
          <w:rFonts w:hint="eastAsia"/>
          <w:color w:val="auto"/>
          <w:sz w:val="28"/>
        </w:rPr>
        <w:t>乙方（成交人）：</w:t>
      </w:r>
      <w:r>
        <w:rPr>
          <w:color w:val="auto"/>
          <w:sz w:val="28"/>
        </w:rPr>
        <w:t xml:space="preserve"> </w:t>
      </w:r>
      <w:r>
        <w:rPr>
          <w:color w:val="auto"/>
          <w:sz w:val="28"/>
        </w:rPr>
        <w:tab/>
      </w:r>
    </w:p>
    <w:p>
      <w:pPr>
        <w:pStyle w:val="35"/>
        <w:rPr>
          <w:b/>
          <w:color w:val="auto"/>
          <w:sz w:val="20"/>
        </w:rPr>
      </w:pPr>
    </w:p>
    <w:p>
      <w:pPr>
        <w:tabs>
          <w:tab w:val="left" w:pos="2169"/>
        </w:tabs>
        <w:spacing w:beforeAutospacing="0" w:afterAutospacing="0" w:line="541" w:lineRule="exact"/>
        <w:jc w:val="center"/>
        <w:rPr>
          <w:rFonts w:hint="eastAsia"/>
          <w:color w:val="auto"/>
          <w:sz w:val="36"/>
        </w:rPr>
      </w:pPr>
      <w:r>
        <w:rPr>
          <w:rFonts w:hint="eastAsia"/>
          <w:color w:val="auto"/>
          <w:sz w:val="36"/>
        </w:rPr>
        <w:t>二〇二</w:t>
      </w:r>
      <w:r>
        <w:rPr>
          <w:rFonts w:hint="eastAsia"/>
          <w:color w:val="auto"/>
          <w:sz w:val="36"/>
          <w:lang w:eastAsia="zh-CN"/>
        </w:rPr>
        <w:t>三</w:t>
      </w:r>
      <w:r>
        <w:rPr>
          <w:rFonts w:hint="eastAsia"/>
          <w:color w:val="auto"/>
          <w:sz w:val="36"/>
        </w:rPr>
        <w:t>年</w:t>
      </w:r>
      <w:r>
        <w:rPr>
          <w:rFonts w:hint="eastAsia"/>
          <w:color w:val="auto"/>
          <w:sz w:val="36"/>
        </w:rPr>
        <w:tab/>
      </w:r>
      <w:r>
        <w:rPr>
          <w:rFonts w:hint="eastAsia"/>
          <w:color w:val="auto"/>
          <w:sz w:val="36"/>
        </w:rPr>
        <w:t>月</w:t>
      </w:r>
    </w:p>
    <w:p>
      <w:pPr>
        <w:spacing w:beforeAutospacing="0" w:afterAutospacing="0" w:line="541" w:lineRule="exact"/>
        <w:jc w:val="center"/>
        <w:rPr>
          <w:rFonts w:ascii="Microsoft YaHei UI" w:eastAsia="Microsoft YaHei UI"/>
          <w:color w:val="auto"/>
          <w:sz w:val="36"/>
        </w:rPr>
      </w:pPr>
    </w:p>
    <w:p>
      <w:pPr>
        <w:spacing w:beforeAutospacing="0" w:afterAutospacing="0" w:line="541" w:lineRule="exact"/>
        <w:jc w:val="center"/>
        <w:rPr>
          <w:rFonts w:ascii="Microsoft YaHei UI" w:eastAsia="Microsoft YaHei UI"/>
          <w:color w:val="auto"/>
          <w:sz w:val="36"/>
        </w:rPr>
      </w:pPr>
    </w:p>
    <w:p>
      <w:pPr>
        <w:spacing w:beforeAutospacing="0" w:afterAutospacing="0" w:line="541" w:lineRule="exact"/>
        <w:jc w:val="center"/>
        <w:rPr>
          <w:rFonts w:ascii="Microsoft YaHei UI" w:eastAsia="Microsoft YaHei UI"/>
          <w:color w:val="auto"/>
          <w:sz w:val="36"/>
        </w:rPr>
      </w:pPr>
    </w:p>
    <w:p>
      <w:pPr>
        <w:jc w:val="center"/>
        <w:rPr>
          <w:rFonts w:hint="eastAsia" w:ascii="新宋体" w:hAnsi="新宋体" w:eastAsia="新宋体"/>
          <w:b/>
          <w:color w:val="auto"/>
          <w:sz w:val="44"/>
        </w:rPr>
      </w:pPr>
      <w:r>
        <w:rPr>
          <w:rFonts w:hint="eastAsia" w:ascii="新宋体" w:hAnsi="新宋体" w:eastAsia="新宋体"/>
          <w:b/>
          <w:color w:val="auto"/>
          <w:sz w:val="44"/>
        </w:rPr>
        <w:t>合  同  书</w:t>
      </w:r>
    </w:p>
    <w:p>
      <w:pPr>
        <w:spacing w:beforeAutospacing="0" w:afterAutospacing="0" w:line="480" w:lineRule="exact"/>
        <w:ind w:firstLine="482" w:firstLineChars="200"/>
        <w:rPr>
          <w:rFonts w:hint="eastAsia" w:ascii="新宋体" w:hAnsi="新宋体" w:eastAsia="新宋体"/>
          <w:b/>
          <w:color w:val="auto"/>
          <w:sz w:val="24"/>
        </w:rPr>
      </w:pPr>
      <w:r>
        <w:rPr>
          <w:rFonts w:hint="eastAsia" w:ascii="新宋体" w:hAnsi="新宋体" w:eastAsia="新宋体"/>
          <w:b/>
          <w:color w:val="auto"/>
          <w:sz w:val="24"/>
        </w:rPr>
        <w:t>合同编号：</w:t>
      </w:r>
    </w:p>
    <w:p>
      <w:pPr>
        <w:spacing w:beforeAutospacing="0" w:afterAutospacing="0" w:line="500" w:lineRule="exact"/>
        <w:ind w:firstLine="482" w:firstLineChars="200"/>
        <w:rPr>
          <w:rFonts w:hint="eastAsia" w:ascii="新宋体" w:hAnsi="新宋体" w:eastAsia="新宋体"/>
          <w:b/>
          <w:color w:val="auto"/>
          <w:sz w:val="24"/>
        </w:rPr>
      </w:pPr>
      <w:r>
        <w:rPr>
          <w:rFonts w:hint="eastAsia" w:ascii="新宋体" w:hAnsi="新宋体" w:eastAsia="新宋体"/>
          <w:b/>
          <w:color w:val="auto"/>
          <w:sz w:val="24"/>
        </w:rPr>
        <w:t>项目名称：</w:t>
      </w:r>
    </w:p>
    <w:p>
      <w:pPr>
        <w:spacing w:beforeAutospacing="0" w:afterAutospacing="0" w:line="500" w:lineRule="exact"/>
        <w:ind w:firstLine="482" w:firstLineChars="200"/>
        <w:rPr>
          <w:rFonts w:hint="eastAsia" w:ascii="新宋体" w:hAnsi="新宋体" w:eastAsia="新宋体"/>
          <w:b/>
          <w:color w:val="auto"/>
          <w:sz w:val="24"/>
        </w:rPr>
      </w:pPr>
      <w:r>
        <w:rPr>
          <w:rFonts w:hint="eastAsia" w:ascii="新宋体" w:hAnsi="新宋体" w:eastAsia="新宋体"/>
          <w:b/>
          <w:color w:val="auto"/>
          <w:sz w:val="24"/>
        </w:rPr>
        <w:t>合同当事人：</w:t>
      </w:r>
    </w:p>
    <w:p>
      <w:pPr>
        <w:spacing w:beforeAutospacing="0" w:afterAutospacing="0" w:line="500" w:lineRule="exact"/>
        <w:ind w:firstLine="482" w:firstLineChars="200"/>
        <w:rPr>
          <w:rFonts w:hint="eastAsia" w:ascii="新宋体" w:hAnsi="新宋体" w:eastAsia="新宋体"/>
          <w:b/>
          <w:color w:val="auto"/>
          <w:sz w:val="24"/>
        </w:rPr>
      </w:pPr>
      <w:r>
        <w:rPr>
          <w:rFonts w:hint="eastAsia" w:ascii="新宋体" w:hAnsi="新宋体" w:eastAsia="新宋体"/>
          <w:b/>
          <w:color w:val="auto"/>
          <w:sz w:val="24"/>
        </w:rPr>
        <w:t>甲方（采购人）：</w:t>
      </w:r>
    </w:p>
    <w:p>
      <w:pPr>
        <w:spacing w:beforeAutospacing="0" w:afterAutospacing="0" w:line="500" w:lineRule="exact"/>
        <w:ind w:firstLine="482" w:firstLineChars="200"/>
        <w:rPr>
          <w:rFonts w:hint="eastAsia" w:ascii="新宋体" w:hAnsi="新宋体" w:eastAsia="新宋体"/>
          <w:b/>
          <w:color w:val="auto"/>
          <w:sz w:val="24"/>
        </w:rPr>
      </w:pPr>
      <w:r>
        <w:rPr>
          <w:rFonts w:hint="eastAsia" w:ascii="新宋体" w:hAnsi="新宋体" w:eastAsia="新宋体"/>
          <w:b/>
          <w:color w:val="auto"/>
          <w:sz w:val="24"/>
        </w:rPr>
        <w:t>乙方（成交报价单位）</w:t>
      </w:r>
      <w:r>
        <w:rPr>
          <w:rFonts w:hint="eastAsia" w:ascii="新宋体" w:hAnsi="新宋体" w:eastAsia="新宋体"/>
          <w:color w:val="auto"/>
          <w:sz w:val="24"/>
        </w:rPr>
        <w:t>：</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甲、乙双方根据《中华人民共和国民法典》及相关规定，按照以下条款和条件，签署本合同。</w:t>
      </w:r>
    </w:p>
    <w:p>
      <w:pPr>
        <w:spacing w:beforeAutospacing="0" w:afterAutospacing="0" w:line="500" w:lineRule="exact"/>
        <w:ind w:firstLine="482" w:firstLineChars="200"/>
        <w:rPr>
          <w:rFonts w:hint="eastAsia" w:ascii="新宋体" w:hAnsi="新宋体" w:eastAsia="新宋体"/>
          <w:b/>
          <w:color w:val="auto"/>
          <w:sz w:val="24"/>
        </w:rPr>
      </w:pPr>
      <w:r>
        <w:rPr>
          <w:rFonts w:hint="eastAsia" w:ascii="新宋体" w:hAnsi="新宋体" w:eastAsia="新宋体"/>
          <w:b/>
          <w:color w:val="auto"/>
          <w:sz w:val="24"/>
        </w:rPr>
        <w:t>一、合同文件</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1、下列文件均为本合同的组成部分：</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成交通知书</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报价单位的书面承诺</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合同补充条款或说明</w:t>
      </w:r>
    </w:p>
    <w:p>
      <w:pPr>
        <w:spacing w:beforeAutospacing="0" w:afterAutospacing="0" w:line="500" w:lineRule="exact"/>
        <w:ind w:firstLine="480" w:firstLineChars="200"/>
        <w:rPr>
          <w:rFonts w:hint="eastAsia" w:ascii="新宋体" w:hAnsi="新宋体" w:eastAsia="新宋体"/>
          <w:color w:val="auto"/>
          <w:sz w:val="24"/>
          <w:lang w:eastAsia="zh-CN"/>
        </w:rPr>
      </w:pPr>
      <w:r>
        <w:rPr>
          <w:rFonts w:hint="eastAsia" w:ascii="新宋体" w:hAnsi="新宋体" w:eastAsia="新宋体"/>
          <w:color w:val="auto"/>
          <w:sz w:val="24"/>
          <w:lang w:eastAsia="zh-CN"/>
        </w:rPr>
        <w:t>响应</w:t>
      </w:r>
      <w:r>
        <w:rPr>
          <w:rFonts w:hint="eastAsia" w:ascii="新宋体" w:hAnsi="新宋体" w:eastAsia="新宋体"/>
          <w:color w:val="auto"/>
          <w:sz w:val="24"/>
        </w:rPr>
        <w:t>文件</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采购文件</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附件</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合同范围和条件</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2、本合同的范围和条件应与上述规定的合同文件内容一致。</w:t>
      </w:r>
    </w:p>
    <w:p>
      <w:pPr>
        <w:spacing w:beforeAutospacing="0" w:afterAutospacing="0" w:line="500" w:lineRule="exact"/>
        <w:ind w:firstLine="482" w:firstLineChars="200"/>
        <w:rPr>
          <w:rFonts w:hint="eastAsia" w:ascii="新宋体" w:hAnsi="新宋体" w:eastAsia="新宋体"/>
          <w:b/>
          <w:color w:val="auto"/>
          <w:sz w:val="24"/>
        </w:rPr>
      </w:pPr>
      <w:r>
        <w:rPr>
          <w:rFonts w:hint="eastAsia" w:ascii="新宋体" w:hAnsi="新宋体" w:eastAsia="新宋体"/>
          <w:b/>
          <w:color w:val="auto"/>
          <w:sz w:val="24"/>
        </w:rPr>
        <w:t>二、货物、数量及规格</w:t>
      </w:r>
    </w:p>
    <w:p>
      <w:pPr>
        <w:spacing w:beforeAutospacing="0" w:afterAutospacing="0" w:line="500" w:lineRule="exact"/>
        <w:ind w:firstLine="480" w:firstLineChars="200"/>
        <w:rPr>
          <w:rFonts w:hint="eastAsia" w:ascii="新宋体" w:hAnsi="新宋体" w:eastAsia="新宋体"/>
          <w:color w:val="auto"/>
          <w:sz w:val="24"/>
          <w:lang w:val="en-US" w:eastAsia="zh-CN"/>
        </w:rPr>
      </w:pPr>
      <w:r>
        <w:rPr>
          <w:rFonts w:hint="eastAsia" w:ascii="新宋体" w:hAnsi="新宋体" w:eastAsia="新宋体"/>
          <w:color w:val="auto"/>
          <w:sz w:val="24"/>
          <w:lang w:val="en-US" w:eastAsia="zh-CN"/>
        </w:rPr>
        <w:t>1、</w:t>
      </w:r>
      <w:r>
        <w:rPr>
          <w:rFonts w:hint="eastAsia" w:ascii="新宋体" w:hAnsi="新宋体" w:eastAsia="新宋体"/>
          <w:color w:val="auto"/>
          <w:sz w:val="24"/>
        </w:rPr>
        <w:t>乙方所提供的货物、数量及规格符合报价文件中所记载的所有内容，并应附有详细的资料。</w:t>
      </w:r>
      <w:r>
        <w:rPr>
          <w:rFonts w:hint="eastAsia" w:ascii="新宋体" w:hAnsi="新宋体" w:eastAsia="新宋体"/>
          <w:color w:val="auto"/>
          <w:sz w:val="24"/>
          <w:lang w:eastAsia="zh-CN"/>
        </w:rPr>
        <w:t>（具体采购物品详细技术参数以附表的形式附后。）</w:t>
      </w:r>
    </w:p>
    <w:p>
      <w:pPr>
        <w:spacing w:beforeAutospacing="0" w:afterAutospacing="0" w:line="500" w:lineRule="exact"/>
        <w:ind w:firstLine="482" w:firstLineChars="200"/>
        <w:rPr>
          <w:rFonts w:hint="eastAsia" w:ascii="新宋体" w:hAnsi="新宋体" w:eastAsia="新宋体"/>
          <w:b/>
          <w:color w:val="auto"/>
          <w:sz w:val="24"/>
        </w:rPr>
      </w:pPr>
      <w:r>
        <w:rPr>
          <w:rFonts w:hint="eastAsia" w:ascii="新宋体" w:hAnsi="新宋体" w:eastAsia="新宋体"/>
          <w:b/>
          <w:color w:val="auto"/>
          <w:sz w:val="24"/>
        </w:rPr>
        <w:t>三、合同总金额：</w:t>
      </w:r>
    </w:p>
    <w:p>
      <w:pPr>
        <w:spacing w:beforeAutospacing="0" w:afterAutospacing="0" w:line="500" w:lineRule="exact"/>
        <w:ind w:firstLine="480" w:firstLineChars="200"/>
        <w:rPr>
          <w:rFonts w:hint="eastAsia" w:ascii="新宋体" w:hAnsi="新宋体" w:eastAsia="新宋体"/>
          <w:color w:val="auto"/>
          <w:sz w:val="24"/>
          <w:lang w:eastAsia="zh-CN"/>
        </w:rPr>
      </w:pPr>
      <w:r>
        <w:rPr>
          <w:rFonts w:hint="eastAsia" w:ascii="新宋体" w:hAnsi="新宋体" w:eastAsia="新宋体"/>
          <w:color w:val="auto"/>
          <w:sz w:val="24"/>
          <w:lang w:eastAsia="zh-CN"/>
        </w:rPr>
        <w:t>人民币大写：</w:t>
      </w:r>
      <w:r>
        <w:rPr>
          <w:rFonts w:hint="eastAsia" w:ascii="新宋体" w:hAnsi="新宋体" w:eastAsia="新宋体"/>
          <w:color w:val="auto"/>
          <w:sz w:val="24"/>
          <w:lang w:val="en-US" w:eastAsia="zh-CN"/>
        </w:rPr>
        <w:t xml:space="preserve">       元整（小写：     元）</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本项目为交钥匙项目，合同金额:应是完成本磋商文件规定的货物清单所列项目的全部费用。主要包括货物费、材料费、备品备件费、包装费、运杂费、装卸费、仓储费、保管费、库损费、安装费、调试费、机械使用费、安装所需要的辅助材料费、安装损耗以及其他必要的辅助工作增加费、维护费、售后服务费、培训费、管理费、利润、检测试验费、验收及备案相关费用、商检费、各种税费等实施、完成交付使用的一切费用。磋商响应方的报价还应包括质保期内维修保养费用等的所有费用。其中备品备件费包括质保期内所需的备品备件费。在货物安装、调试过程中，如发现有漏项、缺件，卖方应无条件、无偿补齐，所发生的费用，视为已包含在磋商响应方的磋商响应方的报价之中，且并不因此影响交付买方使用的时间。（本项目为交钥匙项目，所有货物由供应商安装、调试完毕后，必须保证整套设备系统可正常使用。）其中，磋商代理服务费应分摊在报价中。</w:t>
      </w:r>
    </w:p>
    <w:p>
      <w:pPr>
        <w:spacing w:beforeAutospacing="0" w:afterAutospacing="0" w:line="500" w:lineRule="exact"/>
        <w:ind w:firstLine="482" w:firstLineChars="200"/>
        <w:rPr>
          <w:rFonts w:ascii="新宋体" w:hAnsi="新宋体" w:eastAsia="新宋体"/>
          <w:b/>
          <w:color w:val="auto"/>
          <w:sz w:val="24"/>
        </w:rPr>
      </w:pPr>
      <w:r>
        <w:rPr>
          <w:rFonts w:ascii="新宋体" w:hAnsi="新宋体" w:eastAsia="新宋体"/>
          <w:b/>
          <w:color w:val="auto"/>
          <w:sz w:val="24"/>
        </w:rPr>
        <w:t>四、付款方式：</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本项目无预付款，货到采购人指定地点并安装调试完成，待上级验收合格并资金到位后付至合同款的95%，剩余5%做为质保金，质保期满后无质量问题一次性无息付清。</w:t>
      </w:r>
    </w:p>
    <w:p>
      <w:pPr>
        <w:spacing w:beforeAutospacing="0" w:afterAutospacing="0" w:line="500" w:lineRule="exact"/>
        <w:ind w:firstLine="482" w:firstLineChars="200"/>
        <w:rPr>
          <w:rFonts w:hint="eastAsia" w:ascii="新宋体" w:hAnsi="新宋体" w:eastAsia="新宋体"/>
          <w:b/>
          <w:color w:val="auto"/>
          <w:sz w:val="24"/>
        </w:rPr>
      </w:pPr>
      <w:r>
        <w:rPr>
          <w:rFonts w:hint="eastAsia" w:ascii="新宋体" w:hAnsi="新宋体" w:eastAsia="新宋体"/>
          <w:b/>
          <w:color w:val="auto"/>
          <w:sz w:val="24"/>
        </w:rPr>
        <w:t>五、供货安装期：</w:t>
      </w:r>
      <w:r>
        <w:rPr>
          <w:rFonts w:hint="eastAsia" w:ascii="新宋体" w:hAnsi="新宋体" w:eastAsia="新宋体"/>
          <w:color w:val="auto"/>
          <w:sz w:val="24"/>
        </w:rPr>
        <w:t>合同签订后15日历天内全部供货并安装调试</w:t>
      </w:r>
      <w:r>
        <w:rPr>
          <w:rFonts w:hint="eastAsia" w:ascii="新宋体" w:hAnsi="新宋体" w:eastAsia="新宋体"/>
          <w:color w:val="auto"/>
          <w:sz w:val="24"/>
          <w:lang w:eastAsia="zh-CN"/>
        </w:rPr>
        <w:t>完毕。</w:t>
      </w:r>
    </w:p>
    <w:p>
      <w:pPr>
        <w:spacing w:beforeAutospacing="0" w:afterAutospacing="0" w:line="500" w:lineRule="exact"/>
        <w:ind w:firstLine="482" w:firstLineChars="200"/>
        <w:rPr>
          <w:rFonts w:hint="eastAsia" w:ascii="新宋体" w:hAnsi="新宋体" w:eastAsia="新宋体"/>
          <w:b/>
          <w:color w:val="auto"/>
          <w:sz w:val="24"/>
        </w:rPr>
      </w:pPr>
      <w:r>
        <w:rPr>
          <w:rFonts w:hint="eastAsia" w:ascii="新宋体" w:hAnsi="新宋体" w:eastAsia="新宋体"/>
          <w:b/>
          <w:color w:val="auto"/>
          <w:sz w:val="24"/>
        </w:rPr>
        <w:t xml:space="preserve">六、供货时间： </w:t>
      </w:r>
      <w:r>
        <w:rPr>
          <w:rFonts w:hint="eastAsia" w:ascii="新宋体" w:hAnsi="新宋体" w:eastAsia="新宋体"/>
          <w:color w:val="auto"/>
          <w:sz w:val="24"/>
        </w:rPr>
        <w:t>202</w:t>
      </w:r>
      <w:r>
        <w:rPr>
          <w:rFonts w:hint="eastAsia" w:ascii="新宋体" w:hAnsi="新宋体" w:eastAsia="新宋体"/>
          <w:color w:val="auto"/>
          <w:sz w:val="24"/>
          <w:lang w:val="en-US" w:eastAsia="zh-CN"/>
        </w:rPr>
        <w:t>3</w:t>
      </w:r>
      <w:r>
        <w:rPr>
          <w:rFonts w:hint="eastAsia" w:ascii="新宋体" w:hAnsi="新宋体" w:eastAsia="新宋体"/>
          <w:color w:val="auto"/>
          <w:sz w:val="24"/>
        </w:rPr>
        <w:t>年  月  日之前。</w:t>
      </w:r>
    </w:p>
    <w:p>
      <w:pPr>
        <w:spacing w:beforeAutospacing="0" w:afterAutospacing="0" w:line="500" w:lineRule="exact"/>
        <w:ind w:firstLine="482" w:firstLineChars="200"/>
        <w:rPr>
          <w:rFonts w:hint="eastAsia" w:ascii="新宋体" w:hAnsi="新宋体" w:eastAsia="新宋体"/>
          <w:b/>
          <w:color w:val="auto"/>
          <w:sz w:val="24"/>
        </w:rPr>
      </w:pPr>
      <w:r>
        <w:rPr>
          <w:rFonts w:hint="eastAsia" w:ascii="新宋体" w:hAnsi="新宋体" w:eastAsia="新宋体"/>
          <w:b/>
          <w:color w:val="auto"/>
          <w:sz w:val="24"/>
        </w:rPr>
        <w:t>七、交付地点（甲方指定地点）：</w:t>
      </w:r>
      <w:r>
        <w:rPr>
          <w:rFonts w:hint="eastAsia" w:ascii="新宋体" w:hAnsi="新宋体" w:eastAsia="新宋体"/>
          <w:color w:val="auto"/>
          <w:sz w:val="24"/>
          <w:lang w:eastAsia="zh-CN"/>
        </w:rPr>
        <w:t>采购人指定地点</w:t>
      </w:r>
    </w:p>
    <w:p>
      <w:pPr>
        <w:spacing w:beforeAutospacing="0" w:afterAutospacing="0" w:line="500" w:lineRule="exact"/>
        <w:ind w:firstLine="482" w:firstLineChars="200"/>
        <w:rPr>
          <w:rFonts w:hint="eastAsia" w:ascii="新宋体" w:hAnsi="新宋体" w:eastAsia="新宋体"/>
          <w:b/>
          <w:color w:val="auto"/>
          <w:sz w:val="24"/>
        </w:rPr>
      </w:pPr>
      <w:r>
        <w:rPr>
          <w:rFonts w:hint="eastAsia" w:ascii="新宋体" w:hAnsi="新宋体" w:eastAsia="新宋体"/>
          <w:b/>
          <w:color w:val="auto"/>
          <w:sz w:val="24"/>
        </w:rPr>
        <w:t>八、免费质保期：2</w:t>
      </w:r>
      <w:r>
        <w:rPr>
          <w:rFonts w:hint="eastAsia" w:ascii="新宋体" w:hAnsi="新宋体" w:eastAsia="新宋体"/>
          <w:color w:val="auto"/>
          <w:sz w:val="24"/>
        </w:rPr>
        <w:t>年</w:t>
      </w:r>
    </w:p>
    <w:p>
      <w:pPr>
        <w:spacing w:beforeAutospacing="0" w:afterAutospacing="0" w:line="500" w:lineRule="exact"/>
        <w:ind w:firstLine="482" w:firstLineChars="200"/>
        <w:rPr>
          <w:rFonts w:hint="eastAsia" w:ascii="新宋体" w:hAnsi="新宋体" w:eastAsia="新宋体"/>
          <w:b/>
          <w:color w:val="auto"/>
          <w:sz w:val="24"/>
        </w:rPr>
      </w:pPr>
      <w:r>
        <w:rPr>
          <w:rFonts w:hint="eastAsia" w:ascii="新宋体" w:hAnsi="新宋体" w:eastAsia="新宋体"/>
          <w:b/>
          <w:color w:val="auto"/>
          <w:sz w:val="24"/>
        </w:rPr>
        <w:t>九、违约责任</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1、合同当事人一方不履行合同义务或者履行合同义务不符合约定，给对方造成损失的，违约方应按照合同标的额的2％支付违约金给非违约方。</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2、乙方在履行合同过程中，存在有迟延履行、不适当履行、履行方法不当、履行地点不当等情况的，乙方应对因违约而给甲方造成的实际损失予以赔偿，该赔偿应与违约金分别计算，不被违约金吸收或重叠。</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3、当事人一方违约后，对方应当采取适当措施防止损失的扩大；没有采取适当措施致使损失扩大的，不得就扩大的损失要求赔偿；当事人因防止损失扩大支出的合理费用，由违约方承担。</w:t>
      </w:r>
    </w:p>
    <w:p>
      <w:pPr>
        <w:spacing w:beforeAutospacing="0" w:afterAutospacing="0" w:line="500" w:lineRule="exact"/>
        <w:ind w:firstLine="464" w:firstLineChars="200"/>
        <w:rPr>
          <w:rFonts w:hint="eastAsia" w:ascii="新宋体" w:hAnsi="新宋体" w:eastAsia="新宋体"/>
          <w:color w:val="auto"/>
          <w:spacing w:val="-4"/>
          <w:sz w:val="24"/>
        </w:rPr>
      </w:pPr>
      <w:r>
        <w:rPr>
          <w:rFonts w:hint="eastAsia" w:ascii="新宋体" w:hAnsi="新宋体" w:eastAsia="新宋体"/>
          <w:color w:val="auto"/>
          <w:spacing w:val="-4"/>
          <w:sz w:val="24"/>
        </w:rPr>
        <w:t>4、乙方因第三人原因造成违约的，应当向甲方承担违约责任，并根据实际损失支付赔偿金。</w:t>
      </w:r>
    </w:p>
    <w:p>
      <w:pPr>
        <w:spacing w:beforeAutospacing="0" w:afterAutospacing="0" w:line="500" w:lineRule="exact"/>
        <w:ind w:firstLine="482" w:firstLineChars="200"/>
        <w:rPr>
          <w:rFonts w:hint="eastAsia" w:ascii="新宋体" w:hAnsi="新宋体" w:eastAsia="新宋体"/>
          <w:b/>
          <w:color w:val="auto"/>
          <w:sz w:val="24"/>
        </w:rPr>
      </w:pPr>
      <w:r>
        <w:rPr>
          <w:rFonts w:hint="eastAsia" w:ascii="新宋体" w:hAnsi="新宋体" w:eastAsia="新宋体"/>
          <w:b/>
          <w:color w:val="auto"/>
          <w:sz w:val="24"/>
        </w:rPr>
        <w:t>十、验收</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本项目由成交供应商提供的产品质量必须达到国家或现行有关标准规定及采购人要求。</w:t>
      </w:r>
    </w:p>
    <w:p>
      <w:pPr>
        <w:spacing w:beforeAutospacing="0" w:afterAutospacing="0" w:line="500" w:lineRule="exact"/>
        <w:ind w:firstLine="482" w:firstLineChars="200"/>
        <w:rPr>
          <w:rFonts w:hint="eastAsia" w:ascii="新宋体" w:hAnsi="新宋体" w:eastAsia="新宋体"/>
          <w:b/>
          <w:color w:val="auto"/>
          <w:sz w:val="24"/>
        </w:rPr>
      </w:pPr>
      <w:r>
        <w:rPr>
          <w:rFonts w:hint="eastAsia" w:ascii="新宋体" w:hAnsi="新宋体" w:eastAsia="新宋体"/>
          <w:b/>
          <w:color w:val="auto"/>
          <w:sz w:val="24"/>
        </w:rPr>
        <w:t>十一、合同的解除</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出现下列情况之一时，甲方可解除合同，合同自通知到达乙方时解除，所造成的损失应由乙方承担。</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1、乙方未能在合同规定的期限内或甲方同意延长的期限内提供服务；</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2、乙方未能履行合同规定的其他义务，甲方有权终止合同的全部或部分；</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3、未经甲方书面同意，乙方私自转让或分包其应履行的合同义务。</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争议的解决</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甲乙双方在合同履行中如发生争议，应协商解决，协商未果，均可提交济宁仲裁委员会仲裁。</w:t>
      </w:r>
    </w:p>
    <w:p>
      <w:pPr>
        <w:spacing w:beforeAutospacing="0" w:afterAutospacing="0" w:line="500" w:lineRule="exact"/>
        <w:ind w:firstLine="482" w:firstLineChars="200"/>
        <w:rPr>
          <w:rFonts w:hint="eastAsia" w:ascii="新宋体" w:hAnsi="新宋体" w:eastAsia="新宋体"/>
          <w:b/>
          <w:color w:val="auto"/>
          <w:sz w:val="24"/>
        </w:rPr>
      </w:pPr>
      <w:r>
        <w:rPr>
          <w:rFonts w:hint="eastAsia" w:ascii="新宋体" w:hAnsi="新宋体" w:eastAsia="新宋体"/>
          <w:b/>
          <w:color w:val="auto"/>
          <w:sz w:val="24"/>
        </w:rPr>
        <w:t>十二、合同的修改</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如对本合同进行改动，由双方签订书面的合同修改文书作为本合同的补充协议。</w:t>
      </w:r>
    </w:p>
    <w:p>
      <w:pPr>
        <w:spacing w:beforeAutospacing="0" w:afterAutospacing="0" w:line="500" w:lineRule="exact"/>
        <w:ind w:firstLine="482" w:firstLineChars="200"/>
        <w:rPr>
          <w:rFonts w:hint="eastAsia" w:ascii="新宋体" w:hAnsi="新宋体" w:eastAsia="新宋体"/>
          <w:b/>
          <w:color w:val="auto"/>
          <w:sz w:val="24"/>
        </w:rPr>
      </w:pPr>
      <w:r>
        <w:rPr>
          <w:rFonts w:hint="eastAsia" w:ascii="新宋体" w:hAnsi="新宋体" w:eastAsia="新宋体"/>
          <w:b/>
          <w:color w:val="auto"/>
          <w:sz w:val="24"/>
        </w:rPr>
        <w:t>十三、</w:t>
      </w:r>
      <w:r>
        <w:rPr>
          <w:rFonts w:hint="eastAsia" w:ascii="新宋体" w:hAnsi="新宋体" w:eastAsia="新宋体"/>
          <w:color w:val="auto"/>
          <w:sz w:val="24"/>
        </w:rPr>
        <w:t>本合同经各方盖章授权代表签署后生效，本合同一式</w:t>
      </w:r>
      <w:r>
        <w:rPr>
          <w:rFonts w:hint="eastAsia" w:ascii="新宋体" w:hAnsi="新宋体" w:eastAsia="新宋体"/>
          <w:color w:val="auto"/>
          <w:sz w:val="24"/>
          <w:lang w:val="en-US" w:eastAsia="zh-CN"/>
        </w:rPr>
        <w:t xml:space="preserve">  </w:t>
      </w:r>
      <w:r>
        <w:rPr>
          <w:rFonts w:hint="eastAsia" w:ascii="新宋体" w:hAnsi="新宋体" w:eastAsia="新宋体"/>
          <w:color w:val="auto"/>
          <w:sz w:val="24"/>
        </w:rPr>
        <w:t>份，其中甲、乙双方各执</w:t>
      </w:r>
      <w:r>
        <w:rPr>
          <w:rFonts w:hint="eastAsia" w:ascii="新宋体" w:hAnsi="新宋体" w:eastAsia="新宋体"/>
          <w:color w:val="auto"/>
          <w:sz w:val="24"/>
          <w:lang w:val="en-US" w:eastAsia="zh-CN"/>
        </w:rPr>
        <w:t xml:space="preserve">  </w:t>
      </w:r>
      <w:r>
        <w:rPr>
          <w:rFonts w:hint="eastAsia" w:ascii="新宋体" w:hAnsi="新宋体" w:eastAsia="新宋体"/>
          <w:color w:val="auto"/>
          <w:sz w:val="24"/>
        </w:rPr>
        <w:t>份，其余相关部门留存。</w:t>
      </w:r>
    </w:p>
    <w:p>
      <w:pPr>
        <w:spacing w:beforeAutospacing="0" w:afterAutospacing="0" w:line="500" w:lineRule="exact"/>
        <w:ind w:firstLine="480" w:firstLineChars="200"/>
        <w:rPr>
          <w:rFonts w:ascii="新宋体" w:hAnsi="新宋体" w:eastAsia="新宋体"/>
          <w:color w:val="auto"/>
          <w:sz w:val="24"/>
        </w:rPr>
      </w:pP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 xml:space="preserve">甲    方：                             乙    方：            </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法定代表人：（签章）                   全权代表：（签章）</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 xml:space="preserve">地    址：                             地    址：               </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 xml:space="preserve">邮政编码：                             邮政编码：               </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 xml:space="preserve">电    话：                             电    话： </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开户单位：                             开户单位：</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开户银行：                             开户银行：</w:t>
      </w:r>
    </w:p>
    <w:p>
      <w:pPr>
        <w:spacing w:beforeAutospacing="0" w:afterAutospacing="0" w:line="500" w:lineRule="exact"/>
        <w:ind w:firstLine="480" w:firstLineChars="200"/>
        <w:rPr>
          <w:rFonts w:hint="eastAsia" w:ascii="新宋体" w:hAnsi="新宋体" w:eastAsia="新宋体"/>
          <w:color w:val="auto"/>
          <w:sz w:val="24"/>
        </w:rPr>
      </w:pPr>
      <w:r>
        <w:rPr>
          <w:rFonts w:hint="eastAsia" w:ascii="新宋体" w:hAnsi="新宋体" w:eastAsia="新宋体"/>
          <w:color w:val="auto"/>
          <w:sz w:val="24"/>
        </w:rPr>
        <w:t xml:space="preserve">帐    号：                             帐    号： </w:t>
      </w:r>
    </w:p>
    <w:p>
      <w:pPr>
        <w:spacing w:beforeAutospacing="0" w:afterAutospacing="0" w:line="500" w:lineRule="exact"/>
        <w:ind w:firstLine="480" w:firstLineChars="200"/>
        <w:rPr>
          <w:rFonts w:hint="eastAsia" w:ascii="新宋体" w:hAnsi="新宋体" w:eastAsia="新宋体"/>
          <w:color w:val="auto"/>
          <w:sz w:val="24"/>
        </w:rPr>
        <w:sectPr>
          <w:pgSz w:w="11910" w:h="16850"/>
          <w:pgMar w:top="1440" w:right="1080" w:bottom="1440" w:left="1080" w:header="0" w:footer="956" w:gutter="0"/>
          <w:cols w:space="720" w:num="1"/>
          <w:docGrid w:linePitch="299" w:charSpace="0"/>
        </w:sectPr>
      </w:pPr>
      <w:r>
        <w:rPr>
          <w:rFonts w:hint="eastAsia" w:ascii="新宋体" w:hAnsi="新宋体" w:eastAsia="新宋体"/>
          <w:color w:val="auto"/>
          <w:sz w:val="24"/>
        </w:rPr>
        <w:t xml:space="preserve">本合同签定时间：                     </w:t>
      </w:r>
      <w:r>
        <w:rPr>
          <w:rFonts w:hint="eastAsia" w:ascii="新宋体" w:hAnsi="新宋体" w:eastAsia="新宋体"/>
          <w:color w:val="auto"/>
          <w:sz w:val="24"/>
          <w:lang w:val="en-US" w:eastAsia="zh-CN"/>
        </w:rPr>
        <w:t xml:space="preserve">  </w:t>
      </w:r>
      <w:r>
        <w:rPr>
          <w:rFonts w:hint="eastAsia" w:ascii="新宋体" w:hAnsi="新宋体" w:eastAsia="新宋体"/>
          <w:color w:val="auto"/>
          <w:sz w:val="24"/>
        </w:rPr>
        <w:t xml:space="preserve">本合同签定时间： </w:t>
      </w:r>
    </w:p>
    <w:p>
      <w:pPr>
        <w:pStyle w:val="4"/>
        <w:bidi w:val="0"/>
        <w:rPr>
          <w:rFonts w:hint="eastAsia" w:ascii="宋体" w:hAnsi="宋体" w:eastAsia="宋体"/>
          <w:b/>
          <w:color w:val="auto"/>
        </w:rPr>
      </w:pPr>
      <w:bookmarkStart w:id="17" w:name="_Toc18812"/>
      <w:bookmarkEnd w:id="17"/>
      <w:bookmarkStart w:id="18" w:name="_Toc15192"/>
      <w:bookmarkEnd w:id="18"/>
      <w:bookmarkStart w:id="19" w:name="_Toc30515"/>
      <w:bookmarkEnd w:id="19"/>
      <w:r>
        <w:rPr>
          <w:rFonts w:hint="eastAsia" w:ascii="宋体" w:hAnsi="宋体" w:eastAsia="宋体"/>
          <w:b/>
          <w:color w:val="auto"/>
        </w:rPr>
        <w:t>第</w:t>
      </w:r>
      <w:r>
        <w:rPr>
          <w:rFonts w:hint="eastAsia" w:ascii="宋体" w:hAnsi="宋体" w:eastAsia="宋体"/>
          <w:b/>
          <w:color w:val="auto"/>
          <w:lang w:eastAsia="zh-CN"/>
        </w:rPr>
        <w:t>六部分</w:t>
      </w:r>
      <w:r>
        <w:rPr>
          <w:rFonts w:hint="eastAsia" w:ascii="宋体" w:hAnsi="宋体" w:eastAsia="宋体"/>
          <w:b/>
          <w:color w:val="auto"/>
        </w:rPr>
        <w:t xml:space="preserve">  磋商响应文件格式</w:t>
      </w:r>
    </w:p>
    <w:p>
      <w:pPr>
        <w:spacing w:beforeAutospacing="0" w:afterAutospacing="0" w:line="360" w:lineRule="atLeast"/>
        <w:outlineLvl w:val="9"/>
        <w:rPr>
          <w:rFonts w:hint="eastAsia" w:ascii="宋体" w:hAnsi="宋体"/>
          <w:b/>
          <w:bCs/>
          <w:color w:val="auto"/>
          <w:szCs w:val="21"/>
        </w:rPr>
      </w:pPr>
    </w:p>
    <w:p>
      <w:pPr>
        <w:pStyle w:val="28"/>
        <w:rPr>
          <w:rFonts w:hint="eastAsia" w:ascii="宋体" w:hAnsi="宋体"/>
          <w:color w:val="auto"/>
          <w:sz w:val="21"/>
          <w:szCs w:val="21"/>
        </w:rPr>
      </w:pPr>
    </w:p>
    <w:p>
      <w:pPr>
        <w:rPr>
          <w:rFonts w:hint="eastAsia" w:ascii="宋体" w:hAnsi="宋体"/>
          <w:b/>
          <w:bCs/>
          <w:color w:val="auto"/>
          <w:szCs w:val="21"/>
        </w:rPr>
      </w:pPr>
    </w:p>
    <w:p>
      <w:pPr>
        <w:spacing w:beforeAutospacing="0" w:afterAutospacing="0" w:line="360" w:lineRule="atLeast"/>
        <w:jc w:val="center"/>
        <w:rPr>
          <w:rFonts w:hint="eastAsia" w:ascii="宋体" w:hAnsi="宋体"/>
          <w:b/>
          <w:bCs/>
          <w:color w:val="auto"/>
          <w:sz w:val="36"/>
          <w:szCs w:val="36"/>
          <w:lang w:eastAsia="zh-CN"/>
        </w:rPr>
      </w:pPr>
      <w:r>
        <w:rPr>
          <w:rFonts w:hint="eastAsia" w:ascii="宋体" w:hAnsi="宋体"/>
          <w:b/>
          <w:bCs/>
          <w:color w:val="auto"/>
          <w:sz w:val="36"/>
          <w:szCs w:val="36"/>
          <w:lang w:eastAsia="zh-CN"/>
        </w:rPr>
        <w:t>邹城市看庄镇卫生院医疗设备采购项目</w:t>
      </w:r>
    </w:p>
    <w:p>
      <w:pPr>
        <w:pStyle w:val="28"/>
        <w:rPr>
          <w:rFonts w:hint="eastAsia" w:ascii="宋体" w:hAnsi="宋体"/>
          <w:bCs/>
          <w:color w:val="auto"/>
          <w:sz w:val="36"/>
          <w:szCs w:val="36"/>
        </w:rPr>
      </w:pPr>
    </w:p>
    <w:p>
      <w:pPr>
        <w:spacing w:beforeAutospacing="0" w:afterAutospacing="0" w:line="360" w:lineRule="atLeast"/>
        <w:jc w:val="center"/>
        <w:rPr>
          <w:rFonts w:hint="eastAsia" w:ascii="宋体" w:hAnsi="宋体"/>
          <w:bCs/>
          <w:color w:val="auto"/>
          <w:sz w:val="36"/>
          <w:szCs w:val="36"/>
        </w:rPr>
      </w:pPr>
      <w:r>
        <w:rPr>
          <w:rFonts w:hint="eastAsia" w:ascii="宋体" w:hAnsi="宋体"/>
          <w:bCs/>
          <w:color w:val="auto"/>
          <w:sz w:val="36"/>
          <w:szCs w:val="36"/>
        </w:rPr>
        <w:t>磋商响应文件</w:t>
      </w:r>
    </w:p>
    <w:p>
      <w:pPr>
        <w:spacing w:beforeAutospacing="0" w:afterAutospacing="0" w:line="360" w:lineRule="atLeast"/>
        <w:jc w:val="center"/>
        <w:rPr>
          <w:rFonts w:hint="eastAsia" w:ascii="宋体" w:hAnsi="宋体"/>
          <w:b/>
          <w:color w:val="auto"/>
          <w:szCs w:val="21"/>
        </w:rPr>
      </w:pPr>
    </w:p>
    <w:p>
      <w:pPr>
        <w:spacing w:beforeAutospacing="0" w:afterAutospacing="0" w:line="360" w:lineRule="atLeast"/>
        <w:jc w:val="center"/>
        <w:rPr>
          <w:rFonts w:hint="eastAsia" w:ascii="宋体" w:hAnsi="宋体"/>
          <w:b/>
          <w:bCs/>
          <w:color w:val="auto"/>
          <w:kern w:val="16"/>
          <w:szCs w:val="21"/>
        </w:rPr>
      </w:pPr>
    </w:p>
    <w:p>
      <w:pPr>
        <w:spacing w:beforeAutospacing="0" w:afterAutospacing="0" w:line="360" w:lineRule="atLeast"/>
        <w:jc w:val="center"/>
        <w:rPr>
          <w:rFonts w:hint="eastAsia" w:ascii="宋体" w:hAnsi="宋体"/>
          <w:b/>
          <w:bCs/>
          <w:color w:val="auto"/>
          <w:kern w:val="16"/>
          <w:szCs w:val="21"/>
        </w:rPr>
      </w:pPr>
    </w:p>
    <w:p>
      <w:pPr>
        <w:spacing w:beforeAutospacing="0" w:afterAutospacing="0" w:line="360" w:lineRule="atLeast"/>
        <w:jc w:val="center"/>
        <w:rPr>
          <w:rFonts w:hint="eastAsia" w:ascii="宋体" w:hAnsi="宋体"/>
          <w:b/>
          <w:bCs/>
          <w:color w:val="auto"/>
          <w:kern w:val="16"/>
          <w:szCs w:val="21"/>
        </w:rPr>
      </w:pPr>
    </w:p>
    <w:p>
      <w:pPr>
        <w:spacing w:beforeAutospacing="0" w:afterAutospacing="0" w:line="360" w:lineRule="atLeast"/>
        <w:jc w:val="center"/>
        <w:rPr>
          <w:rFonts w:hint="eastAsia" w:ascii="宋体" w:hAnsi="宋体"/>
          <w:b/>
          <w:bCs/>
          <w:color w:val="auto"/>
          <w:kern w:val="16"/>
          <w:szCs w:val="21"/>
        </w:rPr>
      </w:pPr>
    </w:p>
    <w:p>
      <w:pPr>
        <w:spacing w:beforeAutospacing="0" w:afterAutospacing="0" w:line="360" w:lineRule="atLeast"/>
        <w:rPr>
          <w:rFonts w:hint="eastAsia" w:ascii="宋体" w:hAnsi="宋体"/>
          <w:b/>
          <w:bCs/>
          <w:color w:val="auto"/>
          <w:kern w:val="16"/>
          <w:szCs w:val="21"/>
        </w:rPr>
      </w:pPr>
    </w:p>
    <w:p>
      <w:pPr>
        <w:spacing w:beforeAutospacing="0" w:afterAutospacing="0" w:line="360" w:lineRule="atLeast"/>
        <w:jc w:val="center"/>
        <w:rPr>
          <w:rFonts w:hint="eastAsia" w:ascii="宋体" w:hAnsi="宋体"/>
          <w:b/>
          <w:bCs/>
          <w:color w:val="auto"/>
          <w:kern w:val="16"/>
          <w:szCs w:val="21"/>
        </w:rPr>
      </w:pPr>
    </w:p>
    <w:p>
      <w:pPr>
        <w:spacing w:beforeAutospacing="0" w:afterAutospacing="0" w:line="360" w:lineRule="atLeast"/>
        <w:jc w:val="center"/>
        <w:rPr>
          <w:rFonts w:hint="eastAsia" w:ascii="宋体" w:hAnsi="宋体"/>
          <w:b/>
          <w:bCs/>
          <w:color w:val="auto"/>
          <w:kern w:val="16"/>
          <w:szCs w:val="21"/>
        </w:rPr>
      </w:pPr>
    </w:p>
    <w:p>
      <w:pPr>
        <w:spacing w:beforeAutospacing="0" w:afterAutospacing="0" w:line="360" w:lineRule="atLeast"/>
        <w:jc w:val="center"/>
        <w:rPr>
          <w:rFonts w:hint="eastAsia" w:ascii="宋体" w:hAnsi="宋体"/>
          <w:b/>
          <w:bCs/>
          <w:color w:val="auto"/>
          <w:kern w:val="16"/>
          <w:szCs w:val="21"/>
        </w:rPr>
      </w:pPr>
    </w:p>
    <w:p>
      <w:pPr>
        <w:pStyle w:val="28"/>
        <w:rPr>
          <w:rFonts w:hint="eastAsia" w:ascii="宋体" w:hAnsi="宋体"/>
          <w:color w:val="auto"/>
          <w:sz w:val="21"/>
          <w:szCs w:val="21"/>
        </w:rPr>
      </w:pPr>
    </w:p>
    <w:p>
      <w:pPr>
        <w:rPr>
          <w:rFonts w:hint="eastAsia" w:ascii="宋体" w:hAnsi="宋体"/>
          <w:color w:val="auto"/>
          <w:szCs w:val="21"/>
        </w:rPr>
      </w:pPr>
    </w:p>
    <w:p>
      <w:pPr>
        <w:pStyle w:val="28"/>
        <w:rPr>
          <w:rFonts w:hint="eastAsia" w:ascii="宋体" w:hAnsi="宋体"/>
          <w:color w:val="auto"/>
          <w:sz w:val="21"/>
          <w:szCs w:val="21"/>
        </w:rPr>
      </w:pPr>
    </w:p>
    <w:p>
      <w:pPr>
        <w:rPr>
          <w:rFonts w:hint="eastAsia" w:ascii="宋体" w:hAnsi="宋体"/>
          <w:color w:val="auto"/>
          <w:szCs w:val="21"/>
        </w:rPr>
      </w:pPr>
    </w:p>
    <w:p>
      <w:pPr>
        <w:spacing w:beforeAutospacing="0" w:afterAutospacing="0" w:line="360" w:lineRule="atLeast"/>
        <w:jc w:val="center"/>
        <w:rPr>
          <w:rFonts w:hint="eastAsia" w:ascii="宋体" w:hAnsi="宋体"/>
          <w:b/>
          <w:bCs/>
          <w:color w:val="auto"/>
          <w:kern w:val="16"/>
          <w:szCs w:val="21"/>
        </w:rPr>
      </w:pPr>
    </w:p>
    <w:p>
      <w:pPr>
        <w:rPr>
          <w:rFonts w:hint="eastAsia" w:ascii="宋体" w:hAnsi="宋体"/>
          <w:color w:val="auto"/>
          <w:szCs w:val="21"/>
        </w:rPr>
      </w:pPr>
    </w:p>
    <w:p>
      <w:pPr>
        <w:rPr>
          <w:rFonts w:hint="eastAsia" w:ascii="宋体" w:hAnsi="宋体"/>
          <w:color w:val="auto"/>
          <w:szCs w:val="21"/>
        </w:rPr>
      </w:pPr>
    </w:p>
    <w:p>
      <w:pPr>
        <w:spacing w:beforeAutospacing="0" w:afterAutospacing="0" w:line="360" w:lineRule="auto"/>
        <w:jc w:val="center"/>
        <w:rPr>
          <w:rFonts w:hint="eastAsia" w:ascii="宋体" w:hAnsi="宋体"/>
          <w:color w:val="auto"/>
          <w:sz w:val="28"/>
          <w:szCs w:val="28"/>
        </w:rPr>
      </w:pPr>
      <w:r>
        <w:rPr>
          <w:rFonts w:hint="eastAsia" w:ascii="宋体" w:hAnsi="宋体"/>
          <w:color w:val="auto"/>
          <w:sz w:val="28"/>
          <w:szCs w:val="28"/>
        </w:rPr>
        <w:t>供应商：                               （盖单位章）</w:t>
      </w:r>
    </w:p>
    <w:p>
      <w:pPr>
        <w:spacing w:beforeAutospacing="0" w:afterAutospacing="0" w:line="360" w:lineRule="auto"/>
        <w:jc w:val="center"/>
        <w:rPr>
          <w:rFonts w:hint="eastAsia" w:ascii="宋体" w:hAnsi="宋体"/>
          <w:color w:val="auto"/>
          <w:sz w:val="28"/>
          <w:szCs w:val="28"/>
        </w:rPr>
      </w:pPr>
      <w:r>
        <w:rPr>
          <w:rFonts w:hint="eastAsia" w:ascii="宋体" w:hAnsi="宋体"/>
          <w:color w:val="auto"/>
          <w:sz w:val="28"/>
          <w:szCs w:val="28"/>
        </w:rPr>
        <w:t>法定代表人或其委托代理人：                 （签字）</w:t>
      </w:r>
    </w:p>
    <w:p>
      <w:pPr>
        <w:spacing w:beforeAutospacing="0" w:afterAutospacing="0" w:line="360" w:lineRule="auto"/>
        <w:jc w:val="center"/>
        <w:rPr>
          <w:rFonts w:hint="eastAsia" w:ascii="宋体" w:hAnsi="宋体"/>
          <w:color w:val="auto"/>
          <w:sz w:val="28"/>
          <w:szCs w:val="28"/>
        </w:rPr>
      </w:pPr>
      <w:r>
        <w:rPr>
          <w:rFonts w:hint="eastAsia" w:ascii="宋体" w:hAnsi="宋体"/>
          <w:color w:val="auto"/>
          <w:sz w:val="28"/>
          <w:szCs w:val="28"/>
        </w:rPr>
        <w:t xml:space="preserve">         年         月         日</w:t>
      </w:r>
    </w:p>
    <w:p>
      <w:pPr>
        <w:pStyle w:val="45"/>
        <w:snapToGrid w:val="0"/>
        <w:spacing w:beforeAutospacing="0" w:afterAutospacing="0" w:line="360" w:lineRule="atLeast"/>
        <w:ind w:firstLine="560" w:firstLineChars="200"/>
        <w:jc w:val="center"/>
        <w:rPr>
          <w:color w:val="auto"/>
          <w:szCs w:val="21"/>
        </w:rPr>
      </w:pPr>
    </w:p>
    <w:p>
      <w:pPr>
        <w:spacing w:beforeAutospacing="0" w:afterAutospacing="0" w:line="360" w:lineRule="atLeast"/>
        <w:outlineLvl w:val="9"/>
        <w:rPr>
          <w:rFonts w:hint="eastAsia" w:ascii="宋体" w:hAnsi="宋体"/>
          <w:b/>
          <w:color w:val="auto"/>
          <w:szCs w:val="21"/>
        </w:rPr>
      </w:pPr>
      <w:r>
        <w:rPr>
          <w:rFonts w:hint="eastAsia" w:ascii="宋体" w:hAnsi="宋体"/>
          <w:b/>
          <w:color w:val="auto"/>
          <w:szCs w:val="21"/>
        </w:rPr>
        <w:br w:type="page"/>
      </w:r>
    </w:p>
    <w:p>
      <w:pPr>
        <w:spacing w:beforeAutospacing="0" w:afterAutospacing="0" w:line="360" w:lineRule="atLeast"/>
        <w:jc w:val="center"/>
        <w:outlineLvl w:val="0"/>
        <w:rPr>
          <w:rFonts w:hint="eastAsia" w:ascii="宋体" w:hAnsi="宋体"/>
          <w:b/>
          <w:color w:val="auto"/>
          <w:sz w:val="24"/>
          <w:szCs w:val="24"/>
        </w:rPr>
      </w:pPr>
      <w:bookmarkStart w:id="20" w:name="_Toc25494"/>
      <w:bookmarkEnd w:id="20"/>
      <w:bookmarkStart w:id="21" w:name="_Toc26414"/>
      <w:bookmarkEnd w:id="21"/>
      <w:r>
        <w:rPr>
          <w:rFonts w:hint="eastAsia" w:ascii="宋体" w:hAnsi="宋体"/>
          <w:b/>
          <w:color w:val="auto"/>
          <w:sz w:val="24"/>
          <w:szCs w:val="24"/>
        </w:rPr>
        <w:t>目    录</w:t>
      </w:r>
    </w:p>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tLeast"/>
        <w:jc w:val="center"/>
        <w:rPr>
          <w:rFonts w:hint="eastAsia" w:ascii="宋体" w:hAnsi="宋体"/>
          <w:b/>
          <w:bCs/>
          <w:color w:val="auto"/>
          <w:szCs w:val="21"/>
        </w:rPr>
      </w:pPr>
    </w:p>
    <w:p>
      <w:pPr>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一、磋商响应函</w:t>
      </w:r>
    </w:p>
    <w:p>
      <w:pPr>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二、法定代表人授权委托书及全权代表的身份证复印件；</w:t>
      </w:r>
    </w:p>
    <w:p>
      <w:pPr>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三、初次报价表</w:t>
      </w:r>
    </w:p>
    <w:p>
      <w:pPr>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四、报价明细表</w:t>
      </w:r>
    </w:p>
    <w:p>
      <w:pPr>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五、总价外长期优惠供应的备品备件、易损件、专用工具明细表</w:t>
      </w:r>
    </w:p>
    <w:p>
      <w:pPr>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六、技术规格货物说明一览表</w:t>
      </w:r>
    </w:p>
    <w:p>
      <w:pPr>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七、技术规格偏离表</w:t>
      </w:r>
    </w:p>
    <w:p>
      <w:pPr>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八、资格审查资料</w:t>
      </w:r>
    </w:p>
    <w:p>
      <w:pPr>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九、具体的技术及服务方案</w:t>
      </w:r>
    </w:p>
    <w:p>
      <w:pPr>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十、磋商响应方认为需要加以说明的其他内容和需要提供的证明文件</w:t>
      </w:r>
    </w:p>
    <w:p>
      <w:pPr>
        <w:pStyle w:val="28"/>
        <w:rPr>
          <w:rFonts w:hint="eastAsia" w:ascii="宋体" w:hAnsi="宋体"/>
          <w:color w:val="auto"/>
        </w:rPr>
      </w:pPr>
    </w:p>
    <w:p>
      <w:pPr>
        <w:pStyle w:val="28"/>
        <w:tabs>
          <w:tab w:val="left" w:pos="0"/>
          <w:tab w:val="left" w:pos="720"/>
          <w:tab w:val="left" w:pos="1440"/>
          <w:tab w:val="left" w:pos="2160"/>
          <w:tab w:val="left" w:pos="2880"/>
          <w:tab w:val="left" w:pos="3600"/>
          <w:tab w:val="left" w:pos="4320"/>
        </w:tabs>
        <w:autoSpaceDE w:val="0"/>
        <w:autoSpaceDN w:val="0"/>
        <w:spacing w:before="0" w:beforeAutospacing="0" w:afterAutospacing="0" w:line="360" w:lineRule="auto"/>
        <w:rPr>
          <w:rFonts w:hint="eastAsia" w:ascii="宋体" w:hAnsi="宋体"/>
          <w:b/>
          <w:bCs/>
          <w:color w:val="auto"/>
          <w:sz w:val="21"/>
          <w:szCs w:val="21"/>
        </w:rPr>
      </w:pPr>
      <w:r>
        <w:rPr>
          <w:rFonts w:hint="eastAsia" w:ascii="宋体" w:hAnsi="宋体"/>
          <w:b/>
          <w:bCs/>
          <w:color w:val="auto"/>
          <w:sz w:val="21"/>
          <w:szCs w:val="21"/>
        </w:rPr>
        <w:br w:type="page"/>
      </w:r>
      <w:r>
        <w:rPr>
          <w:rFonts w:hint="eastAsia" w:ascii="宋体" w:hAnsi="宋体"/>
          <w:b/>
          <w:bCs/>
          <w:color w:val="auto"/>
          <w:sz w:val="21"/>
          <w:szCs w:val="21"/>
        </w:rPr>
        <w:t>附件一</w:t>
      </w:r>
    </w:p>
    <w:p>
      <w:pPr>
        <w:spacing w:beforeAutospacing="0" w:afterAutospacing="0" w:line="360" w:lineRule="auto"/>
        <w:jc w:val="center"/>
        <w:rPr>
          <w:rFonts w:hint="eastAsia" w:ascii="宋体" w:hAnsi="宋体"/>
          <w:b/>
          <w:bCs/>
          <w:color w:val="auto"/>
          <w:szCs w:val="21"/>
        </w:rPr>
      </w:pPr>
      <w:r>
        <w:rPr>
          <w:rFonts w:hint="eastAsia" w:ascii="宋体" w:hAnsi="宋体"/>
          <w:b/>
          <w:bCs/>
          <w:color w:val="auto"/>
          <w:szCs w:val="21"/>
        </w:rPr>
        <w:t>磋商响应函</w:t>
      </w:r>
    </w:p>
    <w:p>
      <w:pPr>
        <w:spacing w:beforeAutospacing="0" w:afterAutospacing="0" w:line="360" w:lineRule="auto"/>
        <w:jc w:val="center"/>
        <w:rPr>
          <w:rFonts w:hint="eastAsia" w:ascii="宋体" w:hAnsi="宋体"/>
          <w:bCs/>
          <w:color w:val="auto"/>
          <w:szCs w:val="21"/>
        </w:rPr>
      </w:pP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rPr>
          <w:rFonts w:hint="eastAsia" w:ascii="宋体" w:hAnsi="宋体"/>
          <w:bCs/>
          <w:color w:val="auto"/>
          <w:szCs w:val="21"/>
        </w:rPr>
      </w:pPr>
      <w:r>
        <w:rPr>
          <w:rFonts w:hint="eastAsia" w:ascii="宋体" w:hAnsi="宋体"/>
          <w:bCs/>
          <w:color w:val="auto"/>
          <w:szCs w:val="21"/>
        </w:rPr>
        <w:t xml:space="preserve">    </w:t>
      </w:r>
      <w:r>
        <w:rPr>
          <w:rFonts w:hint="eastAsia" w:ascii="宋体" w:hAnsi="宋体"/>
          <w:color w:val="auto"/>
          <w:szCs w:val="21"/>
        </w:rPr>
        <w:t>经研究，我方决定参加项目编号为                        的采购活动并提交磋商响应文件。为此，我方郑重声明如下:</w:t>
      </w:r>
    </w:p>
    <w:p>
      <w:pPr>
        <w:tabs>
          <w:tab w:val="left" w:pos="0"/>
          <w:tab w:val="left" w:pos="540"/>
          <w:tab w:val="left" w:pos="720"/>
          <w:tab w:val="left" w:pos="1440"/>
          <w:tab w:val="left" w:pos="2160"/>
          <w:tab w:val="left" w:pos="2880"/>
          <w:tab w:val="left" w:pos="3600"/>
          <w:tab w:val="left" w:pos="4320"/>
        </w:tabs>
        <w:autoSpaceDE w:val="0"/>
        <w:autoSpaceDN w:val="0"/>
        <w:snapToGrid w:val="0"/>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1、我方提交的磋商响应文件，正本一份，副本四份。</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2、如果我方的磋商响应文件被接受，我方将履行磋商文件中规定的每一项要求，并按我方磋商响应文件中的承诺按期、保质、保量完成项目的实施。</w:t>
      </w:r>
    </w:p>
    <w:p>
      <w:pPr>
        <w:tabs>
          <w:tab w:val="left" w:pos="0"/>
          <w:tab w:val="left" w:pos="540"/>
          <w:tab w:val="left" w:pos="720"/>
          <w:tab w:val="left" w:pos="1080"/>
          <w:tab w:val="left" w:pos="1440"/>
          <w:tab w:val="left" w:pos="2160"/>
          <w:tab w:val="left" w:pos="2880"/>
          <w:tab w:val="left" w:pos="3600"/>
          <w:tab w:val="left" w:pos="4320"/>
        </w:tabs>
        <w:autoSpaceDE w:val="0"/>
        <w:autoSpaceDN w:val="0"/>
        <w:snapToGrid w:val="0"/>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3、我方理解，最低报价不是入选成交候选人的唯一条件。</w:t>
      </w:r>
    </w:p>
    <w:p>
      <w:pPr>
        <w:tabs>
          <w:tab w:val="left" w:pos="0"/>
          <w:tab w:val="left" w:pos="540"/>
          <w:tab w:val="left" w:pos="720"/>
          <w:tab w:val="left" w:pos="1440"/>
          <w:tab w:val="left" w:pos="2160"/>
          <w:tab w:val="left" w:pos="2880"/>
          <w:tab w:val="left" w:pos="3600"/>
          <w:tab w:val="left" w:pos="4320"/>
        </w:tabs>
        <w:autoSpaceDE w:val="0"/>
        <w:autoSpaceDN w:val="0"/>
        <w:snapToGrid w:val="0"/>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4、我方愿按《中华人民共和国</w:t>
      </w:r>
      <w:r>
        <w:rPr>
          <w:rFonts w:hint="eastAsia" w:ascii="宋体" w:hAnsi="宋体"/>
          <w:color w:val="auto"/>
          <w:szCs w:val="21"/>
          <w:lang w:eastAsia="zh-CN"/>
        </w:rPr>
        <w:t>民典法</w:t>
      </w:r>
      <w:r>
        <w:rPr>
          <w:rFonts w:hint="eastAsia" w:ascii="宋体" w:hAnsi="宋体"/>
          <w:color w:val="auto"/>
          <w:szCs w:val="21"/>
        </w:rPr>
        <w:t>》履行自己的全部责任。</w:t>
      </w:r>
    </w:p>
    <w:p>
      <w:pPr>
        <w:tabs>
          <w:tab w:val="left" w:pos="0"/>
          <w:tab w:val="left" w:pos="540"/>
          <w:tab w:val="left" w:pos="720"/>
          <w:tab w:val="left" w:pos="1440"/>
          <w:tab w:val="left" w:pos="2160"/>
          <w:tab w:val="left" w:pos="2880"/>
          <w:tab w:val="left" w:pos="3600"/>
          <w:tab w:val="left" w:pos="4320"/>
        </w:tabs>
        <w:autoSpaceDE w:val="0"/>
        <w:autoSpaceDN w:val="0"/>
        <w:snapToGrid w:val="0"/>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5、我方已详细检查所有磋商文件、附件以及所提供的参考文件，因模糊和误解产生的一切后果，由我方自负。</w:t>
      </w:r>
    </w:p>
    <w:p>
      <w:pPr>
        <w:tabs>
          <w:tab w:val="left" w:pos="0"/>
          <w:tab w:val="left" w:pos="180"/>
          <w:tab w:val="left" w:pos="540"/>
          <w:tab w:val="left" w:pos="720"/>
          <w:tab w:val="left" w:pos="900"/>
          <w:tab w:val="left" w:pos="3600"/>
          <w:tab w:val="left" w:pos="4320"/>
        </w:tabs>
        <w:autoSpaceDE w:val="0"/>
        <w:autoSpaceDN w:val="0"/>
        <w:snapToGrid w:val="0"/>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6、我方的磋商响应文件自递交截止之日起60个日历天内有效。</w:t>
      </w:r>
    </w:p>
    <w:p>
      <w:pPr>
        <w:tabs>
          <w:tab w:val="left" w:pos="0"/>
          <w:tab w:val="left" w:pos="540"/>
          <w:tab w:val="left" w:pos="720"/>
          <w:tab w:val="left" w:pos="1440"/>
          <w:tab w:val="left" w:pos="2160"/>
          <w:tab w:val="left" w:pos="2880"/>
          <w:tab w:val="left" w:pos="3600"/>
          <w:tab w:val="left" w:pos="4320"/>
        </w:tabs>
        <w:autoSpaceDE w:val="0"/>
        <w:autoSpaceDN w:val="0"/>
        <w:snapToGrid w:val="0"/>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7、我方同意按文件要求，提交与递交磋商响应文件有关的数据和资料。</w:t>
      </w:r>
    </w:p>
    <w:p>
      <w:pPr>
        <w:tabs>
          <w:tab w:val="left" w:pos="0"/>
          <w:tab w:val="left" w:pos="540"/>
          <w:tab w:val="left" w:pos="720"/>
          <w:tab w:val="left" w:pos="1440"/>
          <w:tab w:val="left" w:pos="2160"/>
          <w:tab w:val="left" w:pos="2880"/>
          <w:tab w:val="left" w:pos="3600"/>
          <w:tab w:val="left" w:pos="4320"/>
        </w:tabs>
        <w:autoSpaceDE w:val="0"/>
        <w:autoSpaceDN w:val="0"/>
        <w:snapToGrid w:val="0"/>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8、与本项目有关的一切正式往来信函，应按下列地址进行：</w:t>
      </w: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ind w:firstLine="420" w:firstLineChars="200"/>
        <w:rPr>
          <w:rFonts w:hint="eastAsia" w:ascii="宋体" w:hAnsi="宋体"/>
          <w:color w:val="auto"/>
          <w:szCs w:val="21"/>
        </w:rPr>
      </w:pP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地址：</w:t>
      </w: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邮政编码：</w:t>
      </w: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电话：</w:t>
      </w: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传真：</w:t>
      </w: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磋商响应方代表姓名、职务：</w:t>
      </w: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磋商响应方全称（印章）：</w:t>
      </w: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法定代表人签字：</w:t>
      </w: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rPr>
          <w:rFonts w:hint="eastAsia" w:ascii="宋体" w:hAnsi="宋体"/>
          <w:color w:val="auto"/>
          <w:szCs w:val="21"/>
        </w:rPr>
      </w:pP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jc w:val="right"/>
        <w:rPr>
          <w:rFonts w:hint="eastAsia" w:ascii="宋体" w:hAnsi="宋体"/>
          <w:color w:val="auto"/>
          <w:szCs w:val="21"/>
        </w:rPr>
      </w:pPr>
      <w:r>
        <w:rPr>
          <w:rFonts w:hint="eastAsia" w:ascii="宋体" w:hAnsi="宋体"/>
          <w:color w:val="auto"/>
          <w:szCs w:val="21"/>
        </w:rPr>
        <w:t>年   月   日</w:t>
      </w:r>
    </w:p>
    <w:p>
      <w:pPr>
        <w:pStyle w:val="28"/>
        <w:tabs>
          <w:tab w:val="left" w:pos="0"/>
          <w:tab w:val="left" w:pos="720"/>
          <w:tab w:val="left" w:pos="1440"/>
          <w:tab w:val="left" w:pos="2160"/>
          <w:tab w:val="left" w:pos="2880"/>
          <w:tab w:val="left" w:pos="3600"/>
          <w:tab w:val="left" w:pos="4320"/>
        </w:tabs>
        <w:autoSpaceDE w:val="0"/>
        <w:autoSpaceDN w:val="0"/>
        <w:spacing w:before="0" w:beforeAutospacing="0" w:afterAutospacing="0" w:line="360" w:lineRule="auto"/>
        <w:rPr>
          <w:rFonts w:hint="eastAsia" w:ascii="宋体" w:hAnsi="宋体"/>
          <w:bCs/>
          <w:color w:val="auto"/>
          <w:sz w:val="21"/>
          <w:szCs w:val="21"/>
        </w:rPr>
      </w:pPr>
    </w:p>
    <w:p>
      <w:pPr>
        <w:pStyle w:val="28"/>
        <w:tabs>
          <w:tab w:val="left" w:pos="0"/>
          <w:tab w:val="left" w:pos="720"/>
          <w:tab w:val="left" w:pos="1440"/>
          <w:tab w:val="left" w:pos="2160"/>
          <w:tab w:val="left" w:pos="2880"/>
          <w:tab w:val="left" w:pos="3600"/>
          <w:tab w:val="left" w:pos="4320"/>
        </w:tabs>
        <w:autoSpaceDE w:val="0"/>
        <w:autoSpaceDN w:val="0"/>
        <w:spacing w:before="0" w:beforeAutospacing="0" w:afterAutospacing="0" w:line="360" w:lineRule="auto"/>
        <w:rPr>
          <w:rFonts w:hint="eastAsia" w:ascii="宋体" w:hAnsi="宋体"/>
          <w:bCs/>
          <w:color w:val="auto"/>
          <w:sz w:val="21"/>
          <w:szCs w:val="21"/>
        </w:rPr>
      </w:pPr>
      <w:r>
        <w:rPr>
          <w:rFonts w:hint="eastAsia" w:ascii="宋体" w:hAnsi="宋体"/>
          <w:bCs/>
          <w:color w:val="auto"/>
          <w:sz w:val="21"/>
          <w:szCs w:val="21"/>
        </w:rPr>
        <w:br w:type="page"/>
      </w:r>
    </w:p>
    <w:p>
      <w:pPr>
        <w:pStyle w:val="28"/>
        <w:tabs>
          <w:tab w:val="left" w:pos="0"/>
          <w:tab w:val="left" w:pos="720"/>
          <w:tab w:val="left" w:pos="1440"/>
          <w:tab w:val="left" w:pos="2160"/>
          <w:tab w:val="left" w:pos="2880"/>
          <w:tab w:val="left" w:pos="3600"/>
          <w:tab w:val="left" w:pos="4320"/>
        </w:tabs>
        <w:autoSpaceDE w:val="0"/>
        <w:autoSpaceDN w:val="0"/>
        <w:spacing w:before="0" w:beforeAutospacing="0" w:afterAutospacing="0" w:line="240" w:lineRule="atLeast"/>
        <w:rPr>
          <w:rFonts w:hint="eastAsia" w:ascii="宋体" w:hAnsi="宋体"/>
          <w:b/>
          <w:color w:val="auto"/>
          <w:sz w:val="21"/>
          <w:szCs w:val="21"/>
        </w:rPr>
      </w:pPr>
      <w:r>
        <w:rPr>
          <w:rFonts w:hint="eastAsia" w:ascii="宋体" w:hAnsi="宋体"/>
          <w:b/>
          <w:color w:val="auto"/>
          <w:sz w:val="21"/>
          <w:szCs w:val="21"/>
        </w:rPr>
        <w:t>附件二</w:t>
      </w:r>
    </w:p>
    <w:p>
      <w:pPr>
        <w:tabs>
          <w:tab w:val="left" w:pos="0"/>
          <w:tab w:val="left" w:pos="720"/>
          <w:tab w:val="left" w:pos="1440"/>
          <w:tab w:val="left" w:pos="2160"/>
          <w:tab w:val="left" w:pos="2880"/>
          <w:tab w:val="left" w:pos="3600"/>
          <w:tab w:val="left" w:pos="4320"/>
        </w:tabs>
        <w:autoSpaceDE w:val="0"/>
        <w:autoSpaceDN w:val="0"/>
        <w:spacing w:beforeAutospacing="0" w:afterAutospacing="0" w:line="240" w:lineRule="atLeast"/>
        <w:jc w:val="center"/>
        <w:rPr>
          <w:rFonts w:hint="eastAsia" w:ascii="宋体" w:hAnsi="宋体"/>
          <w:b/>
          <w:color w:val="auto"/>
          <w:szCs w:val="21"/>
        </w:rPr>
      </w:pPr>
      <w:r>
        <w:rPr>
          <w:rFonts w:hint="eastAsia" w:ascii="宋体" w:hAnsi="宋体"/>
          <w:b/>
          <w:color w:val="auto"/>
          <w:szCs w:val="21"/>
        </w:rPr>
        <w:t>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ind w:firstLine="645"/>
        <w:rPr>
          <w:rFonts w:hint="eastAsia" w:ascii="宋体" w:hAnsi="宋体"/>
          <w:color w:val="auto"/>
          <w:szCs w:val="21"/>
        </w:rPr>
      </w:pP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480" w:lineRule="auto"/>
        <w:ind w:firstLine="645"/>
        <w:rPr>
          <w:rFonts w:hint="eastAsia" w:ascii="宋体" w:hAnsi="宋体"/>
          <w:color w:val="auto"/>
          <w:szCs w:val="21"/>
        </w:rPr>
      </w:pPr>
      <w:r>
        <w:rPr>
          <w:rFonts w:hint="eastAsia" w:ascii="宋体" w:hAnsi="宋体"/>
          <w:color w:val="auto"/>
          <w:szCs w:val="21"/>
        </w:rPr>
        <w:t xml:space="preserve">                   （磋商响应方名称）法定代表人         ，现授权委托              （单位名称）的         （姓名、职务或职称）为我单位本次项目的全权代表，以本公司的名义参加         </w:t>
      </w:r>
      <w:r>
        <w:rPr>
          <w:rFonts w:hint="eastAsia" w:ascii="宋体" w:hAnsi="宋体"/>
          <w:bCs/>
          <w:color w:val="auto"/>
          <w:szCs w:val="21"/>
        </w:rPr>
        <w:t>项目竞争性磋商</w:t>
      </w:r>
      <w:r>
        <w:rPr>
          <w:rFonts w:hint="eastAsia" w:ascii="宋体" w:hAnsi="宋体"/>
          <w:color w:val="auto"/>
          <w:szCs w:val="21"/>
        </w:rPr>
        <w:t>，全权处理磋商过程中所签署的一切文件和有关的一切事务。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480" w:lineRule="auto"/>
        <w:ind w:firstLine="420" w:firstLineChars="200"/>
        <w:rPr>
          <w:rFonts w:hint="eastAsia" w:ascii="宋体" w:hAnsi="宋体"/>
          <w:color w:val="auto"/>
          <w:szCs w:val="21"/>
        </w:rPr>
      </w:pPr>
      <w:r>
        <w:rPr>
          <w:rFonts w:hint="eastAsia" w:ascii="宋体" w:hAnsi="宋体"/>
          <w:color w:val="auto"/>
          <w:szCs w:val="21"/>
        </w:rPr>
        <w:t>特此授权。</w:t>
      </w: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jc w:val="left"/>
        <w:rPr>
          <w:rFonts w:hint="eastAsia" w:ascii="宋体" w:hAnsi="宋体"/>
          <w:bCs/>
          <w:color w:val="auto"/>
          <w:szCs w:val="21"/>
        </w:rPr>
      </w:pP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jc w:val="left"/>
        <w:rPr>
          <w:rFonts w:hint="eastAsia" w:ascii="宋体" w:hAnsi="宋体"/>
          <w:bCs/>
          <w:color w:val="auto"/>
          <w:szCs w:val="21"/>
        </w:rPr>
      </w:pP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jc w:val="left"/>
        <w:rPr>
          <w:rFonts w:hint="eastAsia" w:ascii="宋体" w:hAnsi="宋体"/>
          <w:bCs/>
          <w:color w:val="auto"/>
          <w:szCs w:val="21"/>
        </w:rPr>
      </w:pP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jc w:val="left"/>
        <w:rPr>
          <w:rFonts w:hint="eastAsia" w:ascii="宋体" w:hAnsi="宋体"/>
          <w:bCs/>
          <w:color w:val="auto"/>
          <w:szCs w:val="21"/>
        </w:rPr>
      </w:pP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jc w:val="left"/>
        <w:rPr>
          <w:rFonts w:hint="eastAsia" w:ascii="宋体" w:hAnsi="宋体"/>
          <w:bCs/>
          <w:color w:val="auto"/>
          <w:szCs w:val="21"/>
        </w:rPr>
      </w:pP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jc w:val="left"/>
        <w:rPr>
          <w:rFonts w:hint="eastAsia" w:ascii="宋体" w:hAnsi="宋体"/>
          <w:bCs/>
          <w:color w:val="auto"/>
          <w:szCs w:val="21"/>
        </w:rPr>
      </w:pPr>
    </w:p>
    <w:p>
      <w:pPr>
        <w:pStyle w:val="114"/>
        <w:widowControl w:val="0"/>
        <w:tabs>
          <w:tab w:val="left" w:pos="0"/>
          <w:tab w:val="left" w:pos="720"/>
          <w:tab w:val="left" w:pos="1440"/>
          <w:tab w:val="left" w:pos="2160"/>
          <w:tab w:val="left" w:pos="2880"/>
          <w:tab w:val="left" w:pos="3600"/>
          <w:tab w:val="left" w:pos="4320"/>
        </w:tabs>
        <w:autoSpaceDE w:val="0"/>
        <w:autoSpaceDN w:val="0"/>
        <w:snapToGrid w:val="0"/>
        <w:spacing w:before="0" w:beforeAutospacing="0" w:after="0" w:afterAutospacing="0" w:line="360" w:lineRule="auto"/>
        <w:rPr>
          <w:rFonts w:hint="eastAsia" w:ascii="宋体" w:hAnsi="宋体" w:eastAsia="宋体"/>
          <w:bCs/>
          <w:color w:val="auto"/>
          <w:kern w:val="2"/>
          <w:sz w:val="21"/>
          <w:szCs w:val="21"/>
        </w:rPr>
      </w:pPr>
      <w:r>
        <w:rPr>
          <w:rFonts w:hint="eastAsia" w:ascii="宋体" w:hAnsi="宋体" w:eastAsia="宋体"/>
          <w:bCs/>
          <w:color w:val="auto"/>
          <w:kern w:val="2"/>
          <w:sz w:val="21"/>
          <w:szCs w:val="21"/>
        </w:rPr>
        <w:t>（附授权代理人身份证明复印件）</w:t>
      </w: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jc w:val="center"/>
        <w:rPr>
          <w:rFonts w:hint="eastAsia" w:ascii="宋体" w:hAnsi="宋体"/>
          <w:bCs/>
          <w:color w:val="auto"/>
          <w:szCs w:val="21"/>
        </w:rPr>
      </w:pP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rPr>
          <w:rFonts w:hint="eastAsia" w:ascii="宋体" w:hAnsi="宋体"/>
          <w:bCs/>
          <w:color w:val="auto"/>
          <w:szCs w:val="21"/>
        </w:rPr>
      </w:pPr>
      <w:r>
        <w:rPr>
          <w:rFonts w:hint="eastAsia" w:ascii="宋体" w:hAnsi="宋体"/>
          <w:bCs/>
          <w:color w:val="auto"/>
          <w:szCs w:val="21"/>
        </w:rPr>
        <w:t xml:space="preserve">全权代表姓名：     性别：     年龄：    </w:t>
      </w: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rPr>
          <w:rFonts w:hint="eastAsia" w:ascii="宋体" w:hAnsi="宋体"/>
          <w:bCs/>
          <w:color w:val="auto"/>
          <w:szCs w:val="21"/>
        </w:rPr>
      </w:pPr>
      <w:r>
        <w:rPr>
          <w:rFonts w:hint="eastAsia" w:ascii="宋体" w:hAnsi="宋体"/>
          <w:bCs/>
          <w:color w:val="auto"/>
          <w:szCs w:val="21"/>
        </w:rPr>
        <w:t>单位：             部门：     职务：</w:t>
      </w: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rPr>
          <w:rFonts w:hint="eastAsia" w:ascii="宋体" w:hAnsi="宋体"/>
          <w:bCs/>
          <w:color w:val="auto"/>
          <w:szCs w:val="21"/>
        </w:rPr>
      </w:pP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rPr>
          <w:rFonts w:hint="eastAsia" w:ascii="宋体" w:hAnsi="宋体"/>
          <w:bCs/>
          <w:color w:val="auto"/>
          <w:szCs w:val="21"/>
        </w:rPr>
      </w:pPr>
      <w:r>
        <w:rPr>
          <w:rFonts w:hint="eastAsia" w:ascii="宋体" w:hAnsi="宋体"/>
          <w:bCs/>
          <w:color w:val="auto"/>
          <w:szCs w:val="21"/>
        </w:rPr>
        <w:t>磋商响应方（公章）：</w:t>
      </w: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rPr>
          <w:rFonts w:hint="eastAsia" w:ascii="宋体" w:hAnsi="宋体"/>
          <w:bCs/>
          <w:color w:val="auto"/>
          <w:szCs w:val="21"/>
        </w:rPr>
      </w:pPr>
      <w:r>
        <w:rPr>
          <w:rFonts w:hint="eastAsia" w:ascii="宋体" w:hAnsi="宋体"/>
          <w:bCs/>
          <w:color w:val="auto"/>
          <w:szCs w:val="21"/>
        </w:rPr>
        <w:t>法定代表人签字：</w:t>
      </w: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rPr>
          <w:rFonts w:hint="eastAsia" w:ascii="宋体" w:hAnsi="宋体"/>
          <w:bCs/>
          <w:color w:val="auto"/>
          <w:szCs w:val="21"/>
        </w:rPr>
      </w:pPr>
      <w:r>
        <w:rPr>
          <w:rFonts w:hint="eastAsia" w:ascii="宋体" w:hAnsi="宋体"/>
          <w:bCs/>
          <w:color w:val="auto"/>
          <w:szCs w:val="21"/>
        </w:rPr>
        <w:t>日期：   年   月   日</w:t>
      </w:r>
    </w:p>
    <w:p>
      <w:pPr>
        <w:tabs>
          <w:tab w:val="left" w:pos="0"/>
          <w:tab w:val="left" w:pos="720"/>
          <w:tab w:val="left" w:pos="1440"/>
          <w:tab w:val="left" w:pos="2160"/>
          <w:tab w:val="left" w:pos="2880"/>
          <w:tab w:val="left" w:pos="3600"/>
          <w:tab w:val="left" w:pos="4320"/>
        </w:tabs>
        <w:autoSpaceDE w:val="0"/>
        <w:autoSpaceDN w:val="0"/>
        <w:snapToGrid w:val="0"/>
        <w:spacing w:beforeAutospacing="0" w:afterAutospacing="0" w:line="360" w:lineRule="auto"/>
        <w:rPr>
          <w:rFonts w:hint="eastAsia" w:ascii="宋体" w:hAnsi="宋体"/>
          <w:color w:val="auto"/>
          <w:szCs w:val="21"/>
        </w:rPr>
      </w:pPr>
    </w:p>
    <w:p>
      <w:pPr>
        <w:tabs>
          <w:tab w:val="left" w:pos="0"/>
          <w:tab w:val="left" w:pos="720"/>
          <w:tab w:val="left" w:pos="1440"/>
          <w:tab w:val="left" w:pos="2160"/>
          <w:tab w:val="left" w:pos="2880"/>
          <w:tab w:val="left" w:pos="3600"/>
          <w:tab w:val="left" w:pos="4320"/>
        </w:tabs>
        <w:autoSpaceDE w:val="0"/>
        <w:autoSpaceDN w:val="0"/>
        <w:spacing w:beforeAutospacing="0" w:afterAutospacing="0" w:line="240" w:lineRule="atLeast"/>
        <w:rPr>
          <w:rFonts w:hint="eastAsia" w:ascii="宋体" w:hAnsi="宋体"/>
          <w:color w:val="auto"/>
          <w:szCs w:val="21"/>
        </w:rPr>
      </w:pPr>
    </w:p>
    <w:p>
      <w:pPr>
        <w:tabs>
          <w:tab w:val="left" w:pos="0"/>
          <w:tab w:val="left" w:pos="720"/>
          <w:tab w:val="left" w:pos="1440"/>
          <w:tab w:val="left" w:pos="2160"/>
          <w:tab w:val="left" w:pos="2880"/>
          <w:tab w:val="left" w:pos="3600"/>
          <w:tab w:val="left" w:pos="4320"/>
        </w:tabs>
        <w:autoSpaceDE w:val="0"/>
        <w:autoSpaceDN w:val="0"/>
        <w:spacing w:beforeAutospacing="0" w:afterAutospacing="0" w:line="240" w:lineRule="atLeast"/>
        <w:rPr>
          <w:rFonts w:hint="eastAsia" w:ascii="宋体" w:hAnsi="宋体"/>
          <w:color w:val="auto"/>
          <w:szCs w:val="21"/>
        </w:rPr>
      </w:pPr>
    </w:p>
    <w:p>
      <w:pPr>
        <w:pStyle w:val="28"/>
        <w:tabs>
          <w:tab w:val="left" w:pos="0"/>
          <w:tab w:val="left" w:pos="720"/>
          <w:tab w:val="left" w:pos="1440"/>
          <w:tab w:val="left" w:pos="2160"/>
          <w:tab w:val="left" w:pos="2880"/>
          <w:tab w:val="left" w:pos="3600"/>
          <w:tab w:val="left" w:pos="4320"/>
        </w:tabs>
        <w:autoSpaceDE w:val="0"/>
        <w:autoSpaceDN w:val="0"/>
        <w:spacing w:before="0" w:beforeAutospacing="0" w:afterAutospacing="0" w:line="360" w:lineRule="auto"/>
        <w:rPr>
          <w:rFonts w:hint="eastAsia" w:ascii="宋体" w:hAnsi="宋体"/>
          <w:color w:val="auto"/>
          <w:sz w:val="21"/>
          <w:szCs w:val="21"/>
        </w:rPr>
      </w:pPr>
      <w:r>
        <w:rPr>
          <w:rFonts w:hint="eastAsia" w:ascii="宋体" w:hAnsi="宋体"/>
          <w:color w:val="auto"/>
          <w:sz w:val="21"/>
          <w:szCs w:val="21"/>
        </w:rPr>
        <w:br w:type="page"/>
      </w:r>
      <w:r>
        <w:rPr>
          <w:rFonts w:hint="eastAsia" w:ascii="宋体" w:hAnsi="宋体"/>
          <w:b/>
          <w:bCs/>
          <w:color w:val="auto"/>
          <w:sz w:val="21"/>
          <w:szCs w:val="21"/>
        </w:rPr>
        <w:t>附件三</w:t>
      </w:r>
    </w:p>
    <w:p>
      <w:pPr>
        <w:spacing w:beforeAutospacing="0" w:afterAutospacing="0" w:line="360" w:lineRule="auto"/>
        <w:jc w:val="center"/>
        <w:rPr>
          <w:rFonts w:hint="eastAsia" w:ascii="宋体" w:hAnsi="宋体"/>
          <w:b/>
          <w:color w:val="auto"/>
          <w:szCs w:val="21"/>
        </w:rPr>
      </w:pPr>
      <w:bookmarkStart w:id="22" w:name="_Toc381880855"/>
      <w:r>
        <w:rPr>
          <w:rFonts w:hint="eastAsia" w:ascii="宋体" w:hAnsi="宋体"/>
          <w:b/>
          <w:color w:val="auto"/>
          <w:szCs w:val="21"/>
        </w:rPr>
        <w:t>初次报价表</w:t>
      </w:r>
    </w:p>
    <w:tbl>
      <w:tblPr>
        <w:tblStyle w:val="2"/>
        <w:tblW w:w="0" w:type="auto"/>
        <w:tblInd w:w="4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9"/>
        <w:gridCol w:w="6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2399" w:type="dxa"/>
            <w:vAlign w:val="center"/>
          </w:tcPr>
          <w:p>
            <w:pPr>
              <w:jc w:val="center"/>
              <w:rPr>
                <w:rFonts w:hint="eastAsia" w:ascii="宋体" w:hAnsi="宋体"/>
                <w:color w:val="auto"/>
                <w:sz w:val="24"/>
              </w:rPr>
            </w:pPr>
            <w:r>
              <w:rPr>
                <w:rFonts w:hint="eastAsia" w:ascii="宋体" w:hAnsi="宋体"/>
                <w:color w:val="auto"/>
                <w:sz w:val="24"/>
              </w:rPr>
              <w:t>项目名称</w:t>
            </w:r>
          </w:p>
        </w:tc>
        <w:tc>
          <w:tcPr>
            <w:tcW w:w="6861" w:type="dxa"/>
            <w:vAlign w:val="center"/>
          </w:tcPr>
          <w:p>
            <w:pPr>
              <w:widowControl/>
              <w:jc w:val="center"/>
              <w:rPr>
                <w:rFonts w:hint="eastAsia" w:ascii="宋体" w:hAnsi="宋体" w:eastAsia="宋体"/>
                <w:b/>
                <w:color w:val="auto"/>
                <w:sz w:val="21"/>
                <w:szCs w:val="21"/>
                <w:lang w:eastAsia="zh-CN" w:bidi="ar"/>
              </w:rPr>
            </w:pPr>
            <w:r>
              <w:rPr>
                <w:rFonts w:hint="eastAsia" w:ascii="宋体" w:hAnsi="宋体" w:eastAsia="宋体"/>
                <w:b/>
                <w:color w:val="auto"/>
                <w:sz w:val="21"/>
                <w:szCs w:val="21"/>
                <w:lang w:eastAsia="zh-CN" w:bidi="ar"/>
              </w:rPr>
              <w:t>邹城市看庄镇前圪村卫生室医疗设备采购项目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9" w:hRule="atLeast"/>
        </w:trPr>
        <w:tc>
          <w:tcPr>
            <w:tcW w:w="2399" w:type="dxa"/>
            <w:vAlign w:val="center"/>
          </w:tcPr>
          <w:p>
            <w:pPr>
              <w:pStyle w:val="114"/>
              <w:widowControl w:val="0"/>
              <w:spacing w:before="0" w:beforeAutospacing="0" w:after="0" w:afterAutospacing="0"/>
              <w:rPr>
                <w:rFonts w:hint="eastAsia" w:ascii="宋体" w:hAnsi="宋体" w:eastAsia="宋体"/>
                <w:color w:val="auto"/>
              </w:rPr>
            </w:pPr>
            <w:r>
              <w:rPr>
                <w:rFonts w:hint="eastAsia" w:ascii="宋体" w:hAnsi="宋体" w:eastAsia="宋体"/>
                <w:color w:val="auto"/>
              </w:rPr>
              <w:t>总报价</w:t>
            </w:r>
          </w:p>
        </w:tc>
        <w:tc>
          <w:tcPr>
            <w:tcW w:w="6861" w:type="dxa"/>
            <w:vAlign w:val="center"/>
          </w:tcPr>
          <w:p>
            <w:pPr>
              <w:pStyle w:val="114"/>
              <w:widowControl w:val="0"/>
              <w:spacing w:before="0" w:beforeAutospacing="0" w:after="0" w:afterAutospacing="0" w:line="600" w:lineRule="exact"/>
              <w:jc w:val="left"/>
              <w:rPr>
                <w:rFonts w:hint="eastAsia" w:ascii="宋体" w:hAnsi="宋体" w:eastAsia="宋体"/>
                <w:color w:val="auto"/>
              </w:rPr>
            </w:pPr>
            <w:r>
              <w:rPr>
                <w:rFonts w:hint="eastAsia" w:ascii="宋体" w:hAnsi="宋体" w:eastAsia="宋体"/>
                <w:color w:val="auto"/>
              </w:rPr>
              <w:t>小写：                                元</w:t>
            </w:r>
          </w:p>
          <w:p>
            <w:pPr>
              <w:pStyle w:val="114"/>
              <w:widowControl w:val="0"/>
              <w:spacing w:before="0" w:beforeAutospacing="0" w:after="0" w:afterAutospacing="0" w:line="600" w:lineRule="exact"/>
              <w:jc w:val="left"/>
              <w:rPr>
                <w:rFonts w:hint="eastAsia" w:ascii="宋体" w:hAnsi="宋体" w:eastAsia="宋体"/>
                <w:color w:val="auto"/>
              </w:rPr>
            </w:pPr>
            <w:r>
              <w:rPr>
                <w:rFonts w:hint="eastAsia" w:ascii="宋体" w:hAnsi="宋体" w:eastAsia="宋体"/>
                <w:color w:val="auto"/>
              </w:rPr>
              <w:t>大写：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2399" w:type="dxa"/>
            <w:vAlign w:val="center"/>
          </w:tcPr>
          <w:p>
            <w:pPr>
              <w:jc w:val="center"/>
              <w:rPr>
                <w:rFonts w:hint="eastAsia" w:ascii="宋体" w:hAnsi="宋体"/>
                <w:color w:val="auto"/>
                <w:sz w:val="24"/>
              </w:rPr>
            </w:pPr>
            <w:r>
              <w:rPr>
                <w:rFonts w:hint="eastAsia" w:ascii="宋体" w:hAnsi="宋体"/>
                <w:color w:val="auto"/>
                <w:sz w:val="24"/>
              </w:rPr>
              <w:t>交货期</w:t>
            </w:r>
          </w:p>
        </w:tc>
        <w:tc>
          <w:tcPr>
            <w:tcW w:w="6861" w:type="dxa"/>
            <w:vAlign w:val="center"/>
          </w:tcPr>
          <w:p>
            <w:pPr>
              <w:pStyle w:val="114"/>
              <w:widowControl w:val="0"/>
              <w:ind w:left="218"/>
              <w:rPr>
                <w:rFonts w:hint="eastAsia" w:ascii="宋体" w:hAnsi="宋体" w:eastAsia="宋体"/>
                <w:color w:val="auto"/>
                <w:szCs w:val="21"/>
                <w:lang w:eastAsia="zh-CN"/>
              </w:rPr>
            </w:pPr>
            <w:r>
              <w:rPr>
                <w:rFonts w:hint="eastAsia" w:ascii="宋体" w:hAnsi="宋体" w:eastAsia="宋体"/>
                <w:color w:val="auto"/>
                <w:szCs w:val="21"/>
                <w:lang w:eastAsia="zh-CN"/>
              </w:rPr>
              <w:t>合同签订后</w:t>
            </w:r>
            <w:r>
              <w:rPr>
                <w:rFonts w:hint="eastAsia" w:ascii="宋体" w:hAnsi="宋体" w:eastAsia="宋体"/>
                <w:color w:val="auto"/>
                <w:szCs w:val="21"/>
                <w:lang w:val="en-US" w:eastAsia="zh-CN"/>
              </w:rPr>
              <w:t xml:space="preserve">   </w:t>
            </w:r>
            <w:r>
              <w:rPr>
                <w:rFonts w:hint="eastAsia" w:ascii="宋体" w:hAnsi="宋体" w:eastAsia="宋体"/>
                <w:color w:val="auto"/>
                <w:szCs w:val="21"/>
                <w:lang w:eastAsia="zh-CN"/>
              </w:rPr>
              <w:t>日历天内全部供货并安装调试完毕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2399" w:type="dxa"/>
            <w:vAlign w:val="center"/>
          </w:tcPr>
          <w:p>
            <w:pPr>
              <w:jc w:val="center"/>
              <w:rPr>
                <w:rFonts w:hint="eastAsia" w:ascii="宋体"/>
                <w:color w:val="auto"/>
                <w:sz w:val="24"/>
              </w:rPr>
            </w:pPr>
            <w:r>
              <w:rPr>
                <w:rFonts w:hint="eastAsia" w:ascii="宋体"/>
                <w:color w:val="auto"/>
                <w:sz w:val="24"/>
              </w:rPr>
              <w:t>免费质保期（年）</w:t>
            </w:r>
          </w:p>
        </w:tc>
        <w:tc>
          <w:tcPr>
            <w:tcW w:w="6861" w:type="dxa"/>
            <w:vAlign w:val="center"/>
          </w:tcPr>
          <w:p>
            <w:pPr>
              <w:pStyle w:val="114"/>
              <w:widowControl w:val="0"/>
              <w:ind w:left="218"/>
              <w:rPr>
                <w:rFonts w:hint="eastAsia" w:ascii="宋体" w:hAnsi="宋体" w:eastAsia="宋体"/>
                <w:color w:val="auto"/>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trPr>
        <w:tc>
          <w:tcPr>
            <w:tcW w:w="2399" w:type="dxa"/>
            <w:vAlign w:val="center"/>
          </w:tcPr>
          <w:p>
            <w:pPr>
              <w:jc w:val="center"/>
              <w:rPr>
                <w:rFonts w:hint="eastAsia" w:ascii="宋体"/>
                <w:color w:val="auto"/>
                <w:sz w:val="24"/>
              </w:rPr>
            </w:pPr>
            <w:r>
              <w:rPr>
                <w:rFonts w:hint="eastAsia" w:ascii="宋体"/>
                <w:color w:val="auto"/>
                <w:sz w:val="24"/>
              </w:rPr>
              <w:t>磋商响应程度</w:t>
            </w:r>
          </w:p>
        </w:tc>
        <w:tc>
          <w:tcPr>
            <w:tcW w:w="6861" w:type="dxa"/>
            <w:vAlign w:val="center"/>
          </w:tcPr>
          <w:p>
            <w:pPr>
              <w:pStyle w:val="114"/>
              <w:widowControl w:val="0"/>
              <w:ind w:left="218"/>
              <w:rPr>
                <w:rFonts w:hint="eastAsia" w:ascii="宋体" w:hAnsi="宋体" w:eastAsia="宋体"/>
                <w:color w:val="auto"/>
                <w:kern w:val="2"/>
              </w:rPr>
            </w:pPr>
            <w:r>
              <w:rPr>
                <w:rFonts w:hint="eastAsia" w:ascii="宋体" w:hAnsi="宋体" w:eastAsia="宋体"/>
                <w:color w:val="auto"/>
                <w:kern w:val="2"/>
              </w:rPr>
              <w:t>完全响应</w:t>
            </w:r>
          </w:p>
        </w:tc>
      </w:tr>
    </w:tbl>
    <w:p>
      <w:pPr>
        <w:widowControl/>
        <w:spacing w:beforeAutospacing="0" w:afterAutospacing="0" w:line="360" w:lineRule="auto"/>
        <w:ind w:firstLine="420" w:firstLineChars="200"/>
        <w:rPr>
          <w:rFonts w:hint="eastAsia" w:ascii="宋体" w:hAnsi="宋体"/>
          <w:color w:val="auto"/>
          <w:szCs w:val="21"/>
        </w:rPr>
      </w:pPr>
    </w:p>
    <w:p>
      <w:pPr>
        <w:widowControl/>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响应供应商（名称及盖章）：</w:t>
      </w:r>
    </w:p>
    <w:p>
      <w:pPr>
        <w:widowControl/>
        <w:spacing w:beforeAutospacing="0" w:afterAutospacing="0" w:line="360" w:lineRule="auto"/>
        <w:rPr>
          <w:rFonts w:hint="eastAsia" w:ascii="宋体" w:hAnsi="宋体"/>
          <w:color w:val="auto"/>
          <w:szCs w:val="21"/>
        </w:rPr>
      </w:pPr>
    </w:p>
    <w:p>
      <w:pPr>
        <w:widowControl/>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法定代表人或授权代表（签字或盖章）：</w:t>
      </w:r>
    </w:p>
    <w:bookmarkEnd w:id="22"/>
    <w:p>
      <w:pPr>
        <w:pStyle w:val="131"/>
        <w:spacing w:beforeAutospacing="0" w:afterAutospacing="0" w:line="360" w:lineRule="auto"/>
        <w:ind w:firstLine="420" w:firstLineChars="200"/>
        <w:jc w:val="left"/>
        <w:outlineLvl w:val="9"/>
        <w:rPr>
          <w:rFonts w:hint="eastAsia" w:hAnsi="宋体"/>
          <w:color w:val="auto"/>
          <w:sz w:val="21"/>
          <w:szCs w:val="21"/>
        </w:rPr>
      </w:pPr>
      <w:bookmarkStart w:id="23" w:name="_Toc21604"/>
      <w:bookmarkEnd w:id="23"/>
      <w:bookmarkStart w:id="24" w:name="_Toc24838"/>
      <w:bookmarkEnd w:id="24"/>
      <w:r>
        <w:rPr>
          <w:rFonts w:hint="eastAsia" w:hAnsi="宋体"/>
          <w:color w:val="auto"/>
          <w:sz w:val="21"/>
          <w:szCs w:val="21"/>
        </w:rPr>
        <w:br w:type="page"/>
      </w:r>
      <w:r>
        <w:rPr>
          <w:rFonts w:hint="eastAsia" w:hAnsi="宋体"/>
          <w:b/>
          <w:color w:val="auto"/>
          <w:sz w:val="21"/>
          <w:szCs w:val="21"/>
        </w:rPr>
        <w:t>附件四  报价明细表</w:t>
      </w:r>
    </w:p>
    <w:p>
      <w:pPr>
        <w:pStyle w:val="131"/>
        <w:spacing w:beforeAutospacing="0" w:afterAutospacing="0" w:line="360" w:lineRule="auto"/>
        <w:jc w:val="center"/>
        <w:outlineLvl w:val="9"/>
        <w:rPr>
          <w:rFonts w:hint="eastAsia" w:hAnsi="宋体"/>
          <w:b/>
          <w:color w:val="auto"/>
          <w:sz w:val="21"/>
          <w:szCs w:val="21"/>
        </w:rPr>
      </w:pPr>
      <w:bookmarkStart w:id="25" w:name="_Toc15405"/>
      <w:bookmarkEnd w:id="25"/>
      <w:bookmarkStart w:id="26" w:name="_Toc31356"/>
      <w:bookmarkEnd w:id="26"/>
      <w:r>
        <w:rPr>
          <w:rFonts w:hint="eastAsia" w:hAnsi="宋体"/>
          <w:b/>
          <w:color w:val="auto"/>
          <w:sz w:val="21"/>
          <w:szCs w:val="21"/>
        </w:rPr>
        <w:t>报价明细表</w:t>
      </w:r>
    </w:p>
    <w:p>
      <w:pPr>
        <w:spacing w:beforeAutospacing="0" w:afterAutospacing="0" w:line="360" w:lineRule="auto"/>
        <w:ind w:left="309" w:right="420"/>
        <w:jc w:val="right"/>
        <w:rPr>
          <w:rFonts w:hint="eastAsia" w:ascii="宋体" w:hAnsi="宋体"/>
          <w:color w:val="auto"/>
          <w:szCs w:val="21"/>
        </w:rPr>
      </w:pPr>
      <w:r>
        <w:rPr>
          <w:rFonts w:hint="eastAsia" w:ascii="宋体" w:hAnsi="宋体"/>
          <w:color w:val="auto"/>
          <w:szCs w:val="21"/>
        </w:rPr>
        <w:t>货币单位：人民币元</w:t>
      </w:r>
    </w:p>
    <w:tbl>
      <w:tblPr>
        <w:tblStyle w:val="2"/>
        <w:tblW w:w="0" w:type="auto"/>
        <w:tblInd w:w="-15" w:type="dxa"/>
        <w:tblLayout w:type="fixed"/>
        <w:tblCellMar>
          <w:top w:w="0" w:type="dxa"/>
          <w:left w:w="108" w:type="dxa"/>
          <w:bottom w:w="0" w:type="dxa"/>
          <w:right w:w="108" w:type="dxa"/>
        </w:tblCellMar>
      </w:tblPr>
      <w:tblGrid>
        <w:gridCol w:w="556"/>
        <w:gridCol w:w="718"/>
        <w:gridCol w:w="3656"/>
        <w:gridCol w:w="984"/>
        <w:gridCol w:w="843"/>
        <w:gridCol w:w="1075"/>
        <w:gridCol w:w="990"/>
        <w:gridCol w:w="966"/>
      </w:tblGrid>
      <w:tr>
        <w:tblPrEx>
          <w:tblCellMar>
            <w:top w:w="0" w:type="dxa"/>
            <w:left w:w="108" w:type="dxa"/>
            <w:bottom w:w="0" w:type="dxa"/>
            <w:right w:w="108" w:type="dxa"/>
          </w:tblCellMar>
        </w:tblPrEx>
        <w:trPr>
          <w:trHeight w:val="585" w:hRule="atLeast"/>
        </w:trPr>
        <w:tc>
          <w:tcPr>
            <w:tcW w:w="556" w:type="dxa"/>
            <w:tcBorders>
              <w:top w:val="single" w:color="000000" w:sz="4" w:space="0"/>
              <w:left w:val="single" w:color="000000" w:sz="4" w:space="0"/>
              <w:bottom w:val="single" w:color="000000" w:sz="4" w:space="0"/>
              <w:right w:val="single" w:color="000000" w:sz="4" w:space="0"/>
            </w:tcBorders>
            <w:vAlign w:val="top"/>
          </w:tcPr>
          <w:p>
            <w:pPr>
              <w:widowControl/>
              <w:jc w:val="center"/>
              <w:rPr>
                <w:rFonts w:hint="eastAsia" w:ascii="宋体" w:hAnsi="宋体" w:eastAsia="宋体"/>
                <w:color w:val="auto"/>
                <w:kern w:val="0"/>
                <w:szCs w:val="21"/>
              </w:rPr>
            </w:pPr>
          </w:p>
          <w:p>
            <w:pPr>
              <w:rPr>
                <w:rFonts w:hint="eastAsia" w:ascii="宋体" w:hAnsi="宋体" w:eastAsia="宋体"/>
                <w:color w:val="auto"/>
                <w:szCs w:val="21"/>
              </w:rPr>
            </w:pPr>
            <w:r>
              <w:rPr>
                <w:rFonts w:hint="eastAsia" w:ascii="宋体" w:hAnsi="宋体" w:eastAsia="宋体"/>
                <w:color w:val="auto"/>
                <w:szCs w:val="21"/>
              </w:rPr>
              <w:t>类别</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olor w:val="auto"/>
                <w:kern w:val="0"/>
                <w:szCs w:val="21"/>
              </w:rPr>
            </w:pPr>
            <w:r>
              <w:rPr>
                <w:rFonts w:hint="eastAsia" w:ascii="宋体" w:hAnsi="宋体" w:eastAsia="宋体"/>
                <w:color w:val="auto"/>
                <w:kern w:val="0"/>
                <w:szCs w:val="21"/>
              </w:rPr>
              <w:t>序号</w:t>
            </w:r>
          </w:p>
        </w:tc>
        <w:tc>
          <w:tcPr>
            <w:tcW w:w="3656"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olor w:val="auto"/>
                <w:kern w:val="0"/>
                <w:szCs w:val="21"/>
              </w:rPr>
            </w:pPr>
            <w:r>
              <w:rPr>
                <w:rFonts w:hint="eastAsia" w:ascii="宋体" w:hAnsi="宋体" w:eastAsia="宋体"/>
                <w:color w:val="auto"/>
                <w:kern w:val="0"/>
                <w:szCs w:val="21"/>
              </w:rPr>
              <w:t>采购内容</w:t>
            </w:r>
          </w:p>
        </w:tc>
        <w:tc>
          <w:tcPr>
            <w:tcW w:w="984"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olor w:val="auto"/>
                <w:kern w:val="0"/>
                <w:szCs w:val="21"/>
              </w:rPr>
            </w:pPr>
            <w:r>
              <w:rPr>
                <w:rFonts w:hint="eastAsia" w:ascii="宋体" w:hAnsi="宋体" w:eastAsia="宋体"/>
                <w:color w:val="auto"/>
                <w:kern w:val="0"/>
                <w:szCs w:val="21"/>
              </w:rPr>
              <w:t>数量</w:t>
            </w:r>
          </w:p>
        </w:tc>
        <w:tc>
          <w:tcPr>
            <w:tcW w:w="843"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olor w:val="auto"/>
                <w:kern w:val="0"/>
                <w:szCs w:val="21"/>
              </w:rPr>
            </w:pPr>
            <w:r>
              <w:rPr>
                <w:rFonts w:hint="eastAsia" w:ascii="宋体" w:hAnsi="宋体" w:eastAsia="宋体"/>
                <w:color w:val="auto"/>
                <w:kern w:val="0"/>
                <w:szCs w:val="21"/>
              </w:rPr>
              <w:t>单位</w:t>
            </w:r>
          </w:p>
        </w:tc>
        <w:tc>
          <w:tcPr>
            <w:tcW w:w="1075"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eastAsia="宋体"/>
                <w:color w:val="auto"/>
                <w:kern w:val="0"/>
                <w:szCs w:val="21"/>
              </w:rPr>
            </w:pPr>
            <w:r>
              <w:rPr>
                <w:rFonts w:hint="eastAsia" w:ascii="宋体" w:hAnsi="宋体" w:eastAsia="宋体"/>
                <w:color w:val="auto"/>
                <w:kern w:val="0"/>
                <w:szCs w:val="21"/>
              </w:rPr>
              <w:t>品牌规格型号</w:t>
            </w:r>
          </w:p>
        </w:tc>
        <w:tc>
          <w:tcPr>
            <w:tcW w:w="990"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eastAsia="宋体"/>
                <w:color w:val="auto"/>
                <w:kern w:val="0"/>
                <w:szCs w:val="21"/>
              </w:rPr>
            </w:pPr>
            <w:r>
              <w:rPr>
                <w:rFonts w:hint="eastAsia" w:ascii="宋体" w:hAnsi="宋体" w:eastAsia="宋体"/>
                <w:color w:val="auto"/>
                <w:kern w:val="0"/>
                <w:szCs w:val="21"/>
              </w:rPr>
              <w:t>单价（元）</w:t>
            </w:r>
          </w:p>
        </w:tc>
        <w:tc>
          <w:tcPr>
            <w:tcW w:w="966" w:type="dxa"/>
            <w:tcBorders>
              <w:top w:val="single" w:color="000000" w:sz="4" w:space="0"/>
              <w:left w:val="nil"/>
              <w:bottom w:val="single" w:color="000000" w:sz="4" w:space="0"/>
              <w:right w:val="single" w:color="000000" w:sz="4" w:space="0"/>
            </w:tcBorders>
            <w:vAlign w:val="top"/>
          </w:tcPr>
          <w:p>
            <w:pPr>
              <w:widowControl/>
              <w:jc w:val="center"/>
              <w:rPr>
                <w:rFonts w:hint="eastAsia" w:ascii="宋体" w:hAnsi="宋体" w:eastAsia="宋体"/>
                <w:color w:val="auto"/>
                <w:kern w:val="0"/>
                <w:szCs w:val="21"/>
              </w:rPr>
            </w:pPr>
            <w:r>
              <w:rPr>
                <w:rFonts w:hint="eastAsia" w:ascii="宋体" w:hAnsi="宋体" w:eastAsia="宋体"/>
                <w:color w:val="auto"/>
                <w:kern w:val="0"/>
                <w:szCs w:val="21"/>
              </w:rPr>
              <w:t>总价（元）</w:t>
            </w:r>
          </w:p>
        </w:tc>
      </w:tr>
      <w:tr>
        <w:tblPrEx>
          <w:tblCellMar>
            <w:top w:w="0" w:type="dxa"/>
            <w:left w:w="108" w:type="dxa"/>
            <w:bottom w:w="0" w:type="dxa"/>
            <w:right w:w="108" w:type="dxa"/>
          </w:tblCellMar>
        </w:tblPrEx>
        <w:trPr>
          <w:trHeight w:val="585" w:hRule="atLeast"/>
        </w:trPr>
        <w:tc>
          <w:tcPr>
            <w:tcW w:w="556" w:type="dxa"/>
            <w:vMerge w:val="restart"/>
            <w:tcBorders>
              <w:top w:val="nil"/>
              <w:left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r>
              <w:rPr>
                <w:rFonts w:hint="eastAsia" w:ascii="宋体" w:hAnsi="宋体" w:eastAsia="宋体"/>
                <w:color w:val="auto"/>
                <w:kern w:val="0"/>
                <w:szCs w:val="21"/>
              </w:rPr>
              <w:t>货</w:t>
            </w:r>
          </w:p>
          <w:p>
            <w:pPr>
              <w:widowControl/>
              <w:jc w:val="center"/>
              <w:rPr>
                <w:rFonts w:hint="eastAsia" w:ascii="宋体" w:hAnsi="宋体" w:eastAsia="宋体"/>
                <w:color w:val="auto"/>
                <w:kern w:val="0"/>
                <w:szCs w:val="21"/>
              </w:rPr>
            </w:pPr>
            <w:r>
              <w:rPr>
                <w:rFonts w:hint="eastAsia" w:ascii="宋体" w:hAnsi="宋体" w:eastAsia="宋体"/>
                <w:color w:val="auto"/>
                <w:kern w:val="0"/>
                <w:szCs w:val="21"/>
              </w:rPr>
              <w:t>物</w:t>
            </w:r>
          </w:p>
          <w:p>
            <w:pPr>
              <w:widowControl/>
              <w:jc w:val="center"/>
              <w:rPr>
                <w:rFonts w:hint="eastAsia" w:ascii="宋体" w:hAnsi="宋体" w:eastAsia="宋体"/>
                <w:color w:val="auto"/>
                <w:kern w:val="0"/>
                <w:szCs w:val="21"/>
              </w:rPr>
            </w:pPr>
            <w:r>
              <w:rPr>
                <w:rFonts w:hint="eastAsia" w:ascii="宋体" w:hAnsi="宋体" w:eastAsia="宋体"/>
                <w:color w:val="auto"/>
                <w:kern w:val="0"/>
                <w:szCs w:val="21"/>
              </w:rPr>
              <w:t>明</w:t>
            </w:r>
          </w:p>
          <w:p>
            <w:pPr>
              <w:widowControl/>
              <w:jc w:val="center"/>
              <w:rPr>
                <w:rFonts w:hint="eastAsia" w:ascii="宋体" w:hAnsi="宋体" w:eastAsia="宋体"/>
                <w:color w:val="auto"/>
                <w:kern w:val="0"/>
                <w:szCs w:val="21"/>
              </w:rPr>
            </w:pPr>
            <w:r>
              <w:rPr>
                <w:rFonts w:hint="eastAsia" w:ascii="宋体" w:hAnsi="宋体" w:eastAsia="宋体"/>
                <w:color w:val="auto"/>
                <w:kern w:val="0"/>
                <w:szCs w:val="21"/>
              </w:rPr>
              <w:t>细</w:t>
            </w:r>
          </w:p>
        </w:tc>
        <w:tc>
          <w:tcPr>
            <w:tcW w:w="718"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r>
              <w:rPr>
                <w:rFonts w:hint="eastAsia" w:ascii="宋体" w:hAnsi="宋体" w:eastAsia="宋体"/>
                <w:color w:val="auto"/>
                <w:kern w:val="0"/>
                <w:szCs w:val="21"/>
              </w:rPr>
              <w:t>1</w:t>
            </w:r>
          </w:p>
        </w:tc>
        <w:tc>
          <w:tcPr>
            <w:tcW w:w="3656"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p>
        </w:tc>
        <w:tc>
          <w:tcPr>
            <w:tcW w:w="98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p>
        </w:tc>
        <w:tc>
          <w:tcPr>
            <w:tcW w:w="8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p>
        </w:tc>
        <w:tc>
          <w:tcPr>
            <w:tcW w:w="1075" w:type="dxa"/>
            <w:tcBorders>
              <w:top w:val="nil"/>
              <w:left w:val="nil"/>
              <w:bottom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c>
          <w:tcPr>
            <w:tcW w:w="990" w:type="dxa"/>
            <w:tcBorders>
              <w:top w:val="nil"/>
              <w:left w:val="nil"/>
              <w:bottom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c>
          <w:tcPr>
            <w:tcW w:w="966" w:type="dxa"/>
            <w:tcBorders>
              <w:top w:val="nil"/>
              <w:left w:val="nil"/>
              <w:bottom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r>
      <w:tr>
        <w:tblPrEx>
          <w:tblCellMar>
            <w:top w:w="0" w:type="dxa"/>
            <w:left w:w="108" w:type="dxa"/>
            <w:bottom w:w="0" w:type="dxa"/>
            <w:right w:w="108" w:type="dxa"/>
          </w:tblCellMar>
        </w:tblPrEx>
        <w:trPr>
          <w:trHeight w:val="585" w:hRule="atLeast"/>
        </w:trPr>
        <w:tc>
          <w:tcPr>
            <w:tcW w:w="556" w:type="dxa"/>
            <w:vMerge w:val="continue"/>
            <w:tcBorders>
              <w:left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c>
          <w:tcPr>
            <w:tcW w:w="718"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r>
              <w:rPr>
                <w:rFonts w:hint="eastAsia" w:ascii="宋体" w:hAnsi="宋体" w:eastAsia="宋体"/>
                <w:color w:val="auto"/>
                <w:kern w:val="0"/>
                <w:szCs w:val="21"/>
              </w:rPr>
              <w:t>2</w:t>
            </w:r>
          </w:p>
        </w:tc>
        <w:tc>
          <w:tcPr>
            <w:tcW w:w="3656"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p>
        </w:tc>
        <w:tc>
          <w:tcPr>
            <w:tcW w:w="98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p>
        </w:tc>
        <w:tc>
          <w:tcPr>
            <w:tcW w:w="8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p>
        </w:tc>
        <w:tc>
          <w:tcPr>
            <w:tcW w:w="1075" w:type="dxa"/>
            <w:tcBorders>
              <w:top w:val="nil"/>
              <w:left w:val="nil"/>
              <w:bottom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c>
          <w:tcPr>
            <w:tcW w:w="990" w:type="dxa"/>
            <w:tcBorders>
              <w:top w:val="nil"/>
              <w:left w:val="nil"/>
              <w:bottom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c>
          <w:tcPr>
            <w:tcW w:w="966" w:type="dxa"/>
            <w:tcBorders>
              <w:top w:val="nil"/>
              <w:left w:val="nil"/>
              <w:bottom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r>
      <w:tr>
        <w:tblPrEx>
          <w:tblCellMar>
            <w:top w:w="0" w:type="dxa"/>
            <w:left w:w="108" w:type="dxa"/>
            <w:bottom w:w="0" w:type="dxa"/>
            <w:right w:w="108" w:type="dxa"/>
          </w:tblCellMar>
        </w:tblPrEx>
        <w:trPr>
          <w:trHeight w:val="585" w:hRule="atLeast"/>
        </w:trPr>
        <w:tc>
          <w:tcPr>
            <w:tcW w:w="556" w:type="dxa"/>
            <w:vMerge w:val="continue"/>
            <w:tcBorders>
              <w:left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c>
          <w:tcPr>
            <w:tcW w:w="718"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r>
              <w:rPr>
                <w:rFonts w:hint="eastAsia" w:ascii="宋体" w:hAnsi="宋体" w:eastAsia="宋体"/>
                <w:color w:val="auto"/>
                <w:kern w:val="0"/>
                <w:szCs w:val="21"/>
              </w:rPr>
              <w:t>3</w:t>
            </w:r>
          </w:p>
        </w:tc>
        <w:tc>
          <w:tcPr>
            <w:tcW w:w="3656"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p>
        </w:tc>
        <w:tc>
          <w:tcPr>
            <w:tcW w:w="98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p>
        </w:tc>
        <w:tc>
          <w:tcPr>
            <w:tcW w:w="8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p>
        </w:tc>
        <w:tc>
          <w:tcPr>
            <w:tcW w:w="1075" w:type="dxa"/>
            <w:tcBorders>
              <w:top w:val="nil"/>
              <w:left w:val="nil"/>
              <w:bottom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c>
          <w:tcPr>
            <w:tcW w:w="990" w:type="dxa"/>
            <w:tcBorders>
              <w:top w:val="nil"/>
              <w:left w:val="nil"/>
              <w:bottom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c>
          <w:tcPr>
            <w:tcW w:w="966" w:type="dxa"/>
            <w:tcBorders>
              <w:top w:val="nil"/>
              <w:left w:val="nil"/>
              <w:bottom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r>
      <w:tr>
        <w:tblPrEx>
          <w:tblCellMar>
            <w:top w:w="0" w:type="dxa"/>
            <w:left w:w="108" w:type="dxa"/>
            <w:bottom w:w="0" w:type="dxa"/>
            <w:right w:w="108" w:type="dxa"/>
          </w:tblCellMar>
        </w:tblPrEx>
        <w:trPr>
          <w:trHeight w:val="585" w:hRule="atLeast"/>
        </w:trPr>
        <w:tc>
          <w:tcPr>
            <w:tcW w:w="556" w:type="dxa"/>
            <w:vMerge w:val="continue"/>
            <w:tcBorders>
              <w:left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c>
          <w:tcPr>
            <w:tcW w:w="718"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r>
              <w:rPr>
                <w:rFonts w:hint="eastAsia" w:ascii="宋体" w:hAnsi="宋体" w:eastAsia="宋体"/>
                <w:color w:val="auto"/>
                <w:kern w:val="0"/>
                <w:szCs w:val="21"/>
              </w:rPr>
              <w:t>4</w:t>
            </w:r>
          </w:p>
        </w:tc>
        <w:tc>
          <w:tcPr>
            <w:tcW w:w="3656"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p>
        </w:tc>
        <w:tc>
          <w:tcPr>
            <w:tcW w:w="98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p>
        </w:tc>
        <w:tc>
          <w:tcPr>
            <w:tcW w:w="8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p>
        </w:tc>
        <w:tc>
          <w:tcPr>
            <w:tcW w:w="1075" w:type="dxa"/>
            <w:tcBorders>
              <w:top w:val="nil"/>
              <w:left w:val="nil"/>
              <w:bottom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c>
          <w:tcPr>
            <w:tcW w:w="990" w:type="dxa"/>
            <w:tcBorders>
              <w:top w:val="nil"/>
              <w:left w:val="nil"/>
              <w:bottom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c>
          <w:tcPr>
            <w:tcW w:w="966" w:type="dxa"/>
            <w:tcBorders>
              <w:top w:val="nil"/>
              <w:left w:val="nil"/>
              <w:bottom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r>
      <w:tr>
        <w:tblPrEx>
          <w:tblCellMar>
            <w:top w:w="0" w:type="dxa"/>
            <w:left w:w="108" w:type="dxa"/>
            <w:bottom w:w="0" w:type="dxa"/>
            <w:right w:w="108" w:type="dxa"/>
          </w:tblCellMar>
        </w:tblPrEx>
        <w:trPr>
          <w:trHeight w:val="585" w:hRule="atLeast"/>
        </w:trPr>
        <w:tc>
          <w:tcPr>
            <w:tcW w:w="556" w:type="dxa"/>
            <w:vMerge w:val="continue"/>
            <w:tcBorders>
              <w:left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c>
          <w:tcPr>
            <w:tcW w:w="718"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r>
              <w:rPr>
                <w:rFonts w:hint="eastAsia" w:ascii="宋体" w:hAnsi="宋体" w:eastAsia="宋体"/>
                <w:color w:val="auto"/>
                <w:kern w:val="0"/>
                <w:szCs w:val="21"/>
              </w:rPr>
              <w:t>5</w:t>
            </w:r>
          </w:p>
        </w:tc>
        <w:tc>
          <w:tcPr>
            <w:tcW w:w="3656"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p>
        </w:tc>
        <w:tc>
          <w:tcPr>
            <w:tcW w:w="98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p>
        </w:tc>
        <w:tc>
          <w:tcPr>
            <w:tcW w:w="8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p>
        </w:tc>
        <w:tc>
          <w:tcPr>
            <w:tcW w:w="1075" w:type="dxa"/>
            <w:tcBorders>
              <w:top w:val="nil"/>
              <w:left w:val="nil"/>
              <w:bottom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c>
          <w:tcPr>
            <w:tcW w:w="990" w:type="dxa"/>
            <w:tcBorders>
              <w:top w:val="nil"/>
              <w:left w:val="nil"/>
              <w:bottom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c>
          <w:tcPr>
            <w:tcW w:w="966" w:type="dxa"/>
            <w:tcBorders>
              <w:top w:val="nil"/>
              <w:left w:val="nil"/>
              <w:bottom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r>
      <w:tr>
        <w:tblPrEx>
          <w:tblCellMar>
            <w:top w:w="0" w:type="dxa"/>
            <w:left w:w="108" w:type="dxa"/>
            <w:bottom w:w="0" w:type="dxa"/>
            <w:right w:w="108" w:type="dxa"/>
          </w:tblCellMar>
        </w:tblPrEx>
        <w:trPr>
          <w:trHeight w:val="585" w:hRule="atLeast"/>
        </w:trPr>
        <w:tc>
          <w:tcPr>
            <w:tcW w:w="556" w:type="dxa"/>
            <w:vMerge w:val="continue"/>
            <w:tcBorders>
              <w:left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c>
          <w:tcPr>
            <w:tcW w:w="718"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r>
              <w:rPr>
                <w:rFonts w:hint="eastAsia" w:ascii="宋体" w:hAnsi="宋体" w:eastAsia="宋体"/>
                <w:color w:val="auto"/>
                <w:kern w:val="0"/>
                <w:szCs w:val="21"/>
              </w:rPr>
              <w:t>6</w:t>
            </w:r>
          </w:p>
        </w:tc>
        <w:tc>
          <w:tcPr>
            <w:tcW w:w="3656"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p>
        </w:tc>
        <w:tc>
          <w:tcPr>
            <w:tcW w:w="984"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p>
        </w:tc>
        <w:tc>
          <w:tcPr>
            <w:tcW w:w="84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宋体" w:hAnsi="宋体" w:eastAsia="宋体"/>
                <w:color w:val="auto"/>
                <w:kern w:val="0"/>
                <w:szCs w:val="21"/>
              </w:rPr>
            </w:pPr>
          </w:p>
        </w:tc>
        <w:tc>
          <w:tcPr>
            <w:tcW w:w="1075" w:type="dxa"/>
            <w:tcBorders>
              <w:top w:val="nil"/>
              <w:left w:val="nil"/>
              <w:bottom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c>
          <w:tcPr>
            <w:tcW w:w="990" w:type="dxa"/>
            <w:tcBorders>
              <w:top w:val="nil"/>
              <w:left w:val="nil"/>
              <w:bottom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c>
          <w:tcPr>
            <w:tcW w:w="966" w:type="dxa"/>
            <w:tcBorders>
              <w:top w:val="nil"/>
              <w:left w:val="nil"/>
              <w:bottom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r>
      <w:tr>
        <w:tblPrEx>
          <w:tblCellMar>
            <w:top w:w="0" w:type="dxa"/>
            <w:left w:w="108" w:type="dxa"/>
            <w:bottom w:w="0" w:type="dxa"/>
            <w:right w:w="108" w:type="dxa"/>
          </w:tblCellMar>
        </w:tblPrEx>
        <w:trPr>
          <w:trHeight w:val="585" w:hRule="atLeast"/>
        </w:trPr>
        <w:tc>
          <w:tcPr>
            <w:tcW w:w="556" w:type="dxa"/>
            <w:tcBorders>
              <w:left w:val="single" w:color="000000" w:sz="4" w:space="0"/>
              <w:bottom w:val="single" w:color="000000" w:sz="4" w:space="0"/>
              <w:right w:val="single" w:color="000000" w:sz="4" w:space="0"/>
            </w:tcBorders>
            <w:shd w:val="clear" w:color="000000" w:fill="FFFFFF"/>
            <w:vAlign w:val="top"/>
          </w:tcPr>
          <w:p>
            <w:pPr>
              <w:widowControl/>
              <w:jc w:val="center"/>
              <w:rPr>
                <w:rFonts w:hint="eastAsia" w:ascii="宋体" w:hAnsi="宋体" w:eastAsia="宋体"/>
                <w:color w:val="auto"/>
                <w:kern w:val="0"/>
                <w:szCs w:val="21"/>
              </w:rPr>
            </w:pPr>
          </w:p>
        </w:tc>
        <w:tc>
          <w:tcPr>
            <w:tcW w:w="4374"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beforeAutospacing="0" w:afterAutospacing="0" w:line="360" w:lineRule="auto"/>
              <w:jc w:val="center"/>
              <w:rPr>
                <w:rFonts w:hint="eastAsia" w:ascii="宋体" w:hAnsi="宋体" w:eastAsia="宋体"/>
                <w:b/>
                <w:color w:val="auto"/>
                <w:szCs w:val="21"/>
              </w:rPr>
            </w:pPr>
            <w:r>
              <w:rPr>
                <w:rFonts w:hint="eastAsia" w:ascii="宋体" w:hAnsi="宋体" w:eastAsia="宋体"/>
                <w:b/>
                <w:color w:val="auto"/>
                <w:szCs w:val="21"/>
              </w:rPr>
              <w:t>合计总价（元）：</w:t>
            </w:r>
          </w:p>
        </w:tc>
        <w:tc>
          <w:tcPr>
            <w:tcW w:w="4858" w:type="dxa"/>
            <w:gridSpan w:val="5"/>
            <w:tcBorders>
              <w:top w:val="single" w:color="000000" w:sz="4" w:space="0"/>
              <w:left w:val="nil"/>
              <w:bottom w:val="single" w:color="000000" w:sz="4" w:space="0"/>
              <w:right w:val="single" w:color="000000" w:sz="4" w:space="0"/>
            </w:tcBorders>
            <w:shd w:val="clear" w:color="000000" w:fill="FFFFFF"/>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小写：              大写：</w:t>
            </w:r>
          </w:p>
        </w:tc>
      </w:tr>
    </w:tbl>
    <w:p>
      <w:pPr>
        <w:spacing w:beforeAutospacing="0" w:afterAutospacing="0" w:line="360" w:lineRule="auto"/>
        <w:ind w:firstLine="422" w:firstLineChars="200"/>
        <w:rPr>
          <w:rFonts w:hint="eastAsia" w:ascii="宋体" w:hAnsi="宋体"/>
          <w:b/>
          <w:bCs/>
          <w:color w:val="auto"/>
          <w:szCs w:val="21"/>
        </w:rPr>
      </w:pPr>
      <w:r>
        <w:rPr>
          <w:rFonts w:hint="eastAsia" w:ascii="宋体" w:hAnsi="宋体"/>
          <w:b/>
          <w:bCs/>
          <w:color w:val="auto"/>
          <w:szCs w:val="21"/>
        </w:rPr>
        <w:t>注：1.本项目为交钥匙项目，磋商响应方应对磋商文件采购需求中列出的的货物逐项报价，所报单价和合价均包括</w:t>
      </w:r>
      <w:r>
        <w:rPr>
          <w:rFonts w:hint="eastAsia" w:ascii="宋体" w:hAnsi="宋体"/>
          <w:b/>
          <w:color w:val="auto"/>
          <w:kern w:val="0"/>
          <w:szCs w:val="21"/>
          <w:lang w:bidi="ar"/>
        </w:rPr>
        <w:t>货物费、材料费、备品备件费、包装费、运杂费、装卸费、仓储费、保管费、库损费、安装费、调试费、机械使用费、安装所需要的辅助材料费、安装损耗以及其他必要的辅助工作增加费、维护费、售后服务费、培训费、管理费、利润、检测试验费、验收及备案相关费用、商检费、各种税费等实施、完成交付使用的一切费用。磋商响应方的报价还应包括质保期内维修保养费用等的所有费用。其中备品备件费包括质保期内所需的备品备件费。在货物安装、调试过程中，如发现有漏项、缺件，卖方应无条件、无偿补齐，所发生的费用，视为已包含在磋商响应方的磋商响应方的报价之中，且并不因此影响交付买方使用的时间。（本项目为交钥匙项目，所有货物由供应商安装、调试完毕后，必须保证整套设备系统可正常使用。）其中，磋商代理服务费应分摊在报价中。</w:t>
      </w:r>
    </w:p>
    <w:p>
      <w:pPr>
        <w:spacing w:beforeAutospacing="0" w:afterAutospacing="0" w:line="360" w:lineRule="auto"/>
        <w:ind w:firstLine="422" w:firstLineChars="200"/>
        <w:rPr>
          <w:rFonts w:hint="eastAsia" w:ascii="宋体" w:hAnsi="宋体"/>
          <w:b/>
          <w:bCs/>
          <w:color w:val="auto"/>
          <w:szCs w:val="21"/>
        </w:rPr>
      </w:pPr>
      <w:r>
        <w:rPr>
          <w:rFonts w:hint="eastAsia" w:ascii="宋体" w:hAnsi="宋体"/>
          <w:b/>
          <w:bCs/>
          <w:color w:val="auto"/>
          <w:szCs w:val="21"/>
        </w:rPr>
        <w:t>2.合计总价应与总报价表中的总报价一致。</w:t>
      </w:r>
    </w:p>
    <w:p>
      <w:pPr>
        <w:widowControl/>
        <w:spacing w:beforeAutospacing="0" w:afterAutospacing="0" w:line="360" w:lineRule="auto"/>
        <w:rPr>
          <w:rFonts w:hint="eastAsia" w:ascii="宋体" w:hAnsi="宋体"/>
          <w:color w:val="auto"/>
          <w:szCs w:val="21"/>
        </w:rPr>
      </w:pPr>
      <w:bookmarkStart w:id="27" w:name="_Toc381880858"/>
      <w:r>
        <w:rPr>
          <w:rFonts w:hint="eastAsia" w:ascii="宋体" w:hAnsi="宋体"/>
          <w:color w:val="auto"/>
          <w:szCs w:val="21"/>
        </w:rPr>
        <w:t>响应供应商（名称及盖章）：</w:t>
      </w:r>
    </w:p>
    <w:p>
      <w:pPr>
        <w:widowControl/>
        <w:spacing w:beforeAutospacing="0" w:afterAutospacing="0" w:line="360" w:lineRule="auto"/>
        <w:rPr>
          <w:rFonts w:hint="eastAsia" w:ascii="宋体" w:hAnsi="宋体"/>
          <w:color w:val="auto"/>
          <w:szCs w:val="21"/>
        </w:rPr>
      </w:pPr>
      <w:r>
        <w:rPr>
          <w:rFonts w:hint="eastAsia" w:ascii="宋体" w:hAnsi="宋体"/>
          <w:color w:val="auto"/>
          <w:szCs w:val="21"/>
        </w:rPr>
        <w:t>法定代表人或授权代表（签字或盖章）：</w:t>
      </w:r>
    </w:p>
    <w:p>
      <w:pPr>
        <w:pStyle w:val="131"/>
        <w:spacing w:beforeAutospacing="0" w:afterAutospacing="0" w:line="360" w:lineRule="auto"/>
        <w:outlineLvl w:val="9"/>
        <w:rPr>
          <w:rFonts w:hint="eastAsia" w:hAnsi="宋体"/>
          <w:color w:val="auto"/>
          <w:sz w:val="21"/>
          <w:szCs w:val="21"/>
        </w:rPr>
      </w:pPr>
      <w:bookmarkStart w:id="28" w:name="_Toc3962"/>
      <w:bookmarkEnd w:id="28"/>
      <w:bookmarkStart w:id="29" w:name="_Toc19524"/>
      <w:bookmarkEnd w:id="29"/>
      <w:r>
        <w:rPr>
          <w:rFonts w:hint="eastAsia" w:hAnsi="宋体"/>
          <w:color w:val="auto"/>
          <w:sz w:val="21"/>
          <w:szCs w:val="21"/>
        </w:rPr>
        <w:t>日    期：      年    月    日</w:t>
      </w:r>
    </w:p>
    <w:bookmarkEnd w:id="27"/>
    <w:p>
      <w:pPr>
        <w:spacing w:beforeAutospacing="0" w:afterAutospacing="0" w:line="360" w:lineRule="auto"/>
        <w:outlineLvl w:val="0"/>
        <w:rPr>
          <w:rFonts w:hint="eastAsia" w:ascii="宋体" w:hAnsi="宋体"/>
          <w:b/>
          <w:color w:val="auto"/>
          <w:szCs w:val="21"/>
        </w:rPr>
      </w:pPr>
      <w:bookmarkStart w:id="30" w:name="_Toc2404"/>
      <w:bookmarkEnd w:id="30"/>
      <w:r>
        <w:rPr>
          <w:rFonts w:hint="eastAsia" w:ascii="宋体" w:hAnsi="宋体"/>
          <w:b/>
          <w:color w:val="auto"/>
          <w:szCs w:val="21"/>
        </w:rPr>
        <w:br w:type="page"/>
      </w:r>
      <w:r>
        <w:rPr>
          <w:rFonts w:hint="eastAsia" w:ascii="宋体" w:hAnsi="宋体"/>
          <w:b/>
          <w:color w:val="auto"/>
          <w:szCs w:val="21"/>
        </w:rPr>
        <w:t>附件五  总价外长期优惠供应的备品备件、易损件、专用工具明细表</w:t>
      </w:r>
    </w:p>
    <w:p>
      <w:pPr>
        <w:pStyle w:val="131"/>
        <w:spacing w:beforeAutospacing="0" w:afterAutospacing="0" w:line="360" w:lineRule="auto"/>
        <w:ind w:firstLine="420"/>
        <w:jc w:val="center"/>
        <w:outlineLvl w:val="9"/>
        <w:rPr>
          <w:rFonts w:hint="eastAsia" w:hAnsi="宋体"/>
          <w:b/>
          <w:color w:val="auto"/>
          <w:sz w:val="21"/>
          <w:szCs w:val="21"/>
        </w:rPr>
      </w:pPr>
      <w:bookmarkStart w:id="31" w:name="_Toc17641"/>
      <w:bookmarkEnd w:id="31"/>
      <w:bookmarkStart w:id="32" w:name="_Toc9096"/>
      <w:bookmarkEnd w:id="32"/>
      <w:r>
        <w:rPr>
          <w:rFonts w:hint="eastAsia" w:hAnsi="宋体"/>
          <w:b/>
          <w:color w:val="auto"/>
          <w:sz w:val="21"/>
          <w:szCs w:val="21"/>
        </w:rPr>
        <w:t>总价外长期优惠供应的备品备件、易损件、专用工具明细表</w:t>
      </w:r>
    </w:p>
    <w:p>
      <w:pPr>
        <w:spacing w:beforeAutospacing="0" w:afterAutospacing="0" w:line="360" w:lineRule="auto"/>
        <w:ind w:right="420" w:firstLine="411" w:firstLineChars="196"/>
        <w:jc w:val="right"/>
        <w:rPr>
          <w:rFonts w:hint="eastAsia" w:ascii="宋体" w:hAnsi="宋体"/>
          <w:color w:val="auto"/>
          <w:szCs w:val="21"/>
        </w:rPr>
      </w:pPr>
      <w:r>
        <w:rPr>
          <w:rFonts w:hint="eastAsia" w:ascii="宋体" w:hAnsi="宋体"/>
          <w:color w:val="auto"/>
          <w:szCs w:val="21"/>
        </w:rPr>
        <w:t>货币单位：元</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2"/>
        <w:gridCol w:w="1195"/>
        <w:gridCol w:w="1826"/>
        <w:gridCol w:w="1013"/>
        <w:gridCol w:w="1013"/>
        <w:gridCol w:w="1013"/>
        <w:gridCol w:w="1419"/>
        <w:gridCol w:w="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752"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序号</w:t>
            </w:r>
          </w:p>
        </w:tc>
        <w:tc>
          <w:tcPr>
            <w:tcW w:w="1195"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名称</w:t>
            </w:r>
          </w:p>
        </w:tc>
        <w:tc>
          <w:tcPr>
            <w:tcW w:w="1826"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型号规格参数</w:t>
            </w:r>
          </w:p>
        </w:tc>
        <w:tc>
          <w:tcPr>
            <w:tcW w:w="1013"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数量</w:t>
            </w:r>
          </w:p>
        </w:tc>
        <w:tc>
          <w:tcPr>
            <w:tcW w:w="1013"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单位</w:t>
            </w:r>
          </w:p>
        </w:tc>
        <w:tc>
          <w:tcPr>
            <w:tcW w:w="1013"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单价</w:t>
            </w:r>
          </w:p>
        </w:tc>
        <w:tc>
          <w:tcPr>
            <w:tcW w:w="1419"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生产厂家</w:t>
            </w:r>
          </w:p>
        </w:tc>
        <w:tc>
          <w:tcPr>
            <w:tcW w:w="812"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752" w:type="dxa"/>
            <w:vAlign w:val="center"/>
          </w:tcPr>
          <w:p>
            <w:pPr>
              <w:spacing w:beforeAutospacing="0" w:afterAutospacing="0" w:line="360" w:lineRule="auto"/>
              <w:jc w:val="center"/>
              <w:rPr>
                <w:rFonts w:hint="eastAsia" w:ascii="宋体" w:hAnsi="宋体" w:eastAsia="宋体"/>
                <w:color w:val="auto"/>
                <w:szCs w:val="21"/>
              </w:rPr>
            </w:pPr>
          </w:p>
        </w:tc>
        <w:tc>
          <w:tcPr>
            <w:tcW w:w="1195" w:type="dxa"/>
            <w:vAlign w:val="center"/>
          </w:tcPr>
          <w:p>
            <w:pPr>
              <w:spacing w:beforeAutospacing="0" w:afterAutospacing="0" w:line="360" w:lineRule="auto"/>
              <w:jc w:val="center"/>
              <w:rPr>
                <w:rFonts w:hint="eastAsia" w:ascii="宋体" w:hAnsi="宋体" w:eastAsia="宋体"/>
                <w:color w:val="auto"/>
                <w:szCs w:val="21"/>
              </w:rPr>
            </w:pPr>
          </w:p>
        </w:tc>
        <w:tc>
          <w:tcPr>
            <w:tcW w:w="1826" w:type="dxa"/>
            <w:vAlign w:val="center"/>
          </w:tcPr>
          <w:p>
            <w:pPr>
              <w:spacing w:beforeAutospacing="0" w:afterAutospacing="0" w:line="360" w:lineRule="auto"/>
              <w:jc w:val="center"/>
              <w:rPr>
                <w:rFonts w:hint="eastAsia" w:ascii="宋体" w:hAnsi="宋体" w:eastAsia="宋体"/>
                <w:color w:val="auto"/>
                <w:szCs w:val="21"/>
              </w:rPr>
            </w:pPr>
          </w:p>
        </w:tc>
        <w:tc>
          <w:tcPr>
            <w:tcW w:w="1013" w:type="dxa"/>
            <w:vAlign w:val="center"/>
          </w:tcPr>
          <w:p>
            <w:pPr>
              <w:spacing w:beforeAutospacing="0" w:afterAutospacing="0" w:line="360" w:lineRule="auto"/>
              <w:jc w:val="center"/>
              <w:rPr>
                <w:rFonts w:hint="eastAsia" w:ascii="宋体" w:hAnsi="宋体" w:eastAsia="宋体"/>
                <w:color w:val="auto"/>
                <w:szCs w:val="21"/>
              </w:rPr>
            </w:pPr>
          </w:p>
        </w:tc>
        <w:tc>
          <w:tcPr>
            <w:tcW w:w="1013" w:type="dxa"/>
            <w:vAlign w:val="center"/>
          </w:tcPr>
          <w:p>
            <w:pPr>
              <w:spacing w:beforeAutospacing="0" w:afterAutospacing="0" w:line="360" w:lineRule="auto"/>
              <w:jc w:val="center"/>
              <w:rPr>
                <w:rFonts w:hint="eastAsia" w:ascii="宋体" w:hAnsi="宋体" w:eastAsia="宋体"/>
                <w:color w:val="auto"/>
                <w:szCs w:val="21"/>
              </w:rPr>
            </w:pPr>
          </w:p>
        </w:tc>
        <w:tc>
          <w:tcPr>
            <w:tcW w:w="1013" w:type="dxa"/>
            <w:vAlign w:val="center"/>
          </w:tcPr>
          <w:p>
            <w:pPr>
              <w:spacing w:beforeAutospacing="0" w:afterAutospacing="0" w:line="360" w:lineRule="auto"/>
              <w:jc w:val="center"/>
              <w:rPr>
                <w:rFonts w:hint="eastAsia" w:ascii="宋体" w:hAnsi="宋体" w:eastAsia="宋体"/>
                <w:color w:val="auto"/>
                <w:szCs w:val="21"/>
              </w:rPr>
            </w:pPr>
          </w:p>
        </w:tc>
        <w:tc>
          <w:tcPr>
            <w:tcW w:w="1419" w:type="dxa"/>
            <w:vAlign w:val="top"/>
          </w:tcPr>
          <w:p>
            <w:pPr>
              <w:spacing w:beforeAutospacing="0" w:afterAutospacing="0" w:line="360" w:lineRule="auto"/>
              <w:jc w:val="center"/>
              <w:rPr>
                <w:rFonts w:hint="eastAsia" w:ascii="宋体" w:hAnsi="宋体" w:eastAsia="宋体"/>
                <w:color w:val="auto"/>
                <w:szCs w:val="21"/>
              </w:rPr>
            </w:pPr>
          </w:p>
        </w:tc>
        <w:tc>
          <w:tcPr>
            <w:tcW w:w="812" w:type="dxa"/>
            <w:vAlign w:val="center"/>
          </w:tcPr>
          <w:p>
            <w:pPr>
              <w:spacing w:beforeAutospacing="0" w:afterAutospacing="0" w:line="360" w:lineRule="auto"/>
              <w:jc w:val="center"/>
              <w:rPr>
                <w:rFonts w:hint="eastAsia"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752" w:type="dxa"/>
            <w:vAlign w:val="center"/>
          </w:tcPr>
          <w:p>
            <w:pPr>
              <w:spacing w:beforeAutospacing="0" w:afterAutospacing="0" w:line="360" w:lineRule="auto"/>
              <w:jc w:val="center"/>
              <w:rPr>
                <w:rFonts w:hint="eastAsia" w:ascii="宋体" w:hAnsi="宋体" w:eastAsia="宋体"/>
                <w:color w:val="auto"/>
                <w:szCs w:val="21"/>
              </w:rPr>
            </w:pPr>
          </w:p>
        </w:tc>
        <w:tc>
          <w:tcPr>
            <w:tcW w:w="1195" w:type="dxa"/>
            <w:vAlign w:val="center"/>
          </w:tcPr>
          <w:p>
            <w:pPr>
              <w:spacing w:beforeAutospacing="0" w:afterAutospacing="0" w:line="360" w:lineRule="auto"/>
              <w:jc w:val="center"/>
              <w:rPr>
                <w:rFonts w:hint="eastAsia" w:ascii="宋体" w:hAnsi="宋体" w:eastAsia="宋体"/>
                <w:color w:val="auto"/>
                <w:szCs w:val="21"/>
              </w:rPr>
            </w:pPr>
          </w:p>
        </w:tc>
        <w:tc>
          <w:tcPr>
            <w:tcW w:w="1826" w:type="dxa"/>
            <w:vAlign w:val="center"/>
          </w:tcPr>
          <w:p>
            <w:pPr>
              <w:spacing w:beforeAutospacing="0" w:afterAutospacing="0" w:line="360" w:lineRule="auto"/>
              <w:jc w:val="center"/>
              <w:rPr>
                <w:rFonts w:hint="eastAsia" w:ascii="宋体" w:hAnsi="宋体" w:eastAsia="宋体"/>
                <w:color w:val="auto"/>
                <w:szCs w:val="21"/>
              </w:rPr>
            </w:pPr>
          </w:p>
        </w:tc>
        <w:tc>
          <w:tcPr>
            <w:tcW w:w="1013" w:type="dxa"/>
            <w:vAlign w:val="center"/>
          </w:tcPr>
          <w:p>
            <w:pPr>
              <w:spacing w:beforeAutospacing="0" w:afterAutospacing="0" w:line="360" w:lineRule="auto"/>
              <w:jc w:val="center"/>
              <w:rPr>
                <w:rFonts w:hint="eastAsia" w:ascii="宋体" w:hAnsi="宋体" w:eastAsia="宋体"/>
                <w:color w:val="auto"/>
                <w:szCs w:val="21"/>
              </w:rPr>
            </w:pPr>
          </w:p>
        </w:tc>
        <w:tc>
          <w:tcPr>
            <w:tcW w:w="1013" w:type="dxa"/>
            <w:vAlign w:val="center"/>
          </w:tcPr>
          <w:p>
            <w:pPr>
              <w:spacing w:beforeAutospacing="0" w:afterAutospacing="0" w:line="360" w:lineRule="auto"/>
              <w:jc w:val="center"/>
              <w:rPr>
                <w:rFonts w:hint="eastAsia" w:ascii="宋体" w:hAnsi="宋体" w:eastAsia="宋体"/>
                <w:color w:val="auto"/>
                <w:szCs w:val="21"/>
              </w:rPr>
            </w:pPr>
          </w:p>
        </w:tc>
        <w:tc>
          <w:tcPr>
            <w:tcW w:w="1013" w:type="dxa"/>
            <w:vAlign w:val="center"/>
          </w:tcPr>
          <w:p>
            <w:pPr>
              <w:spacing w:beforeAutospacing="0" w:afterAutospacing="0" w:line="360" w:lineRule="auto"/>
              <w:jc w:val="center"/>
              <w:rPr>
                <w:rFonts w:hint="eastAsia" w:ascii="宋体" w:hAnsi="宋体" w:eastAsia="宋体"/>
                <w:color w:val="auto"/>
                <w:szCs w:val="21"/>
              </w:rPr>
            </w:pPr>
          </w:p>
        </w:tc>
        <w:tc>
          <w:tcPr>
            <w:tcW w:w="1419" w:type="dxa"/>
            <w:vAlign w:val="top"/>
          </w:tcPr>
          <w:p>
            <w:pPr>
              <w:spacing w:beforeAutospacing="0" w:afterAutospacing="0" w:line="360" w:lineRule="auto"/>
              <w:jc w:val="center"/>
              <w:rPr>
                <w:rFonts w:hint="eastAsia" w:ascii="宋体" w:hAnsi="宋体" w:eastAsia="宋体"/>
                <w:color w:val="auto"/>
                <w:szCs w:val="21"/>
              </w:rPr>
            </w:pPr>
          </w:p>
        </w:tc>
        <w:tc>
          <w:tcPr>
            <w:tcW w:w="812" w:type="dxa"/>
            <w:vAlign w:val="center"/>
          </w:tcPr>
          <w:p>
            <w:pPr>
              <w:spacing w:beforeAutospacing="0" w:afterAutospacing="0" w:line="360" w:lineRule="auto"/>
              <w:jc w:val="center"/>
              <w:rPr>
                <w:rFonts w:hint="eastAsia"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752" w:type="dxa"/>
            <w:vAlign w:val="center"/>
          </w:tcPr>
          <w:p>
            <w:pPr>
              <w:spacing w:beforeAutospacing="0" w:afterAutospacing="0" w:line="360" w:lineRule="auto"/>
              <w:jc w:val="center"/>
              <w:rPr>
                <w:rFonts w:hint="eastAsia" w:ascii="宋体" w:hAnsi="宋体" w:eastAsia="宋体"/>
                <w:color w:val="auto"/>
                <w:szCs w:val="21"/>
              </w:rPr>
            </w:pPr>
          </w:p>
        </w:tc>
        <w:tc>
          <w:tcPr>
            <w:tcW w:w="1195" w:type="dxa"/>
            <w:vAlign w:val="center"/>
          </w:tcPr>
          <w:p>
            <w:pPr>
              <w:spacing w:beforeAutospacing="0" w:afterAutospacing="0" w:line="360" w:lineRule="auto"/>
              <w:jc w:val="center"/>
              <w:rPr>
                <w:rFonts w:hint="eastAsia" w:ascii="宋体" w:hAnsi="宋体" w:eastAsia="宋体"/>
                <w:color w:val="auto"/>
                <w:szCs w:val="21"/>
              </w:rPr>
            </w:pPr>
          </w:p>
        </w:tc>
        <w:tc>
          <w:tcPr>
            <w:tcW w:w="1826" w:type="dxa"/>
            <w:vAlign w:val="center"/>
          </w:tcPr>
          <w:p>
            <w:pPr>
              <w:spacing w:beforeAutospacing="0" w:afterAutospacing="0" w:line="360" w:lineRule="auto"/>
              <w:jc w:val="center"/>
              <w:rPr>
                <w:rFonts w:hint="eastAsia" w:ascii="宋体" w:hAnsi="宋体" w:eastAsia="宋体"/>
                <w:color w:val="auto"/>
                <w:szCs w:val="21"/>
              </w:rPr>
            </w:pPr>
          </w:p>
        </w:tc>
        <w:tc>
          <w:tcPr>
            <w:tcW w:w="1013" w:type="dxa"/>
            <w:vAlign w:val="center"/>
          </w:tcPr>
          <w:p>
            <w:pPr>
              <w:spacing w:beforeAutospacing="0" w:afterAutospacing="0" w:line="360" w:lineRule="auto"/>
              <w:jc w:val="center"/>
              <w:rPr>
                <w:rFonts w:hint="eastAsia" w:ascii="宋体" w:hAnsi="宋体" w:eastAsia="宋体"/>
                <w:color w:val="auto"/>
                <w:szCs w:val="21"/>
              </w:rPr>
            </w:pPr>
          </w:p>
        </w:tc>
        <w:tc>
          <w:tcPr>
            <w:tcW w:w="1013" w:type="dxa"/>
            <w:vAlign w:val="center"/>
          </w:tcPr>
          <w:p>
            <w:pPr>
              <w:spacing w:beforeAutospacing="0" w:afterAutospacing="0" w:line="360" w:lineRule="auto"/>
              <w:jc w:val="center"/>
              <w:rPr>
                <w:rFonts w:hint="eastAsia" w:ascii="宋体" w:hAnsi="宋体" w:eastAsia="宋体"/>
                <w:color w:val="auto"/>
                <w:szCs w:val="21"/>
              </w:rPr>
            </w:pPr>
          </w:p>
        </w:tc>
        <w:tc>
          <w:tcPr>
            <w:tcW w:w="1013" w:type="dxa"/>
            <w:vAlign w:val="center"/>
          </w:tcPr>
          <w:p>
            <w:pPr>
              <w:spacing w:beforeAutospacing="0" w:afterAutospacing="0" w:line="360" w:lineRule="auto"/>
              <w:jc w:val="center"/>
              <w:rPr>
                <w:rFonts w:hint="eastAsia" w:ascii="宋体" w:hAnsi="宋体" w:eastAsia="宋体"/>
                <w:color w:val="auto"/>
                <w:szCs w:val="21"/>
              </w:rPr>
            </w:pPr>
          </w:p>
        </w:tc>
        <w:tc>
          <w:tcPr>
            <w:tcW w:w="1419" w:type="dxa"/>
            <w:vAlign w:val="top"/>
          </w:tcPr>
          <w:p>
            <w:pPr>
              <w:spacing w:beforeAutospacing="0" w:afterAutospacing="0" w:line="360" w:lineRule="auto"/>
              <w:jc w:val="center"/>
              <w:rPr>
                <w:rFonts w:hint="eastAsia" w:ascii="宋体" w:hAnsi="宋体" w:eastAsia="宋体"/>
                <w:color w:val="auto"/>
                <w:szCs w:val="21"/>
              </w:rPr>
            </w:pPr>
          </w:p>
        </w:tc>
        <w:tc>
          <w:tcPr>
            <w:tcW w:w="812" w:type="dxa"/>
            <w:vAlign w:val="center"/>
          </w:tcPr>
          <w:p>
            <w:pPr>
              <w:spacing w:beforeAutospacing="0" w:afterAutospacing="0" w:line="360" w:lineRule="auto"/>
              <w:jc w:val="center"/>
              <w:rPr>
                <w:rFonts w:hint="eastAsia"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752" w:type="dxa"/>
            <w:vAlign w:val="center"/>
          </w:tcPr>
          <w:p>
            <w:pPr>
              <w:spacing w:beforeAutospacing="0" w:afterAutospacing="0" w:line="360" w:lineRule="auto"/>
              <w:jc w:val="center"/>
              <w:rPr>
                <w:rFonts w:hint="eastAsia" w:ascii="宋体" w:hAnsi="宋体" w:eastAsia="宋体"/>
                <w:color w:val="auto"/>
                <w:szCs w:val="21"/>
              </w:rPr>
            </w:pPr>
          </w:p>
        </w:tc>
        <w:tc>
          <w:tcPr>
            <w:tcW w:w="1195" w:type="dxa"/>
            <w:vAlign w:val="center"/>
          </w:tcPr>
          <w:p>
            <w:pPr>
              <w:spacing w:beforeAutospacing="0" w:afterAutospacing="0" w:line="360" w:lineRule="auto"/>
              <w:jc w:val="center"/>
              <w:rPr>
                <w:rFonts w:hint="eastAsia" w:ascii="宋体" w:hAnsi="宋体" w:eastAsia="宋体"/>
                <w:color w:val="auto"/>
                <w:szCs w:val="21"/>
              </w:rPr>
            </w:pPr>
          </w:p>
        </w:tc>
        <w:tc>
          <w:tcPr>
            <w:tcW w:w="1826" w:type="dxa"/>
            <w:vAlign w:val="center"/>
          </w:tcPr>
          <w:p>
            <w:pPr>
              <w:spacing w:beforeAutospacing="0" w:afterAutospacing="0" w:line="360" w:lineRule="auto"/>
              <w:jc w:val="center"/>
              <w:rPr>
                <w:rFonts w:hint="eastAsia" w:ascii="宋体" w:hAnsi="宋体" w:eastAsia="宋体"/>
                <w:color w:val="auto"/>
                <w:szCs w:val="21"/>
              </w:rPr>
            </w:pPr>
          </w:p>
        </w:tc>
        <w:tc>
          <w:tcPr>
            <w:tcW w:w="1013" w:type="dxa"/>
            <w:vAlign w:val="center"/>
          </w:tcPr>
          <w:p>
            <w:pPr>
              <w:spacing w:beforeAutospacing="0" w:afterAutospacing="0" w:line="360" w:lineRule="auto"/>
              <w:jc w:val="center"/>
              <w:rPr>
                <w:rFonts w:hint="eastAsia" w:ascii="宋体" w:hAnsi="宋体" w:eastAsia="宋体"/>
                <w:color w:val="auto"/>
                <w:szCs w:val="21"/>
              </w:rPr>
            </w:pPr>
          </w:p>
        </w:tc>
        <w:tc>
          <w:tcPr>
            <w:tcW w:w="1013" w:type="dxa"/>
            <w:vAlign w:val="center"/>
          </w:tcPr>
          <w:p>
            <w:pPr>
              <w:spacing w:beforeAutospacing="0" w:afterAutospacing="0" w:line="360" w:lineRule="auto"/>
              <w:jc w:val="center"/>
              <w:rPr>
                <w:rFonts w:hint="eastAsia" w:ascii="宋体" w:hAnsi="宋体" w:eastAsia="宋体"/>
                <w:color w:val="auto"/>
                <w:szCs w:val="21"/>
              </w:rPr>
            </w:pPr>
          </w:p>
        </w:tc>
        <w:tc>
          <w:tcPr>
            <w:tcW w:w="1013" w:type="dxa"/>
            <w:vAlign w:val="center"/>
          </w:tcPr>
          <w:p>
            <w:pPr>
              <w:spacing w:beforeAutospacing="0" w:afterAutospacing="0" w:line="360" w:lineRule="auto"/>
              <w:jc w:val="center"/>
              <w:rPr>
                <w:rFonts w:hint="eastAsia" w:ascii="宋体" w:hAnsi="宋体" w:eastAsia="宋体"/>
                <w:color w:val="auto"/>
                <w:szCs w:val="21"/>
              </w:rPr>
            </w:pPr>
          </w:p>
        </w:tc>
        <w:tc>
          <w:tcPr>
            <w:tcW w:w="1419" w:type="dxa"/>
            <w:vAlign w:val="top"/>
          </w:tcPr>
          <w:p>
            <w:pPr>
              <w:spacing w:beforeAutospacing="0" w:afterAutospacing="0" w:line="360" w:lineRule="auto"/>
              <w:jc w:val="center"/>
              <w:rPr>
                <w:rFonts w:hint="eastAsia" w:ascii="宋体" w:hAnsi="宋体" w:eastAsia="宋体"/>
                <w:color w:val="auto"/>
                <w:szCs w:val="21"/>
              </w:rPr>
            </w:pPr>
          </w:p>
        </w:tc>
        <w:tc>
          <w:tcPr>
            <w:tcW w:w="812" w:type="dxa"/>
            <w:vAlign w:val="center"/>
          </w:tcPr>
          <w:p>
            <w:pPr>
              <w:spacing w:beforeAutospacing="0" w:afterAutospacing="0" w:line="360" w:lineRule="auto"/>
              <w:jc w:val="center"/>
              <w:rPr>
                <w:rFonts w:hint="eastAsia"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752" w:type="dxa"/>
            <w:vAlign w:val="center"/>
          </w:tcPr>
          <w:p>
            <w:pPr>
              <w:spacing w:beforeAutospacing="0" w:afterAutospacing="0" w:line="360" w:lineRule="auto"/>
              <w:jc w:val="center"/>
              <w:rPr>
                <w:rFonts w:hint="eastAsia" w:ascii="宋体" w:hAnsi="宋体" w:eastAsia="宋体"/>
                <w:color w:val="auto"/>
                <w:szCs w:val="21"/>
              </w:rPr>
            </w:pPr>
          </w:p>
        </w:tc>
        <w:tc>
          <w:tcPr>
            <w:tcW w:w="1195" w:type="dxa"/>
            <w:vAlign w:val="center"/>
          </w:tcPr>
          <w:p>
            <w:pPr>
              <w:spacing w:beforeAutospacing="0" w:afterAutospacing="0" w:line="360" w:lineRule="auto"/>
              <w:jc w:val="center"/>
              <w:rPr>
                <w:rFonts w:hint="eastAsia" w:ascii="宋体" w:hAnsi="宋体" w:eastAsia="宋体"/>
                <w:color w:val="auto"/>
                <w:szCs w:val="21"/>
              </w:rPr>
            </w:pPr>
          </w:p>
        </w:tc>
        <w:tc>
          <w:tcPr>
            <w:tcW w:w="1826" w:type="dxa"/>
            <w:vAlign w:val="center"/>
          </w:tcPr>
          <w:p>
            <w:pPr>
              <w:spacing w:beforeAutospacing="0" w:afterAutospacing="0" w:line="360" w:lineRule="auto"/>
              <w:jc w:val="center"/>
              <w:rPr>
                <w:rFonts w:hint="eastAsia" w:ascii="宋体" w:hAnsi="宋体" w:eastAsia="宋体"/>
                <w:color w:val="auto"/>
                <w:szCs w:val="21"/>
              </w:rPr>
            </w:pPr>
          </w:p>
        </w:tc>
        <w:tc>
          <w:tcPr>
            <w:tcW w:w="1013" w:type="dxa"/>
            <w:vAlign w:val="center"/>
          </w:tcPr>
          <w:p>
            <w:pPr>
              <w:spacing w:beforeAutospacing="0" w:afterAutospacing="0" w:line="360" w:lineRule="auto"/>
              <w:jc w:val="center"/>
              <w:rPr>
                <w:rFonts w:hint="eastAsia" w:ascii="宋体" w:hAnsi="宋体" w:eastAsia="宋体"/>
                <w:color w:val="auto"/>
                <w:szCs w:val="21"/>
              </w:rPr>
            </w:pPr>
          </w:p>
        </w:tc>
        <w:tc>
          <w:tcPr>
            <w:tcW w:w="1013" w:type="dxa"/>
            <w:vAlign w:val="center"/>
          </w:tcPr>
          <w:p>
            <w:pPr>
              <w:spacing w:beforeAutospacing="0" w:afterAutospacing="0" w:line="360" w:lineRule="auto"/>
              <w:jc w:val="center"/>
              <w:rPr>
                <w:rFonts w:hint="eastAsia" w:ascii="宋体" w:hAnsi="宋体" w:eastAsia="宋体"/>
                <w:color w:val="auto"/>
                <w:szCs w:val="21"/>
              </w:rPr>
            </w:pPr>
          </w:p>
        </w:tc>
        <w:tc>
          <w:tcPr>
            <w:tcW w:w="1013" w:type="dxa"/>
            <w:vAlign w:val="center"/>
          </w:tcPr>
          <w:p>
            <w:pPr>
              <w:spacing w:beforeAutospacing="0" w:afterAutospacing="0" w:line="360" w:lineRule="auto"/>
              <w:jc w:val="center"/>
              <w:rPr>
                <w:rFonts w:hint="eastAsia" w:ascii="宋体" w:hAnsi="宋体" w:eastAsia="宋体"/>
                <w:color w:val="auto"/>
                <w:szCs w:val="21"/>
              </w:rPr>
            </w:pPr>
          </w:p>
        </w:tc>
        <w:tc>
          <w:tcPr>
            <w:tcW w:w="1419" w:type="dxa"/>
            <w:vAlign w:val="top"/>
          </w:tcPr>
          <w:p>
            <w:pPr>
              <w:spacing w:beforeAutospacing="0" w:afterAutospacing="0" w:line="360" w:lineRule="auto"/>
              <w:jc w:val="center"/>
              <w:rPr>
                <w:rFonts w:hint="eastAsia" w:ascii="宋体" w:hAnsi="宋体" w:eastAsia="宋体"/>
                <w:color w:val="auto"/>
                <w:szCs w:val="21"/>
              </w:rPr>
            </w:pPr>
          </w:p>
        </w:tc>
        <w:tc>
          <w:tcPr>
            <w:tcW w:w="812" w:type="dxa"/>
            <w:vAlign w:val="center"/>
          </w:tcPr>
          <w:p>
            <w:pPr>
              <w:spacing w:beforeAutospacing="0" w:afterAutospacing="0" w:line="360" w:lineRule="auto"/>
              <w:jc w:val="center"/>
              <w:rPr>
                <w:rFonts w:hint="eastAsia"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752" w:type="dxa"/>
            <w:vAlign w:val="center"/>
          </w:tcPr>
          <w:p>
            <w:pPr>
              <w:spacing w:beforeAutospacing="0" w:afterAutospacing="0" w:line="360" w:lineRule="auto"/>
              <w:jc w:val="center"/>
              <w:rPr>
                <w:rFonts w:hint="eastAsia" w:ascii="宋体" w:hAnsi="宋体" w:eastAsia="宋体"/>
                <w:color w:val="auto"/>
                <w:szCs w:val="21"/>
              </w:rPr>
            </w:pPr>
          </w:p>
        </w:tc>
        <w:tc>
          <w:tcPr>
            <w:tcW w:w="1195" w:type="dxa"/>
            <w:vAlign w:val="center"/>
          </w:tcPr>
          <w:p>
            <w:pPr>
              <w:spacing w:beforeAutospacing="0" w:afterAutospacing="0" w:line="360" w:lineRule="auto"/>
              <w:jc w:val="center"/>
              <w:rPr>
                <w:rFonts w:hint="eastAsia" w:ascii="宋体" w:hAnsi="宋体" w:eastAsia="宋体"/>
                <w:color w:val="auto"/>
                <w:szCs w:val="21"/>
              </w:rPr>
            </w:pPr>
          </w:p>
        </w:tc>
        <w:tc>
          <w:tcPr>
            <w:tcW w:w="1826" w:type="dxa"/>
            <w:vAlign w:val="center"/>
          </w:tcPr>
          <w:p>
            <w:pPr>
              <w:spacing w:beforeAutospacing="0" w:afterAutospacing="0" w:line="360" w:lineRule="auto"/>
              <w:jc w:val="center"/>
              <w:rPr>
                <w:rFonts w:hint="eastAsia" w:ascii="宋体" w:hAnsi="宋体" w:eastAsia="宋体"/>
                <w:color w:val="auto"/>
                <w:szCs w:val="21"/>
              </w:rPr>
            </w:pPr>
          </w:p>
        </w:tc>
        <w:tc>
          <w:tcPr>
            <w:tcW w:w="1013" w:type="dxa"/>
            <w:vAlign w:val="center"/>
          </w:tcPr>
          <w:p>
            <w:pPr>
              <w:spacing w:beforeAutospacing="0" w:afterAutospacing="0" w:line="360" w:lineRule="auto"/>
              <w:jc w:val="center"/>
              <w:rPr>
                <w:rFonts w:hint="eastAsia" w:ascii="宋体" w:hAnsi="宋体" w:eastAsia="宋体"/>
                <w:color w:val="auto"/>
                <w:szCs w:val="21"/>
              </w:rPr>
            </w:pPr>
          </w:p>
        </w:tc>
        <w:tc>
          <w:tcPr>
            <w:tcW w:w="1013" w:type="dxa"/>
            <w:vAlign w:val="center"/>
          </w:tcPr>
          <w:p>
            <w:pPr>
              <w:spacing w:beforeAutospacing="0" w:afterAutospacing="0" w:line="360" w:lineRule="auto"/>
              <w:jc w:val="center"/>
              <w:rPr>
                <w:rFonts w:hint="eastAsia" w:ascii="宋体" w:hAnsi="宋体" w:eastAsia="宋体"/>
                <w:color w:val="auto"/>
                <w:szCs w:val="21"/>
              </w:rPr>
            </w:pPr>
          </w:p>
        </w:tc>
        <w:tc>
          <w:tcPr>
            <w:tcW w:w="1013" w:type="dxa"/>
            <w:vAlign w:val="center"/>
          </w:tcPr>
          <w:p>
            <w:pPr>
              <w:spacing w:beforeAutospacing="0" w:afterAutospacing="0" w:line="360" w:lineRule="auto"/>
              <w:jc w:val="center"/>
              <w:rPr>
                <w:rFonts w:hint="eastAsia" w:ascii="宋体" w:hAnsi="宋体" w:eastAsia="宋体"/>
                <w:color w:val="auto"/>
                <w:szCs w:val="21"/>
              </w:rPr>
            </w:pPr>
          </w:p>
        </w:tc>
        <w:tc>
          <w:tcPr>
            <w:tcW w:w="1419" w:type="dxa"/>
            <w:vAlign w:val="top"/>
          </w:tcPr>
          <w:p>
            <w:pPr>
              <w:spacing w:beforeAutospacing="0" w:afterAutospacing="0" w:line="360" w:lineRule="auto"/>
              <w:jc w:val="center"/>
              <w:rPr>
                <w:rFonts w:hint="eastAsia" w:ascii="宋体" w:hAnsi="宋体" w:eastAsia="宋体"/>
                <w:color w:val="auto"/>
                <w:szCs w:val="21"/>
              </w:rPr>
            </w:pPr>
          </w:p>
        </w:tc>
        <w:tc>
          <w:tcPr>
            <w:tcW w:w="812" w:type="dxa"/>
            <w:vAlign w:val="center"/>
          </w:tcPr>
          <w:p>
            <w:pPr>
              <w:spacing w:beforeAutospacing="0" w:afterAutospacing="0" w:line="360" w:lineRule="auto"/>
              <w:jc w:val="center"/>
              <w:rPr>
                <w:rFonts w:hint="eastAsia"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752" w:type="dxa"/>
            <w:vAlign w:val="center"/>
          </w:tcPr>
          <w:p>
            <w:pPr>
              <w:spacing w:beforeAutospacing="0" w:afterAutospacing="0" w:line="360" w:lineRule="auto"/>
              <w:jc w:val="center"/>
              <w:rPr>
                <w:rFonts w:hint="eastAsia" w:ascii="宋体" w:hAnsi="宋体" w:eastAsia="宋体"/>
                <w:color w:val="auto"/>
                <w:szCs w:val="21"/>
              </w:rPr>
            </w:pPr>
          </w:p>
        </w:tc>
        <w:tc>
          <w:tcPr>
            <w:tcW w:w="1195" w:type="dxa"/>
            <w:vAlign w:val="center"/>
          </w:tcPr>
          <w:p>
            <w:pPr>
              <w:spacing w:beforeAutospacing="0" w:afterAutospacing="0" w:line="360" w:lineRule="auto"/>
              <w:jc w:val="center"/>
              <w:rPr>
                <w:rFonts w:hint="eastAsia" w:ascii="宋体" w:hAnsi="宋体" w:eastAsia="宋体"/>
                <w:color w:val="auto"/>
                <w:szCs w:val="21"/>
              </w:rPr>
            </w:pPr>
          </w:p>
        </w:tc>
        <w:tc>
          <w:tcPr>
            <w:tcW w:w="1826" w:type="dxa"/>
            <w:vAlign w:val="center"/>
          </w:tcPr>
          <w:p>
            <w:pPr>
              <w:spacing w:beforeAutospacing="0" w:afterAutospacing="0" w:line="360" w:lineRule="auto"/>
              <w:jc w:val="center"/>
              <w:rPr>
                <w:rFonts w:hint="eastAsia" w:ascii="宋体" w:hAnsi="宋体" w:eastAsia="宋体"/>
                <w:color w:val="auto"/>
                <w:szCs w:val="21"/>
              </w:rPr>
            </w:pPr>
          </w:p>
        </w:tc>
        <w:tc>
          <w:tcPr>
            <w:tcW w:w="1013" w:type="dxa"/>
            <w:vAlign w:val="center"/>
          </w:tcPr>
          <w:p>
            <w:pPr>
              <w:spacing w:beforeAutospacing="0" w:afterAutospacing="0" w:line="360" w:lineRule="auto"/>
              <w:jc w:val="center"/>
              <w:rPr>
                <w:rFonts w:hint="eastAsia" w:ascii="宋体" w:hAnsi="宋体" w:eastAsia="宋体"/>
                <w:color w:val="auto"/>
                <w:szCs w:val="21"/>
              </w:rPr>
            </w:pPr>
          </w:p>
        </w:tc>
        <w:tc>
          <w:tcPr>
            <w:tcW w:w="1013" w:type="dxa"/>
            <w:vAlign w:val="center"/>
          </w:tcPr>
          <w:p>
            <w:pPr>
              <w:spacing w:beforeAutospacing="0" w:afterAutospacing="0" w:line="360" w:lineRule="auto"/>
              <w:jc w:val="center"/>
              <w:rPr>
                <w:rFonts w:hint="eastAsia" w:ascii="宋体" w:hAnsi="宋体" w:eastAsia="宋体"/>
                <w:color w:val="auto"/>
                <w:szCs w:val="21"/>
              </w:rPr>
            </w:pPr>
          </w:p>
        </w:tc>
        <w:tc>
          <w:tcPr>
            <w:tcW w:w="1013" w:type="dxa"/>
            <w:vAlign w:val="center"/>
          </w:tcPr>
          <w:p>
            <w:pPr>
              <w:spacing w:beforeAutospacing="0" w:afterAutospacing="0" w:line="360" w:lineRule="auto"/>
              <w:jc w:val="center"/>
              <w:rPr>
                <w:rFonts w:hint="eastAsia" w:ascii="宋体" w:hAnsi="宋体" w:eastAsia="宋体"/>
                <w:color w:val="auto"/>
                <w:szCs w:val="21"/>
              </w:rPr>
            </w:pPr>
          </w:p>
        </w:tc>
        <w:tc>
          <w:tcPr>
            <w:tcW w:w="1419" w:type="dxa"/>
            <w:vAlign w:val="top"/>
          </w:tcPr>
          <w:p>
            <w:pPr>
              <w:spacing w:beforeAutospacing="0" w:afterAutospacing="0" w:line="360" w:lineRule="auto"/>
              <w:jc w:val="center"/>
              <w:rPr>
                <w:rFonts w:hint="eastAsia" w:ascii="宋体" w:hAnsi="宋体" w:eastAsia="宋体"/>
                <w:color w:val="auto"/>
                <w:szCs w:val="21"/>
              </w:rPr>
            </w:pPr>
          </w:p>
        </w:tc>
        <w:tc>
          <w:tcPr>
            <w:tcW w:w="812" w:type="dxa"/>
            <w:vAlign w:val="center"/>
          </w:tcPr>
          <w:p>
            <w:pPr>
              <w:spacing w:beforeAutospacing="0" w:afterAutospacing="0" w:line="360" w:lineRule="auto"/>
              <w:jc w:val="center"/>
              <w:rPr>
                <w:rFonts w:hint="eastAsia" w:ascii="宋体" w:hAnsi="宋体" w:eastAsia="宋体"/>
                <w:color w:val="auto"/>
                <w:szCs w:val="21"/>
              </w:rPr>
            </w:pPr>
          </w:p>
        </w:tc>
      </w:tr>
    </w:tbl>
    <w:p>
      <w:pPr>
        <w:spacing w:beforeAutospacing="0" w:afterAutospacing="0" w:line="360" w:lineRule="auto"/>
        <w:rPr>
          <w:rFonts w:hint="eastAsia" w:ascii="宋体" w:hAnsi="宋体"/>
          <w:color w:val="auto"/>
          <w:szCs w:val="21"/>
        </w:rPr>
      </w:pPr>
    </w:p>
    <w:p>
      <w:pPr>
        <w:widowControl/>
        <w:spacing w:beforeAutospacing="0" w:afterAutospacing="0" w:line="360" w:lineRule="auto"/>
        <w:rPr>
          <w:rFonts w:hint="eastAsia" w:ascii="宋体" w:hAnsi="宋体"/>
          <w:color w:val="auto"/>
          <w:szCs w:val="21"/>
        </w:rPr>
      </w:pPr>
      <w:r>
        <w:rPr>
          <w:rFonts w:hint="eastAsia" w:ascii="宋体" w:hAnsi="宋体"/>
          <w:color w:val="auto"/>
          <w:szCs w:val="21"/>
        </w:rPr>
        <w:t>响应供应商（名称及盖章）：</w:t>
      </w:r>
    </w:p>
    <w:p>
      <w:pPr>
        <w:widowControl/>
        <w:spacing w:beforeAutospacing="0" w:afterAutospacing="0" w:line="360" w:lineRule="auto"/>
        <w:rPr>
          <w:rFonts w:hint="eastAsia" w:ascii="宋体" w:hAnsi="宋体"/>
          <w:color w:val="auto"/>
          <w:szCs w:val="21"/>
        </w:rPr>
      </w:pPr>
    </w:p>
    <w:p>
      <w:pPr>
        <w:widowControl/>
        <w:spacing w:beforeAutospacing="0" w:afterAutospacing="0" w:line="360" w:lineRule="auto"/>
        <w:rPr>
          <w:rFonts w:hint="eastAsia" w:ascii="宋体" w:hAnsi="宋体"/>
          <w:color w:val="auto"/>
          <w:szCs w:val="21"/>
        </w:rPr>
      </w:pPr>
      <w:r>
        <w:rPr>
          <w:rFonts w:hint="eastAsia" w:ascii="宋体" w:hAnsi="宋体"/>
          <w:color w:val="auto"/>
          <w:szCs w:val="21"/>
        </w:rPr>
        <w:t>法定代表人或授权代表（签字或盖章）：</w:t>
      </w:r>
    </w:p>
    <w:p>
      <w:pPr>
        <w:widowControl/>
        <w:spacing w:beforeAutospacing="0" w:afterAutospacing="0" w:line="360" w:lineRule="auto"/>
        <w:rPr>
          <w:rFonts w:hint="eastAsia" w:ascii="宋体" w:hAnsi="宋体"/>
          <w:b/>
          <w:bCs/>
          <w:color w:val="auto"/>
          <w:szCs w:val="21"/>
        </w:rPr>
      </w:pPr>
    </w:p>
    <w:p>
      <w:pPr>
        <w:pStyle w:val="131"/>
        <w:spacing w:beforeAutospacing="0" w:afterAutospacing="0" w:line="360" w:lineRule="auto"/>
        <w:outlineLvl w:val="9"/>
        <w:rPr>
          <w:rFonts w:hint="eastAsia" w:hAnsi="宋体"/>
          <w:color w:val="auto"/>
          <w:sz w:val="21"/>
          <w:szCs w:val="21"/>
        </w:rPr>
      </w:pPr>
      <w:bookmarkStart w:id="33" w:name="_Toc23231"/>
      <w:bookmarkEnd w:id="33"/>
      <w:bookmarkStart w:id="34" w:name="_Toc659"/>
      <w:bookmarkEnd w:id="34"/>
      <w:r>
        <w:rPr>
          <w:rFonts w:hint="eastAsia" w:hAnsi="宋体"/>
          <w:color w:val="auto"/>
          <w:sz w:val="21"/>
          <w:szCs w:val="21"/>
        </w:rPr>
        <w:t>日    期：      年    月    日</w:t>
      </w:r>
    </w:p>
    <w:p>
      <w:pPr>
        <w:spacing w:beforeAutospacing="0" w:afterAutospacing="0" w:line="360" w:lineRule="auto"/>
        <w:outlineLvl w:val="0"/>
        <w:rPr>
          <w:rFonts w:hint="eastAsia" w:ascii="宋体" w:hAnsi="宋体"/>
          <w:color w:val="auto"/>
          <w:szCs w:val="21"/>
        </w:rPr>
      </w:pPr>
      <w:bookmarkStart w:id="35" w:name="_Toc13178"/>
      <w:bookmarkEnd w:id="35"/>
      <w:r>
        <w:rPr>
          <w:rFonts w:hint="eastAsia" w:ascii="宋体" w:hAnsi="宋体"/>
          <w:color w:val="auto"/>
          <w:szCs w:val="21"/>
        </w:rPr>
        <w:br w:type="page"/>
      </w:r>
      <w:r>
        <w:rPr>
          <w:rFonts w:hint="eastAsia" w:ascii="宋体" w:hAnsi="宋体"/>
          <w:b/>
          <w:color w:val="auto"/>
          <w:szCs w:val="21"/>
        </w:rPr>
        <w:t>附件六  技术规格货物说明一览表</w:t>
      </w:r>
    </w:p>
    <w:p>
      <w:pPr>
        <w:spacing w:beforeAutospacing="0" w:afterAutospacing="0" w:line="360" w:lineRule="auto"/>
        <w:ind w:firstLine="420" w:firstLineChars="200"/>
        <w:jc w:val="center"/>
        <w:rPr>
          <w:rFonts w:hint="eastAsia" w:ascii="宋体" w:hAnsi="宋体"/>
          <w:color w:val="auto"/>
          <w:szCs w:val="21"/>
        </w:rPr>
      </w:pPr>
      <w:r>
        <w:rPr>
          <w:rFonts w:hint="eastAsia" w:ascii="宋体" w:hAnsi="宋体"/>
          <w:color w:val="auto"/>
          <w:szCs w:val="21"/>
        </w:rPr>
        <w:t>技术规格货物说明一览表</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1"/>
        <w:gridCol w:w="1440"/>
        <w:gridCol w:w="1417"/>
        <w:gridCol w:w="1843"/>
        <w:gridCol w:w="2126"/>
        <w:gridCol w:w="2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exact"/>
          <w:jc w:val="center"/>
        </w:trPr>
        <w:tc>
          <w:tcPr>
            <w:tcW w:w="711" w:type="dxa"/>
            <w:vAlign w:val="center"/>
          </w:tcPr>
          <w:p>
            <w:pPr>
              <w:pStyle w:val="28"/>
              <w:tabs>
                <w:tab w:val="left" w:pos="0"/>
                <w:tab w:val="left" w:pos="720"/>
                <w:tab w:val="left" w:pos="1440"/>
                <w:tab w:val="left" w:pos="2160"/>
                <w:tab w:val="left" w:pos="2880"/>
                <w:tab w:val="left" w:pos="3600"/>
                <w:tab w:val="left" w:pos="4320"/>
              </w:tabs>
              <w:autoSpaceDE w:val="0"/>
              <w:autoSpaceDN w:val="0"/>
              <w:spacing w:before="0" w:beforeAutospacing="0" w:afterAutospacing="0" w:line="360" w:lineRule="auto"/>
              <w:ind w:left="4410"/>
              <w:jc w:val="center"/>
              <w:rPr>
                <w:rFonts w:hint="eastAsia" w:ascii="宋体" w:hAnsi="宋体"/>
                <w:color w:val="auto"/>
                <w:sz w:val="21"/>
                <w:szCs w:val="21"/>
              </w:rPr>
            </w:pPr>
            <w:r>
              <w:rPr>
                <w:rFonts w:hint="eastAsia" w:ascii="宋体" w:hAnsi="宋体"/>
                <w:color w:val="auto"/>
                <w:sz w:val="21"/>
                <w:szCs w:val="21"/>
              </w:rPr>
              <w:t>序号</w:t>
            </w:r>
          </w:p>
        </w:tc>
        <w:tc>
          <w:tcPr>
            <w:tcW w:w="1440"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名称</w:t>
            </w:r>
          </w:p>
        </w:tc>
        <w:tc>
          <w:tcPr>
            <w:tcW w:w="1417" w:type="dxa"/>
            <w:vAlign w:val="center"/>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r>
              <w:rPr>
                <w:rFonts w:hint="eastAsia" w:ascii="宋体" w:hAnsi="宋体" w:eastAsia="宋体"/>
                <w:color w:val="auto"/>
                <w:kern w:val="2"/>
                <w:sz w:val="21"/>
                <w:szCs w:val="21"/>
              </w:rPr>
              <w:t>规格</w:t>
            </w:r>
          </w:p>
        </w:tc>
        <w:tc>
          <w:tcPr>
            <w:tcW w:w="1843"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主要技术参数</w:t>
            </w:r>
          </w:p>
        </w:tc>
        <w:tc>
          <w:tcPr>
            <w:tcW w:w="2126" w:type="dxa"/>
            <w:vAlign w:val="center"/>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r>
              <w:rPr>
                <w:rFonts w:hint="eastAsia" w:ascii="宋体" w:hAnsi="宋体" w:eastAsia="宋体"/>
                <w:color w:val="auto"/>
                <w:kern w:val="2"/>
                <w:sz w:val="21"/>
                <w:szCs w:val="21"/>
              </w:rPr>
              <w:t>功能和性能说明</w:t>
            </w:r>
          </w:p>
        </w:tc>
        <w:tc>
          <w:tcPr>
            <w:tcW w:w="2150" w:type="dxa"/>
            <w:vAlign w:val="center"/>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r>
              <w:rPr>
                <w:rFonts w:hint="eastAsia" w:ascii="宋体" w:hAnsi="宋体" w:eastAsia="宋体"/>
                <w:color w:val="auto"/>
                <w:kern w:val="2"/>
                <w:sz w:val="21"/>
                <w:szCs w:val="21"/>
              </w:rPr>
              <w:t>所用原材料说明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exact"/>
          <w:jc w:val="center"/>
        </w:trPr>
        <w:tc>
          <w:tcPr>
            <w:tcW w:w="711"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1</w:t>
            </w:r>
          </w:p>
        </w:tc>
        <w:tc>
          <w:tcPr>
            <w:tcW w:w="1440"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417"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843" w:type="dxa"/>
            <w:vAlign w:val="center"/>
          </w:tcPr>
          <w:p>
            <w:pPr>
              <w:tabs>
                <w:tab w:val="left" w:pos="0"/>
                <w:tab w:val="left" w:pos="118"/>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2126" w:type="dxa"/>
            <w:vAlign w:val="top"/>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c>
          <w:tcPr>
            <w:tcW w:w="2150" w:type="dxa"/>
            <w:vAlign w:val="center"/>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711"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2</w:t>
            </w:r>
          </w:p>
        </w:tc>
        <w:tc>
          <w:tcPr>
            <w:tcW w:w="1440"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417"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843" w:type="dxa"/>
            <w:vAlign w:val="center"/>
          </w:tcPr>
          <w:p>
            <w:pPr>
              <w:tabs>
                <w:tab w:val="left" w:pos="0"/>
                <w:tab w:val="left" w:pos="118"/>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2126" w:type="dxa"/>
            <w:vAlign w:val="top"/>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c>
          <w:tcPr>
            <w:tcW w:w="2150" w:type="dxa"/>
            <w:vAlign w:val="center"/>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711"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3</w:t>
            </w:r>
          </w:p>
        </w:tc>
        <w:tc>
          <w:tcPr>
            <w:tcW w:w="1440"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417"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843" w:type="dxa"/>
            <w:vAlign w:val="center"/>
          </w:tcPr>
          <w:p>
            <w:pPr>
              <w:tabs>
                <w:tab w:val="left" w:pos="0"/>
                <w:tab w:val="left" w:pos="118"/>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2126" w:type="dxa"/>
            <w:vAlign w:val="top"/>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c>
          <w:tcPr>
            <w:tcW w:w="2150" w:type="dxa"/>
            <w:vAlign w:val="center"/>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exact"/>
          <w:jc w:val="center"/>
        </w:trPr>
        <w:tc>
          <w:tcPr>
            <w:tcW w:w="711"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4</w:t>
            </w:r>
          </w:p>
        </w:tc>
        <w:tc>
          <w:tcPr>
            <w:tcW w:w="1440"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417"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843" w:type="dxa"/>
            <w:vAlign w:val="center"/>
          </w:tcPr>
          <w:p>
            <w:pPr>
              <w:tabs>
                <w:tab w:val="left" w:pos="0"/>
                <w:tab w:val="left" w:pos="118"/>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2126" w:type="dxa"/>
            <w:vAlign w:val="top"/>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c>
          <w:tcPr>
            <w:tcW w:w="2150" w:type="dxa"/>
            <w:vAlign w:val="center"/>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exact"/>
          <w:jc w:val="center"/>
        </w:trPr>
        <w:tc>
          <w:tcPr>
            <w:tcW w:w="711"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5</w:t>
            </w:r>
          </w:p>
        </w:tc>
        <w:tc>
          <w:tcPr>
            <w:tcW w:w="1440"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417"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843" w:type="dxa"/>
            <w:vAlign w:val="center"/>
          </w:tcPr>
          <w:p>
            <w:pPr>
              <w:tabs>
                <w:tab w:val="left" w:pos="0"/>
                <w:tab w:val="left" w:pos="118"/>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2126" w:type="dxa"/>
            <w:vAlign w:val="top"/>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c>
          <w:tcPr>
            <w:tcW w:w="2150" w:type="dxa"/>
            <w:vAlign w:val="center"/>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exact"/>
          <w:jc w:val="center"/>
        </w:trPr>
        <w:tc>
          <w:tcPr>
            <w:tcW w:w="711"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6</w:t>
            </w:r>
          </w:p>
        </w:tc>
        <w:tc>
          <w:tcPr>
            <w:tcW w:w="1440"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417"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843" w:type="dxa"/>
            <w:vAlign w:val="center"/>
          </w:tcPr>
          <w:p>
            <w:pPr>
              <w:tabs>
                <w:tab w:val="left" w:pos="0"/>
                <w:tab w:val="left" w:pos="118"/>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2126" w:type="dxa"/>
            <w:vAlign w:val="top"/>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c>
          <w:tcPr>
            <w:tcW w:w="2150" w:type="dxa"/>
            <w:vAlign w:val="center"/>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exact"/>
          <w:jc w:val="center"/>
        </w:trPr>
        <w:tc>
          <w:tcPr>
            <w:tcW w:w="711"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7</w:t>
            </w:r>
          </w:p>
        </w:tc>
        <w:tc>
          <w:tcPr>
            <w:tcW w:w="1440"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417"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843" w:type="dxa"/>
            <w:vAlign w:val="center"/>
          </w:tcPr>
          <w:p>
            <w:pPr>
              <w:tabs>
                <w:tab w:val="left" w:pos="0"/>
                <w:tab w:val="left" w:pos="118"/>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2126" w:type="dxa"/>
            <w:vAlign w:val="top"/>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c>
          <w:tcPr>
            <w:tcW w:w="2150" w:type="dxa"/>
            <w:vAlign w:val="center"/>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jc w:val="center"/>
        </w:trPr>
        <w:tc>
          <w:tcPr>
            <w:tcW w:w="711"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8</w:t>
            </w:r>
          </w:p>
        </w:tc>
        <w:tc>
          <w:tcPr>
            <w:tcW w:w="1440"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417"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843" w:type="dxa"/>
            <w:vAlign w:val="center"/>
          </w:tcPr>
          <w:p>
            <w:pPr>
              <w:tabs>
                <w:tab w:val="left" w:pos="0"/>
                <w:tab w:val="left" w:pos="118"/>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2126" w:type="dxa"/>
            <w:vAlign w:val="top"/>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c>
          <w:tcPr>
            <w:tcW w:w="2150" w:type="dxa"/>
            <w:vAlign w:val="center"/>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711"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9</w:t>
            </w:r>
          </w:p>
        </w:tc>
        <w:tc>
          <w:tcPr>
            <w:tcW w:w="1440"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417"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843" w:type="dxa"/>
            <w:vAlign w:val="center"/>
          </w:tcPr>
          <w:p>
            <w:pPr>
              <w:tabs>
                <w:tab w:val="left" w:pos="0"/>
                <w:tab w:val="left" w:pos="118"/>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2126" w:type="dxa"/>
            <w:vAlign w:val="top"/>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c>
          <w:tcPr>
            <w:tcW w:w="2150" w:type="dxa"/>
            <w:vAlign w:val="center"/>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jc w:val="center"/>
        </w:trPr>
        <w:tc>
          <w:tcPr>
            <w:tcW w:w="711"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10</w:t>
            </w:r>
          </w:p>
        </w:tc>
        <w:tc>
          <w:tcPr>
            <w:tcW w:w="1440"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417"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843" w:type="dxa"/>
            <w:vAlign w:val="center"/>
          </w:tcPr>
          <w:p>
            <w:pPr>
              <w:tabs>
                <w:tab w:val="left" w:pos="0"/>
                <w:tab w:val="left" w:pos="118"/>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2126" w:type="dxa"/>
            <w:vAlign w:val="top"/>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c>
          <w:tcPr>
            <w:tcW w:w="2150" w:type="dxa"/>
            <w:vAlign w:val="center"/>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exact"/>
          <w:jc w:val="center"/>
        </w:trPr>
        <w:tc>
          <w:tcPr>
            <w:tcW w:w="711"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11</w:t>
            </w:r>
          </w:p>
        </w:tc>
        <w:tc>
          <w:tcPr>
            <w:tcW w:w="1440"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417"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843" w:type="dxa"/>
            <w:vAlign w:val="center"/>
          </w:tcPr>
          <w:p>
            <w:pPr>
              <w:tabs>
                <w:tab w:val="left" w:pos="0"/>
                <w:tab w:val="left" w:pos="118"/>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2126" w:type="dxa"/>
            <w:vAlign w:val="top"/>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c>
          <w:tcPr>
            <w:tcW w:w="2150" w:type="dxa"/>
            <w:vAlign w:val="center"/>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exact"/>
          <w:jc w:val="center"/>
        </w:trPr>
        <w:tc>
          <w:tcPr>
            <w:tcW w:w="711"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w:t>
            </w:r>
          </w:p>
        </w:tc>
        <w:tc>
          <w:tcPr>
            <w:tcW w:w="1440"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417" w:type="dxa"/>
            <w:vAlign w:val="center"/>
          </w:tcPr>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1843" w:type="dxa"/>
            <w:vAlign w:val="center"/>
          </w:tcPr>
          <w:p>
            <w:pPr>
              <w:tabs>
                <w:tab w:val="left" w:pos="0"/>
                <w:tab w:val="left" w:pos="118"/>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eastAsia="宋体"/>
                <w:color w:val="auto"/>
                <w:szCs w:val="21"/>
              </w:rPr>
            </w:pPr>
          </w:p>
        </w:tc>
        <w:tc>
          <w:tcPr>
            <w:tcW w:w="2126" w:type="dxa"/>
            <w:vAlign w:val="top"/>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c>
          <w:tcPr>
            <w:tcW w:w="2150" w:type="dxa"/>
            <w:vAlign w:val="center"/>
          </w:tcPr>
          <w:p>
            <w:pPr>
              <w:pStyle w:val="114"/>
              <w:widowControl w:val="0"/>
              <w:tabs>
                <w:tab w:val="left" w:pos="0"/>
                <w:tab w:val="left" w:pos="720"/>
                <w:tab w:val="left" w:pos="1440"/>
                <w:tab w:val="left" w:pos="2160"/>
                <w:tab w:val="left" w:pos="2880"/>
                <w:tab w:val="left" w:pos="3600"/>
                <w:tab w:val="left" w:pos="4320"/>
              </w:tabs>
              <w:autoSpaceDE w:val="0"/>
              <w:autoSpaceDN w:val="0"/>
              <w:spacing w:before="0" w:beforeAutospacing="0" w:after="0" w:afterAutospacing="0" w:line="360" w:lineRule="auto"/>
              <w:rPr>
                <w:rFonts w:hint="eastAsia" w:ascii="宋体" w:hAnsi="宋体" w:eastAsia="宋体"/>
                <w:color w:val="auto"/>
                <w:kern w:val="2"/>
                <w:sz w:val="21"/>
                <w:szCs w:val="21"/>
              </w:rPr>
            </w:pPr>
          </w:p>
        </w:tc>
      </w:tr>
    </w:tbl>
    <w:p>
      <w:pPr>
        <w:spacing w:beforeAutospacing="0" w:afterAutospacing="0" w:line="360" w:lineRule="auto"/>
        <w:ind w:firstLine="420" w:firstLineChars="200"/>
        <w:rPr>
          <w:rFonts w:hint="eastAsia" w:ascii="宋体" w:hAnsi="宋体"/>
          <w:color w:val="auto"/>
          <w:szCs w:val="21"/>
        </w:rPr>
      </w:pPr>
      <w:r>
        <w:rPr>
          <w:rFonts w:hint="eastAsia" w:ascii="宋体" w:hAnsi="宋体"/>
          <w:color w:val="auto"/>
          <w:szCs w:val="21"/>
        </w:rPr>
        <w:t>备注：响应供应商请详细的填写技术参数，并保证提供参数的真实性，并对其真实性负责。如有弄虚作假，取消其成交资格。填写不开可另附详细说明。</w:t>
      </w:r>
    </w:p>
    <w:p>
      <w:pPr>
        <w:spacing w:beforeAutospacing="0" w:afterAutospacing="0" w:line="360" w:lineRule="auto"/>
        <w:rPr>
          <w:rFonts w:hint="eastAsia" w:ascii="宋体" w:hAnsi="宋体"/>
          <w:color w:val="auto"/>
          <w:szCs w:val="21"/>
        </w:rPr>
      </w:pPr>
    </w:p>
    <w:p>
      <w:pPr>
        <w:widowControl/>
        <w:spacing w:beforeAutospacing="0" w:afterAutospacing="0" w:line="360" w:lineRule="auto"/>
        <w:rPr>
          <w:rFonts w:hint="eastAsia" w:ascii="宋体" w:hAnsi="宋体"/>
          <w:color w:val="auto"/>
          <w:szCs w:val="21"/>
        </w:rPr>
      </w:pPr>
      <w:r>
        <w:rPr>
          <w:rFonts w:hint="eastAsia" w:ascii="宋体" w:hAnsi="宋体"/>
          <w:color w:val="auto"/>
          <w:szCs w:val="21"/>
        </w:rPr>
        <w:t>响应供应商（名称及盖章）：</w:t>
      </w:r>
    </w:p>
    <w:p>
      <w:pPr>
        <w:widowControl/>
        <w:spacing w:beforeAutospacing="0" w:afterAutospacing="0" w:line="360" w:lineRule="auto"/>
        <w:rPr>
          <w:rFonts w:hint="eastAsia" w:ascii="宋体" w:hAnsi="宋体"/>
          <w:color w:val="auto"/>
          <w:szCs w:val="21"/>
        </w:rPr>
      </w:pPr>
    </w:p>
    <w:p>
      <w:pPr>
        <w:widowControl/>
        <w:spacing w:beforeAutospacing="0" w:afterAutospacing="0" w:line="360" w:lineRule="auto"/>
        <w:rPr>
          <w:rFonts w:hint="eastAsia" w:ascii="宋体" w:hAnsi="宋体"/>
          <w:color w:val="auto"/>
          <w:szCs w:val="21"/>
        </w:rPr>
      </w:pPr>
      <w:r>
        <w:rPr>
          <w:rFonts w:hint="eastAsia" w:ascii="宋体" w:hAnsi="宋体"/>
          <w:color w:val="auto"/>
          <w:szCs w:val="21"/>
        </w:rPr>
        <w:t>法定代表人或授权代表（签字或盖章）：</w:t>
      </w:r>
    </w:p>
    <w:p>
      <w:pPr>
        <w:widowControl/>
        <w:spacing w:beforeAutospacing="0" w:afterAutospacing="0" w:line="360" w:lineRule="auto"/>
        <w:rPr>
          <w:rFonts w:hint="eastAsia" w:ascii="宋体" w:hAnsi="宋体"/>
          <w:b/>
          <w:bCs/>
          <w:color w:val="auto"/>
          <w:szCs w:val="21"/>
        </w:rPr>
      </w:pPr>
    </w:p>
    <w:p>
      <w:pPr>
        <w:pStyle w:val="131"/>
        <w:spacing w:beforeAutospacing="0" w:afterAutospacing="0" w:line="360" w:lineRule="auto"/>
        <w:outlineLvl w:val="9"/>
        <w:rPr>
          <w:rFonts w:hint="eastAsia" w:hAnsi="宋体"/>
          <w:color w:val="auto"/>
          <w:sz w:val="21"/>
          <w:szCs w:val="21"/>
        </w:rPr>
      </w:pPr>
      <w:bookmarkStart w:id="36" w:name="_Toc1178"/>
      <w:bookmarkEnd w:id="36"/>
      <w:bookmarkStart w:id="37" w:name="_Toc16448"/>
      <w:bookmarkEnd w:id="37"/>
      <w:r>
        <w:rPr>
          <w:rFonts w:hint="eastAsia" w:hAnsi="宋体"/>
          <w:color w:val="auto"/>
          <w:sz w:val="21"/>
          <w:szCs w:val="21"/>
        </w:rPr>
        <w:t>日    期：      年    月    日</w:t>
      </w:r>
    </w:p>
    <w:p>
      <w:pPr>
        <w:spacing w:beforeAutospacing="0" w:afterAutospacing="0" w:line="360" w:lineRule="auto"/>
        <w:rPr>
          <w:rFonts w:hint="eastAsia" w:ascii="宋体" w:hAnsi="宋体"/>
          <w:b/>
          <w:color w:val="auto"/>
          <w:szCs w:val="21"/>
        </w:rPr>
      </w:pPr>
      <w:r>
        <w:rPr>
          <w:rFonts w:hint="eastAsia" w:ascii="宋体" w:hAnsi="宋体"/>
          <w:b/>
          <w:color w:val="auto"/>
          <w:szCs w:val="21"/>
        </w:rPr>
        <w:br w:type="page"/>
      </w:r>
      <w:r>
        <w:rPr>
          <w:rFonts w:hint="eastAsia" w:ascii="宋体" w:hAnsi="宋体"/>
          <w:b/>
          <w:color w:val="auto"/>
          <w:szCs w:val="21"/>
        </w:rPr>
        <w:t>附件七  技术规格偏离表</w:t>
      </w:r>
    </w:p>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jc w:val="center"/>
        <w:rPr>
          <w:rFonts w:hint="eastAsia" w:ascii="宋体" w:hAnsi="宋体"/>
          <w:b/>
          <w:color w:val="auto"/>
          <w:szCs w:val="21"/>
        </w:rPr>
      </w:pPr>
      <w:r>
        <w:rPr>
          <w:rFonts w:hint="eastAsia" w:ascii="宋体" w:hAnsi="宋体"/>
          <w:b/>
          <w:color w:val="auto"/>
          <w:szCs w:val="21"/>
        </w:rPr>
        <w:t>技术规格偏离表</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2253"/>
        <w:gridCol w:w="2253"/>
        <w:gridCol w:w="2319"/>
        <w:gridCol w:w="1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exact"/>
          <w:jc w:val="center"/>
        </w:trPr>
        <w:tc>
          <w:tcPr>
            <w:tcW w:w="843" w:type="dxa"/>
            <w:vAlign w:val="center"/>
          </w:tcPr>
          <w:p>
            <w:pPr>
              <w:spacing w:beforeAutospacing="0" w:afterAutospacing="0" w:line="360" w:lineRule="auto"/>
              <w:rPr>
                <w:rFonts w:hint="eastAsia" w:ascii="宋体" w:hAnsi="宋体" w:eastAsia="宋体"/>
                <w:color w:val="auto"/>
                <w:szCs w:val="21"/>
              </w:rPr>
            </w:pPr>
            <w:r>
              <w:rPr>
                <w:rFonts w:hint="eastAsia" w:ascii="宋体" w:hAnsi="宋体" w:eastAsia="宋体"/>
                <w:color w:val="auto"/>
                <w:szCs w:val="21"/>
              </w:rPr>
              <w:t>序号</w:t>
            </w:r>
          </w:p>
        </w:tc>
        <w:tc>
          <w:tcPr>
            <w:tcW w:w="2253" w:type="dxa"/>
            <w:vAlign w:val="center"/>
          </w:tcPr>
          <w:p>
            <w:pPr>
              <w:spacing w:beforeAutospacing="0" w:afterAutospacing="0" w:line="360" w:lineRule="auto"/>
              <w:rPr>
                <w:rFonts w:hint="eastAsia" w:ascii="宋体" w:hAnsi="宋体" w:eastAsia="宋体"/>
                <w:color w:val="auto"/>
                <w:szCs w:val="21"/>
              </w:rPr>
            </w:pPr>
            <w:r>
              <w:rPr>
                <w:rFonts w:hint="eastAsia" w:ascii="宋体" w:hAnsi="宋体" w:eastAsia="宋体"/>
                <w:color w:val="auto"/>
                <w:szCs w:val="21"/>
              </w:rPr>
              <w:t>名称</w:t>
            </w:r>
          </w:p>
        </w:tc>
        <w:tc>
          <w:tcPr>
            <w:tcW w:w="2253" w:type="dxa"/>
            <w:vAlign w:val="center"/>
          </w:tcPr>
          <w:p>
            <w:pPr>
              <w:spacing w:beforeAutospacing="0" w:afterAutospacing="0" w:line="360" w:lineRule="auto"/>
              <w:rPr>
                <w:rFonts w:hint="eastAsia" w:ascii="宋体" w:hAnsi="宋体" w:eastAsia="宋体"/>
                <w:color w:val="auto"/>
                <w:szCs w:val="21"/>
              </w:rPr>
            </w:pPr>
            <w:r>
              <w:rPr>
                <w:rFonts w:hint="eastAsia" w:ascii="宋体" w:hAnsi="宋体" w:eastAsia="宋体"/>
                <w:color w:val="auto"/>
                <w:szCs w:val="21"/>
              </w:rPr>
              <w:t>采购文件要求</w:t>
            </w:r>
          </w:p>
        </w:tc>
        <w:tc>
          <w:tcPr>
            <w:tcW w:w="2319" w:type="dxa"/>
            <w:vAlign w:val="center"/>
          </w:tcPr>
          <w:p>
            <w:pPr>
              <w:spacing w:beforeAutospacing="0" w:afterAutospacing="0" w:line="360" w:lineRule="auto"/>
              <w:rPr>
                <w:rFonts w:hint="eastAsia" w:ascii="宋体" w:hAnsi="宋体" w:eastAsia="宋体"/>
                <w:color w:val="auto"/>
                <w:szCs w:val="21"/>
              </w:rPr>
            </w:pPr>
            <w:r>
              <w:rPr>
                <w:rFonts w:hint="eastAsia" w:ascii="宋体" w:hAnsi="宋体" w:eastAsia="宋体"/>
                <w:color w:val="auto"/>
                <w:szCs w:val="21"/>
              </w:rPr>
              <w:t>响应文件实际情况</w:t>
            </w:r>
          </w:p>
        </w:tc>
        <w:tc>
          <w:tcPr>
            <w:tcW w:w="1890" w:type="dxa"/>
            <w:vAlign w:val="center"/>
          </w:tcPr>
          <w:p>
            <w:pPr>
              <w:spacing w:beforeAutospacing="0" w:afterAutospacing="0" w:line="360" w:lineRule="auto"/>
              <w:rPr>
                <w:rFonts w:hint="eastAsia" w:ascii="宋体" w:hAnsi="宋体" w:eastAsia="宋体"/>
                <w:color w:val="auto"/>
                <w:szCs w:val="21"/>
              </w:rPr>
            </w:pPr>
            <w:r>
              <w:rPr>
                <w:rFonts w:hint="eastAsia" w:ascii="宋体" w:hAnsi="宋体" w:eastAsia="宋体"/>
                <w:color w:val="auto"/>
                <w:szCs w:val="21"/>
              </w:rPr>
              <w:t>偏离情形（请填写正或负偏离）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843"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1</w:t>
            </w:r>
          </w:p>
        </w:tc>
        <w:tc>
          <w:tcPr>
            <w:tcW w:w="2253" w:type="dxa"/>
            <w:vAlign w:val="center"/>
          </w:tcPr>
          <w:p>
            <w:pPr>
              <w:spacing w:beforeAutospacing="0" w:afterAutospacing="0" w:line="360" w:lineRule="auto"/>
              <w:rPr>
                <w:rFonts w:hint="eastAsia" w:ascii="宋体" w:hAnsi="宋体" w:eastAsia="宋体"/>
                <w:color w:val="auto"/>
                <w:szCs w:val="21"/>
              </w:rPr>
            </w:pPr>
          </w:p>
        </w:tc>
        <w:tc>
          <w:tcPr>
            <w:tcW w:w="2253" w:type="dxa"/>
            <w:vAlign w:val="center"/>
          </w:tcPr>
          <w:p>
            <w:pPr>
              <w:spacing w:beforeAutospacing="0" w:afterAutospacing="0" w:line="360" w:lineRule="auto"/>
              <w:rPr>
                <w:rFonts w:hint="eastAsia" w:ascii="宋体" w:hAnsi="宋体" w:eastAsia="宋体"/>
                <w:color w:val="auto"/>
                <w:szCs w:val="21"/>
              </w:rPr>
            </w:pPr>
          </w:p>
        </w:tc>
        <w:tc>
          <w:tcPr>
            <w:tcW w:w="2319" w:type="dxa"/>
            <w:vAlign w:val="center"/>
          </w:tcPr>
          <w:p>
            <w:pPr>
              <w:spacing w:beforeAutospacing="0" w:afterAutospacing="0" w:line="360" w:lineRule="auto"/>
              <w:rPr>
                <w:rFonts w:hint="eastAsia" w:ascii="宋体" w:hAnsi="宋体" w:eastAsia="宋体"/>
                <w:color w:val="auto"/>
                <w:szCs w:val="21"/>
              </w:rPr>
            </w:pPr>
          </w:p>
        </w:tc>
        <w:tc>
          <w:tcPr>
            <w:tcW w:w="1890" w:type="dxa"/>
            <w:vAlign w:val="center"/>
          </w:tcPr>
          <w:p>
            <w:pPr>
              <w:spacing w:beforeAutospacing="0" w:afterAutospacing="0" w:line="360" w:lineRule="auto"/>
              <w:rPr>
                <w:rFonts w:hint="eastAsia"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exact"/>
          <w:jc w:val="center"/>
        </w:trPr>
        <w:tc>
          <w:tcPr>
            <w:tcW w:w="843"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2</w:t>
            </w:r>
          </w:p>
        </w:tc>
        <w:tc>
          <w:tcPr>
            <w:tcW w:w="2253" w:type="dxa"/>
            <w:vAlign w:val="center"/>
          </w:tcPr>
          <w:p>
            <w:pPr>
              <w:spacing w:beforeAutospacing="0" w:afterAutospacing="0" w:line="360" w:lineRule="auto"/>
              <w:rPr>
                <w:rFonts w:hint="eastAsia" w:ascii="宋体" w:hAnsi="宋体" w:eastAsia="宋体"/>
                <w:color w:val="auto"/>
                <w:szCs w:val="21"/>
              </w:rPr>
            </w:pPr>
          </w:p>
        </w:tc>
        <w:tc>
          <w:tcPr>
            <w:tcW w:w="2253" w:type="dxa"/>
            <w:vAlign w:val="center"/>
          </w:tcPr>
          <w:p>
            <w:pPr>
              <w:spacing w:beforeAutospacing="0" w:afterAutospacing="0" w:line="360" w:lineRule="auto"/>
              <w:rPr>
                <w:rFonts w:hint="eastAsia" w:ascii="宋体" w:hAnsi="宋体" w:eastAsia="宋体"/>
                <w:color w:val="auto"/>
                <w:szCs w:val="21"/>
              </w:rPr>
            </w:pPr>
          </w:p>
        </w:tc>
        <w:tc>
          <w:tcPr>
            <w:tcW w:w="2319" w:type="dxa"/>
            <w:vAlign w:val="center"/>
          </w:tcPr>
          <w:p>
            <w:pPr>
              <w:spacing w:beforeAutospacing="0" w:afterAutospacing="0" w:line="360" w:lineRule="auto"/>
              <w:rPr>
                <w:rFonts w:hint="eastAsia" w:ascii="宋体" w:hAnsi="宋体" w:eastAsia="宋体"/>
                <w:color w:val="auto"/>
                <w:szCs w:val="21"/>
              </w:rPr>
            </w:pPr>
          </w:p>
        </w:tc>
        <w:tc>
          <w:tcPr>
            <w:tcW w:w="1890" w:type="dxa"/>
            <w:vAlign w:val="center"/>
          </w:tcPr>
          <w:p>
            <w:pPr>
              <w:spacing w:beforeAutospacing="0" w:afterAutospacing="0" w:line="360" w:lineRule="auto"/>
              <w:rPr>
                <w:rFonts w:hint="eastAsia"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exact"/>
          <w:jc w:val="center"/>
        </w:trPr>
        <w:tc>
          <w:tcPr>
            <w:tcW w:w="843"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3</w:t>
            </w:r>
          </w:p>
        </w:tc>
        <w:tc>
          <w:tcPr>
            <w:tcW w:w="2253" w:type="dxa"/>
            <w:vAlign w:val="center"/>
          </w:tcPr>
          <w:p>
            <w:pPr>
              <w:spacing w:beforeAutospacing="0" w:afterAutospacing="0" w:line="360" w:lineRule="auto"/>
              <w:rPr>
                <w:rFonts w:hint="eastAsia" w:ascii="宋体" w:hAnsi="宋体" w:eastAsia="宋体"/>
                <w:color w:val="auto"/>
                <w:szCs w:val="21"/>
              </w:rPr>
            </w:pPr>
          </w:p>
        </w:tc>
        <w:tc>
          <w:tcPr>
            <w:tcW w:w="2253" w:type="dxa"/>
            <w:vAlign w:val="center"/>
          </w:tcPr>
          <w:p>
            <w:pPr>
              <w:spacing w:beforeAutospacing="0" w:afterAutospacing="0" w:line="360" w:lineRule="auto"/>
              <w:rPr>
                <w:rFonts w:hint="eastAsia" w:ascii="宋体" w:hAnsi="宋体" w:eastAsia="宋体"/>
                <w:color w:val="auto"/>
                <w:szCs w:val="21"/>
              </w:rPr>
            </w:pPr>
          </w:p>
        </w:tc>
        <w:tc>
          <w:tcPr>
            <w:tcW w:w="2319" w:type="dxa"/>
            <w:vAlign w:val="center"/>
          </w:tcPr>
          <w:p>
            <w:pPr>
              <w:spacing w:beforeAutospacing="0" w:afterAutospacing="0" w:line="360" w:lineRule="auto"/>
              <w:rPr>
                <w:rFonts w:hint="eastAsia" w:ascii="宋体" w:hAnsi="宋体" w:eastAsia="宋体"/>
                <w:color w:val="auto"/>
                <w:szCs w:val="21"/>
              </w:rPr>
            </w:pPr>
          </w:p>
        </w:tc>
        <w:tc>
          <w:tcPr>
            <w:tcW w:w="1890" w:type="dxa"/>
            <w:vAlign w:val="center"/>
          </w:tcPr>
          <w:p>
            <w:pPr>
              <w:spacing w:beforeAutospacing="0" w:afterAutospacing="0" w:line="360" w:lineRule="auto"/>
              <w:rPr>
                <w:rFonts w:hint="eastAsia"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exact"/>
          <w:jc w:val="center"/>
        </w:trPr>
        <w:tc>
          <w:tcPr>
            <w:tcW w:w="843"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4</w:t>
            </w:r>
          </w:p>
        </w:tc>
        <w:tc>
          <w:tcPr>
            <w:tcW w:w="2253" w:type="dxa"/>
            <w:vAlign w:val="center"/>
          </w:tcPr>
          <w:p>
            <w:pPr>
              <w:spacing w:beforeAutospacing="0" w:afterAutospacing="0" w:line="360" w:lineRule="auto"/>
              <w:rPr>
                <w:rFonts w:hint="eastAsia" w:ascii="宋体" w:hAnsi="宋体" w:eastAsia="宋体"/>
                <w:color w:val="auto"/>
                <w:szCs w:val="21"/>
              </w:rPr>
            </w:pPr>
          </w:p>
        </w:tc>
        <w:tc>
          <w:tcPr>
            <w:tcW w:w="2253" w:type="dxa"/>
            <w:vAlign w:val="center"/>
          </w:tcPr>
          <w:p>
            <w:pPr>
              <w:spacing w:beforeAutospacing="0" w:afterAutospacing="0" w:line="360" w:lineRule="auto"/>
              <w:rPr>
                <w:rFonts w:hint="eastAsia" w:ascii="宋体" w:hAnsi="宋体" w:eastAsia="宋体"/>
                <w:color w:val="auto"/>
                <w:szCs w:val="21"/>
              </w:rPr>
            </w:pPr>
          </w:p>
        </w:tc>
        <w:tc>
          <w:tcPr>
            <w:tcW w:w="2319" w:type="dxa"/>
            <w:vAlign w:val="center"/>
          </w:tcPr>
          <w:p>
            <w:pPr>
              <w:spacing w:beforeAutospacing="0" w:afterAutospacing="0" w:line="360" w:lineRule="auto"/>
              <w:rPr>
                <w:rFonts w:hint="eastAsia" w:ascii="宋体" w:hAnsi="宋体" w:eastAsia="宋体"/>
                <w:color w:val="auto"/>
                <w:szCs w:val="21"/>
              </w:rPr>
            </w:pPr>
          </w:p>
        </w:tc>
        <w:tc>
          <w:tcPr>
            <w:tcW w:w="1890" w:type="dxa"/>
            <w:vAlign w:val="center"/>
          </w:tcPr>
          <w:p>
            <w:pPr>
              <w:spacing w:beforeAutospacing="0" w:afterAutospacing="0" w:line="360" w:lineRule="auto"/>
              <w:rPr>
                <w:rFonts w:hint="eastAsia"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exact"/>
          <w:jc w:val="center"/>
        </w:trPr>
        <w:tc>
          <w:tcPr>
            <w:tcW w:w="843"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5</w:t>
            </w:r>
          </w:p>
        </w:tc>
        <w:tc>
          <w:tcPr>
            <w:tcW w:w="2253" w:type="dxa"/>
            <w:vAlign w:val="center"/>
          </w:tcPr>
          <w:p>
            <w:pPr>
              <w:spacing w:beforeAutospacing="0" w:afterAutospacing="0" w:line="360" w:lineRule="auto"/>
              <w:rPr>
                <w:rFonts w:hint="eastAsia" w:ascii="宋体" w:hAnsi="宋体" w:eastAsia="宋体"/>
                <w:color w:val="auto"/>
                <w:szCs w:val="21"/>
              </w:rPr>
            </w:pPr>
          </w:p>
        </w:tc>
        <w:tc>
          <w:tcPr>
            <w:tcW w:w="2253" w:type="dxa"/>
            <w:vAlign w:val="center"/>
          </w:tcPr>
          <w:p>
            <w:pPr>
              <w:spacing w:beforeAutospacing="0" w:afterAutospacing="0" w:line="360" w:lineRule="auto"/>
              <w:rPr>
                <w:rFonts w:hint="eastAsia" w:ascii="宋体" w:hAnsi="宋体" w:eastAsia="宋体"/>
                <w:color w:val="auto"/>
                <w:szCs w:val="21"/>
              </w:rPr>
            </w:pPr>
          </w:p>
        </w:tc>
        <w:tc>
          <w:tcPr>
            <w:tcW w:w="2319" w:type="dxa"/>
            <w:vAlign w:val="center"/>
          </w:tcPr>
          <w:p>
            <w:pPr>
              <w:spacing w:beforeAutospacing="0" w:afterAutospacing="0" w:line="360" w:lineRule="auto"/>
              <w:rPr>
                <w:rFonts w:hint="eastAsia" w:ascii="宋体" w:hAnsi="宋体" w:eastAsia="宋体"/>
                <w:color w:val="auto"/>
                <w:szCs w:val="21"/>
              </w:rPr>
            </w:pPr>
          </w:p>
        </w:tc>
        <w:tc>
          <w:tcPr>
            <w:tcW w:w="1890" w:type="dxa"/>
            <w:vAlign w:val="center"/>
          </w:tcPr>
          <w:p>
            <w:pPr>
              <w:spacing w:beforeAutospacing="0" w:afterAutospacing="0" w:line="360" w:lineRule="auto"/>
              <w:rPr>
                <w:rFonts w:hint="eastAsia"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exact"/>
          <w:jc w:val="center"/>
        </w:trPr>
        <w:tc>
          <w:tcPr>
            <w:tcW w:w="843"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6</w:t>
            </w:r>
          </w:p>
        </w:tc>
        <w:tc>
          <w:tcPr>
            <w:tcW w:w="2253" w:type="dxa"/>
            <w:vAlign w:val="center"/>
          </w:tcPr>
          <w:p>
            <w:pPr>
              <w:spacing w:beforeAutospacing="0" w:afterAutospacing="0" w:line="360" w:lineRule="auto"/>
              <w:rPr>
                <w:rFonts w:hint="eastAsia" w:ascii="宋体" w:hAnsi="宋体" w:eastAsia="宋体"/>
                <w:color w:val="auto"/>
                <w:szCs w:val="21"/>
              </w:rPr>
            </w:pPr>
          </w:p>
        </w:tc>
        <w:tc>
          <w:tcPr>
            <w:tcW w:w="2253" w:type="dxa"/>
            <w:vAlign w:val="center"/>
          </w:tcPr>
          <w:p>
            <w:pPr>
              <w:spacing w:beforeAutospacing="0" w:afterAutospacing="0" w:line="360" w:lineRule="auto"/>
              <w:rPr>
                <w:rFonts w:hint="eastAsia" w:ascii="宋体" w:hAnsi="宋体" w:eastAsia="宋体"/>
                <w:color w:val="auto"/>
                <w:szCs w:val="21"/>
              </w:rPr>
            </w:pPr>
          </w:p>
        </w:tc>
        <w:tc>
          <w:tcPr>
            <w:tcW w:w="2319" w:type="dxa"/>
            <w:vAlign w:val="center"/>
          </w:tcPr>
          <w:p>
            <w:pPr>
              <w:spacing w:beforeAutospacing="0" w:afterAutospacing="0" w:line="360" w:lineRule="auto"/>
              <w:rPr>
                <w:rFonts w:hint="eastAsia" w:ascii="宋体" w:hAnsi="宋体" w:eastAsia="宋体"/>
                <w:color w:val="auto"/>
                <w:szCs w:val="21"/>
              </w:rPr>
            </w:pPr>
          </w:p>
        </w:tc>
        <w:tc>
          <w:tcPr>
            <w:tcW w:w="1890" w:type="dxa"/>
            <w:vAlign w:val="center"/>
          </w:tcPr>
          <w:p>
            <w:pPr>
              <w:spacing w:beforeAutospacing="0" w:afterAutospacing="0" w:line="360" w:lineRule="auto"/>
              <w:rPr>
                <w:rFonts w:hint="eastAsia"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exact"/>
          <w:jc w:val="center"/>
        </w:trPr>
        <w:tc>
          <w:tcPr>
            <w:tcW w:w="843"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7</w:t>
            </w:r>
          </w:p>
        </w:tc>
        <w:tc>
          <w:tcPr>
            <w:tcW w:w="2253" w:type="dxa"/>
            <w:vAlign w:val="center"/>
          </w:tcPr>
          <w:p>
            <w:pPr>
              <w:spacing w:beforeAutospacing="0" w:afterAutospacing="0" w:line="360" w:lineRule="auto"/>
              <w:rPr>
                <w:rFonts w:hint="eastAsia" w:ascii="宋体" w:hAnsi="宋体" w:eastAsia="宋体"/>
                <w:color w:val="auto"/>
                <w:szCs w:val="21"/>
              </w:rPr>
            </w:pPr>
          </w:p>
        </w:tc>
        <w:tc>
          <w:tcPr>
            <w:tcW w:w="2253" w:type="dxa"/>
            <w:vAlign w:val="center"/>
          </w:tcPr>
          <w:p>
            <w:pPr>
              <w:spacing w:beforeAutospacing="0" w:afterAutospacing="0" w:line="360" w:lineRule="auto"/>
              <w:rPr>
                <w:rFonts w:hint="eastAsia" w:ascii="宋体" w:hAnsi="宋体" w:eastAsia="宋体"/>
                <w:color w:val="auto"/>
                <w:szCs w:val="21"/>
              </w:rPr>
            </w:pPr>
          </w:p>
        </w:tc>
        <w:tc>
          <w:tcPr>
            <w:tcW w:w="2319" w:type="dxa"/>
            <w:vAlign w:val="center"/>
          </w:tcPr>
          <w:p>
            <w:pPr>
              <w:spacing w:beforeAutospacing="0" w:afterAutospacing="0" w:line="360" w:lineRule="auto"/>
              <w:rPr>
                <w:rFonts w:hint="eastAsia" w:ascii="宋体" w:hAnsi="宋体" w:eastAsia="宋体"/>
                <w:color w:val="auto"/>
                <w:szCs w:val="21"/>
              </w:rPr>
            </w:pPr>
          </w:p>
        </w:tc>
        <w:tc>
          <w:tcPr>
            <w:tcW w:w="1890" w:type="dxa"/>
            <w:vAlign w:val="center"/>
          </w:tcPr>
          <w:p>
            <w:pPr>
              <w:spacing w:beforeAutospacing="0" w:afterAutospacing="0" w:line="360" w:lineRule="auto"/>
              <w:rPr>
                <w:rFonts w:hint="eastAsia"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exact"/>
          <w:jc w:val="center"/>
        </w:trPr>
        <w:tc>
          <w:tcPr>
            <w:tcW w:w="843"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8</w:t>
            </w:r>
          </w:p>
        </w:tc>
        <w:tc>
          <w:tcPr>
            <w:tcW w:w="2253" w:type="dxa"/>
            <w:vAlign w:val="center"/>
          </w:tcPr>
          <w:p>
            <w:pPr>
              <w:spacing w:beforeAutospacing="0" w:afterAutospacing="0" w:line="360" w:lineRule="auto"/>
              <w:rPr>
                <w:rFonts w:hint="eastAsia" w:ascii="宋体" w:hAnsi="宋体" w:eastAsia="宋体"/>
                <w:color w:val="auto"/>
                <w:szCs w:val="21"/>
              </w:rPr>
            </w:pPr>
          </w:p>
        </w:tc>
        <w:tc>
          <w:tcPr>
            <w:tcW w:w="2253" w:type="dxa"/>
            <w:vAlign w:val="center"/>
          </w:tcPr>
          <w:p>
            <w:pPr>
              <w:spacing w:beforeAutospacing="0" w:afterAutospacing="0" w:line="360" w:lineRule="auto"/>
              <w:rPr>
                <w:rFonts w:hint="eastAsia" w:ascii="宋体" w:hAnsi="宋体" w:eastAsia="宋体"/>
                <w:color w:val="auto"/>
                <w:szCs w:val="21"/>
              </w:rPr>
            </w:pPr>
          </w:p>
        </w:tc>
        <w:tc>
          <w:tcPr>
            <w:tcW w:w="2319" w:type="dxa"/>
            <w:vAlign w:val="center"/>
          </w:tcPr>
          <w:p>
            <w:pPr>
              <w:spacing w:beforeAutospacing="0" w:afterAutospacing="0" w:line="360" w:lineRule="auto"/>
              <w:rPr>
                <w:rFonts w:hint="eastAsia" w:ascii="宋体" w:hAnsi="宋体" w:eastAsia="宋体"/>
                <w:color w:val="auto"/>
                <w:szCs w:val="21"/>
              </w:rPr>
            </w:pPr>
          </w:p>
        </w:tc>
        <w:tc>
          <w:tcPr>
            <w:tcW w:w="1890" w:type="dxa"/>
            <w:vAlign w:val="center"/>
          </w:tcPr>
          <w:p>
            <w:pPr>
              <w:spacing w:beforeAutospacing="0" w:afterAutospacing="0" w:line="360" w:lineRule="auto"/>
              <w:rPr>
                <w:rFonts w:hint="eastAsia"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exact"/>
          <w:jc w:val="center"/>
        </w:trPr>
        <w:tc>
          <w:tcPr>
            <w:tcW w:w="843"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9</w:t>
            </w:r>
          </w:p>
        </w:tc>
        <w:tc>
          <w:tcPr>
            <w:tcW w:w="2253" w:type="dxa"/>
            <w:vAlign w:val="center"/>
          </w:tcPr>
          <w:p>
            <w:pPr>
              <w:spacing w:beforeAutospacing="0" w:afterAutospacing="0" w:line="360" w:lineRule="auto"/>
              <w:rPr>
                <w:rFonts w:hint="eastAsia" w:ascii="宋体" w:hAnsi="宋体" w:eastAsia="宋体"/>
                <w:color w:val="auto"/>
                <w:szCs w:val="21"/>
              </w:rPr>
            </w:pPr>
          </w:p>
        </w:tc>
        <w:tc>
          <w:tcPr>
            <w:tcW w:w="2253" w:type="dxa"/>
            <w:vAlign w:val="center"/>
          </w:tcPr>
          <w:p>
            <w:pPr>
              <w:spacing w:beforeAutospacing="0" w:afterAutospacing="0" w:line="360" w:lineRule="auto"/>
              <w:rPr>
                <w:rFonts w:hint="eastAsia" w:ascii="宋体" w:hAnsi="宋体" w:eastAsia="宋体"/>
                <w:color w:val="auto"/>
                <w:szCs w:val="21"/>
              </w:rPr>
            </w:pPr>
          </w:p>
        </w:tc>
        <w:tc>
          <w:tcPr>
            <w:tcW w:w="2319" w:type="dxa"/>
            <w:vAlign w:val="center"/>
          </w:tcPr>
          <w:p>
            <w:pPr>
              <w:spacing w:beforeAutospacing="0" w:afterAutospacing="0" w:line="360" w:lineRule="auto"/>
              <w:rPr>
                <w:rFonts w:hint="eastAsia" w:ascii="宋体" w:hAnsi="宋体" w:eastAsia="宋体"/>
                <w:color w:val="auto"/>
                <w:szCs w:val="21"/>
              </w:rPr>
            </w:pPr>
          </w:p>
        </w:tc>
        <w:tc>
          <w:tcPr>
            <w:tcW w:w="1890" w:type="dxa"/>
            <w:vAlign w:val="center"/>
          </w:tcPr>
          <w:p>
            <w:pPr>
              <w:spacing w:beforeAutospacing="0" w:afterAutospacing="0" w:line="360" w:lineRule="auto"/>
              <w:rPr>
                <w:rFonts w:hint="eastAsia"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exact"/>
          <w:jc w:val="center"/>
        </w:trPr>
        <w:tc>
          <w:tcPr>
            <w:tcW w:w="843"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10</w:t>
            </w:r>
          </w:p>
        </w:tc>
        <w:tc>
          <w:tcPr>
            <w:tcW w:w="2253" w:type="dxa"/>
            <w:vAlign w:val="center"/>
          </w:tcPr>
          <w:p>
            <w:pPr>
              <w:spacing w:beforeAutospacing="0" w:afterAutospacing="0" w:line="360" w:lineRule="auto"/>
              <w:rPr>
                <w:rFonts w:hint="eastAsia" w:ascii="宋体" w:hAnsi="宋体" w:eastAsia="宋体"/>
                <w:color w:val="auto"/>
                <w:szCs w:val="21"/>
              </w:rPr>
            </w:pPr>
          </w:p>
        </w:tc>
        <w:tc>
          <w:tcPr>
            <w:tcW w:w="2253" w:type="dxa"/>
            <w:vAlign w:val="center"/>
          </w:tcPr>
          <w:p>
            <w:pPr>
              <w:spacing w:beforeAutospacing="0" w:afterAutospacing="0" w:line="360" w:lineRule="auto"/>
              <w:rPr>
                <w:rFonts w:hint="eastAsia" w:ascii="宋体" w:hAnsi="宋体" w:eastAsia="宋体"/>
                <w:color w:val="auto"/>
                <w:szCs w:val="21"/>
              </w:rPr>
            </w:pPr>
          </w:p>
        </w:tc>
        <w:tc>
          <w:tcPr>
            <w:tcW w:w="2319" w:type="dxa"/>
            <w:vAlign w:val="center"/>
          </w:tcPr>
          <w:p>
            <w:pPr>
              <w:spacing w:beforeAutospacing="0" w:afterAutospacing="0" w:line="360" w:lineRule="auto"/>
              <w:rPr>
                <w:rFonts w:hint="eastAsia" w:ascii="宋体" w:hAnsi="宋体" w:eastAsia="宋体"/>
                <w:color w:val="auto"/>
                <w:szCs w:val="21"/>
              </w:rPr>
            </w:pPr>
          </w:p>
        </w:tc>
        <w:tc>
          <w:tcPr>
            <w:tcW w:w="1890" w:type="dxa"/>
            <w:vAlign w:val="center"/>
          </w:tcPr>
          <w:p>
            <w:pPr>
              <w:spacing w:beforeAutospacing="0" w:afterAutospacing="0" w:line="360" w:lineRule="auto"/>
              <w:rPr>
                <w:rFonts w:hint="eastAsia" w:ascii="宋体" w:hAnsi="宋体" w:eastAsia="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exact"/>
          <w:jc w:val="center"/>
        </w:trPr>
        <w:tc>
          <w:tcPr>
            <w:tcW w:w="843" w:type="dxa"/>
            <w:vAlign w:val="center"/>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w:t>
            </w:r>
          </w:p>
        </w:tc>
        <w:tc>
          <w:tcPr>
            <w:tcW w:w="2253" w:type="dxa"/>
            <w:vAlign w:val="center"/>
          </w:tcPr>
          <w:p>
            <w:pPr>
              <w:spacing w:beforeAutospacing="0" w:afterAutospacing="0" w:line="360" w:lineRule="auto"/>
              <w:rPr>
                <w:rFonts w:hint="eastAsia" w:ascii="宋体" w:hAnsi="宋体" w:eastAsia="宋体"/>
                <w:color w:val="auto"/>
                <w:szCs w:val="21"/>
              </w:rPr>
            </w:pPr>
          </w:p>
        </w:tc>
        <w:tc>
          <w:tcPr>
            <w:tcW w:w="2253" w:type="dxa"/>
            <w:vAlign w:val="center"/>
          </w:tcPr>
          <w:p>
            <w:pPr>
              <w:spacing w:beforeAutospacing="0" w:afterAutospacing="0" w:line="360" w:lineRule="auto"/>
              <w:rPr>
                <w:rFonts w:hint="eastAsia" w:ascii="宋体" w:hAnsi="宋体" w:eastAsia="宋体"/>
                <w:color w:val="auto"/>
                <w:szCs w:val="21"/>
              </w:rPr>
            </w:pPr>
          </w:p>
        </w:tc>
        <w:tc>
          <w:tcPr>
            <w:tcW w:w="2319" w:type="dxa"/>
            <w:vAlign w:val="center"/>
          </w:tcPr>
          <w:p>
            <w:pPr>
              <w:spacing w:beforeAutospacing="0" w:afterAutospacing="0" w:line="360" w:lineRule="auto"/>
              <w:rPr>
                <w:rFonts w:hint="eastAsia" w:ascii="宋体" w:hAnsi="宋体" w:eastAsia="宋体"/>
                <w:color w:val="auto"/>
                <w:szCs w:val="21"/>
              </w:rPr>
            </w:pPr>
          </w:p>
        </w:tc>
        <w:tc>
          <w:tcPr>
            <w:tcW w:w="1890" w:type="dxa"/>
            <w:vAlign w:val="center"/>
          </w:tcPr>
          <w:p>
            <w:pPr>
              <w:spacing w:beforeAutospacing="0" w:afterAutospacing="0" w:line="360" w:lineRule="auto"/>
              <w:rPr>
                <w:rFonts w:hint="eastAsia" w:ascii="宋体" w:hAnsi="宋体" w:eastAsia="宋体"/>
                <w:color w:val="auto"/>
                <w:szCs w:val="21"/>
              </w:rPr>
            </w:pPr>
          </w:p>
        </w:tc>
      </w:tr>
    </w:tbl>
    <w:p>
      <w:pPr>
        <w:spacing w:beforeAutospacing="0" w:afterAutospacing="0" w:line="360" w:lineRule="auto"/>
        <w:rPr>
          <w:rFonts w:hint="eastAsia" w:ascii="宋体" w:hAnsi="宋体"/>
          <w:b/>
          <w:bCs/>
          <w:color w:val="auto"/>
          <w:szCs w:val="21"/>
        </w:rPr>
      </w:pPr>
      <w:r>
        <w:rPr>
          <w:rFonts w:hint="eastAsia" w:ascii="宋体" w:hAnsi="宋体"/>
          <w:b/>
          <w:bCs/>
          <w:color w:val="auto"/>
          <w:szCs w:val="21"/>
        </w:rPr>
        <w:t>注：</w:t>
      </w:r>
      <w:r>
        <w:rPr>
          <w:rFonts w:hint="eastAsia" w:ascii="宋体" w:hAnsi="宋体"/>
          <w:color w:val="auto"/>
          <w:szCs w:val="21"/>
        </w:rPr>
        <w:t>1.响应供应商提交的响应文件中与采购文件的采购内容及要求有不同时，应逐条列在偏离表中，否则将认为响应供应商接受采购文件的要求。</w:t>
      </w:r>
    </w:p>
    <w:p>
      <w:pPr>
        <w:spacing w:beforeAutospacing="0" w:afterAutospacing="0" w:line="360" w:lineRule="auto"/>
        <w:ind w:firstLine="422" w:firstLineChars="200"/>
        <w:rPr>
          <w:rFonts w:hint="eastAsia" w:ascii="宋体" w:hAnsi="宋体"/>
          <w:b/>
          <w:bCs/>
          <w:color w:val="auto"/>
          <w:szCs w:val="21"/>
        </w:rPr>
      </w:pPr>
      <w:r>
        <w:rPr>
          <w:rFonts w:hint="eastAsia" w:ascii="宋体" w:hAnsi="宋体"/>
          <w:b/>
          <w:bCs/>
          <w:color w:val="auto"/>
          <w:szCs w:val="21"/>
        </w:rPr>
        <w:t>2.响应供应商应按本表所列项如实填写所投产品技术参数，若存在虚假一经查实按无效响应文件处理。</w:t>
      </w:r>
    </w:p>
    <w:p>
      <w:pPr>
        <w:widowControl/>
        <w:spacing w:beforeAutospacing="0" w:afterAutospacing="0" w:line="360" w:lineRule="auto"/>
        <w:rPr>
          <w:rFonts w:hint="eastAsia" w:ascii="宋体" w:hAnsi="宋体"/>
          <w:color w:val="auto"/>
          <w:szCs w:val="21"/>
        </w:rPr>
      </w:pPr>
    </w:p>
    <w:p>
      <w:pPr>
        <w:widowControl/>
        <w:spacing w:beforeAutospacing="0" w:afterAutospacing="0" w:line="360" w:lineRule="auto"/>
        <w:rPr>
          <w:rFonts w:hint="eastAsia" w:ascii="宋体" w:hAnsi="宋体"/>
          <w:color w:val="auto"/>
          <w:szCs w:val="21"/>
        </w:rPr>
      </w:pPr>
      <w:r>
        <w:rPr>
          <w:rFonts w:hint="eastAsia" w:ascii="宋体" w:hAnsi="宋体"/>
          <w:color w:val="auto"/>
          <w:szCs w:val="21"/>
        </w:rPr>
        <w:t>响应供应商（名称及盖章）：</w:t>
      </w:r>
    </w:p>
    <w:p>
      <w:pPr>
        <w:widowControl/>
        <w:spacing w:beforeAutospacing="0" w:afterAutospacing="0" w:line="360" w:lineRule="auto"/>
        <w:rPr>
          <w:rFonts w:hint="eastAsia" w:ascii="宋体" w:hAnsi="宋体"/>
          <w:color w:val="auto"/>
          <w:szCs w:val="21"/>
        </w:rPr>
      </w:pPr>
    </w:p>
    <w:p>
      <w:pPr>
        <w:widowControl/>
        <w:spacing w:beforeAutospacing="0" w:afterAutospacing="0" w:line="360" w:lineRule="auto"/>
        <w:rPr>
          <w:rFonts w:hint="eastAsia" w:ascii="宋体" w:hAnsi="宋体"/>
          <w:color w:val="auto"/>
          <w:szCs w:val="21"/>
        </w:rPr>
      </w:pPr>
      <w:r>
        <w:rPr>
          <w:rFonts w:hint="eastAsia" w:ascii="宋体" w:hAnsi="宋体"/>
          <w:color w:val="auto"/>
          <w:szCs w:val="21"/>
        </w:rPr>
        <w:t>法定代表人或授权代表（签字或盖章）：</w:t>
      </w:r>
    </w:p>
    <w:p>
      <w:pPr>
        <w:widowControl/>
        <w:spacing w:beforeAutospacing="0" w:afterAutospacing="0" w:line="360" w:lineRule="auto"/>
        <w:rPr>
          <w:rFonts w:hint="eastAsia" w:ascii="宋体" w:hAnsi="宋体"/>
          <w:b/>
          <w:bCs/>
          <w:color w:val="auto"/>
          <w:szCs w:val="21"/>
        </w:rPr>
      </w:pPr>
    </w:p>
    <w:p>
      <w:pPr>
        <w:pStyle w:val="131"/>
        <w:spacing w:beforeAutospacing="0" w:afterAutospacing="0" w:line="360" w:lineRule="auto"/>
        <w:outlineLvl w:val="9"/>
        <w:rPr>
          <w:rFonts w:hint="eastAsia" w:hAnsi="宋体"/>
          <w:color w:val="auto"/>
          <w:sz w:val="21"/>
          <w:szCs w:val="21"/>
        </w:rPr>
      </w:pPr>
      <w:bookmarkStart w:id="38" w:name="_Toc25593"/>
      <w:bookmarkEnd w:id="38"/>
      <w:bookmarkStart w:id="39" w:name="_Toc30715"/>
      <w:bookmarkEnd w:id="39"/>
      <w:r>
        <w:rPr>
          <w:rFonts w:hint="eastAsia" w:hAnsi="宋体"/>
          <w:color w:val="auto"/>
          <w:sz w:val="21"/>
          <w:szCs w:val="21"/>
        </w:rPr>
        <w:t>日    期：      年    月    日</w:t>
      </w:r>
    </w:p>
    <w:p>
      <w:pPr>
        <w:pStyle w:val="28"/>
        <w:tabs>
          <w:tab w:val="left" w:pos="0"/>
          <w:tab w:val="left" w:pos="720"/>
          <w:tab w:val="left" w:pos="1440"/>
          <w:tab w:val="left" w:pos="2160"/>
          <w:tab w:val="left" w:pos="2880"/>
          <w:tab w:val="left" w:pos="3600"/>
          <w:tab w:val="left" w:pos="4320"/>
        </w:tabs>
        <w:autoSpaceDE w:val="0"/>
        <w:autoSpaceDN w:val="0"/>
        <w:spacing w:before="0" w:beforeAutospacing="0" w:afterAutospacing="0" w:line="360" w:lineRule="auto"/>
        <w:rPr>
          <w:rFonts w:hint="eastAsia" w:ascii="宋体" w:hAnsi="宋体"/>
          <w:color w:val="auto"/>
          <w:szCs w:val="21"/>
        </w:rPr>
      </w:pPr>
      <w:r>
        <w:rPr>
          <w:rFonts w:hint="eastAsia" w:ascii="宋体" w:hAnsi="宋体"/>
          <w:color w:val="auto"/>
          <w:szCs w:val="21"/>
        </w:rPr>
        <w:br w:type="page"/>
      </w:r>
      <w:r>
        <w:rPr>
          <w:rFonts w:hint="eastAsia" w:ascii="宋体" w:hAnsi="宋体"/>
          <w:b/>
          <w:color w:val="auto"/>
          <w:sz w:val="21"/>
          <w:szCs w:val="21"/>
        </w:rPr>
        <w:t>附件八、资格审查资料</w:t>
      </w:r>
    </w:p>
    <w:p>
      <w:pPr>
        <w:rPr>
          <w:rFonts w:hint="eastAsia" w:ascii="宋体" w:hAnsi="宋体"/>
          <w:color w:val="auto"/>
        </w:rPr>
      </w:pPr>
    </w:p>
    <w:p>
      <w:pPr>
        <w:pStyle w:val="28"/>
        <w:tabs>
          <w:tab w:val="left" w:pos="0"/>
          <w:tab w:val="left" w:pos="720"/>
          <w:tab w:val="left" w:pos="1440"/>
          <w:tab w:val="left" w:pos="2160"/>
          <w:tab w:val="left" w:pos="2880"/>
          <w:tab w:val="left" w:pos="3600"/>
          <w:tab w:val="left" w:pos="4320"/>
        </w:tabs>
        <w:autoSpaceDE w:val="0"/>
        <w:autoSpaceDN w:val="0"/>
        <w:spacing w:before="0" w:beforeAutospacing="0" w:afterAutospacing="0" w:line="360" w:lineRule="auto"/>
        <w:ind w:firstLine="482" w:firstLineChars="200"/>
        <w:rPr>
          <w:rFonts w:hint="eastAsia" w:ascii="宋体" w:hAnsi="宋体"/>
          <w:b/>
          <w:bCs/>
          <w:color w:val="auto"/>
        </w:rPr>
      </w:pPr>
      <w:r>
        <w:rPr>
          <w:rFonts w:hint="eastAsia" w:ascii="宋体" w:hAnsi="宋体"/>
          <w:b/>
          <w:bCs/>
          <w:color w:val="auto"/>
        </w:rPr>
        <w:t>采购人要求供应商提交的资格审查材料</w:t>
      </w:r>
    </w:p>
    <w:p>
      <w:pPr>
        <w:pStyle w:val="28"/>
        <w:tabs>
          <w:tab w:val="left" w:pos="0"/>
          <w:tab w:val="left" w:pos="720"/>
          <w:tab w:val="left" w:pos="1440"/>
          <w:tab w:val="left" w:pos="2160"/>
          <w:tab w:val="left" w:pos="2880"/>
          <w:tab w:val="left" w:pos="3600"/>
          <w:tab w:val="left" w:pos="4320"/>
        </w:tabs>
        <w:autoSpaceDE w:val="0"/>
        <w:autoSpaceDN w:val="0"/>
        <w:spacing w:before="0" w:beforeAutospacing="0" w:afterAutospacing="0" w:line="360" w:lineRule="auto"/>
        <w:rPr>
          <w:rFonts w:hint="eastAsia" w:ascii="宋体" w:hAnsi="宋体"/>
          <w:b/>
          <w:bCs/>
          <w:color w:val="auto"/>
        </w:rPr>
      </w:pPr>
      <w:r>
        <w:rPr>
          <w:rFonts w:hint="eastAsia" w:ascii="宋体" w:hAnsi="宋体"/>
          <w:b/>
          <w:bCs/>
          <w:color w:val="auto"/>
        </w:rPr>
        <w:t>营业执照；所投医疗器械医疗器械注册证或备案证；投标单位为生产商的需提供《医疗器械生产企业许可证》和《医疗器械经营许可证》；投标单位为代理商的需提供《医疗器械经营企业许可证》或《医疗器械经营备案凭证》。</w:t>
      </w:r>
    </w:p>
    <w:p>
      <w:pPr>
        <w:pStyle w:val="28"/>
        <w:tabs>
          <w:tab w:val="left" w:pos="0"/>
          <w:tab w:val="left" w:pos="720"/>
          <w:tab w:val="left" w:pos="1440"/>
          <w:tab w:val="left" w:pos="2160"/>
          <w:tab w:val="left" w:pos="2880"/>
          <w:tab w:val="left" w:pos="3600"/>
          <w:tab w:val="left" w:pos="4320"/>
        </w:tabs>
        <w:autoSpaceDE w:val="0"/>
        <w:autoSpaceDN w:val="0"/>
        <w:spacing w:before="0" w:beforeAutospacing="0" w:afterAutospacing="0" w:line="360" w:lineRule="auto"/>
        <w:jc w:val="center"/>
        <w:outlineLvl w:val="0"/>
        <w:rPr>
          <w:rFonts w:hint="eastAsia" w:ascii="宋体" w:hAnsi="宋体"/>
          <w:b/>
          <w:bCs/>
          <w:color w:val="auto"/>
        </w:rPr>
      </w:pPr>
      <w:bookmarkStart w:id="40" w:name="_Toc11741"/>
    </w:p>
    <w:bookmarkEnd w:id="40"/>
    <w:p>
      <w:pPr>
        <w:pStyle w:val="28"/>
        <w:tabs>
          <w:tab w:val="left" w:pos="0"/>
          <w:tab w:val="left" w:pos="720"/>
          <w:tab w:val="left" w:pos="1440"/>
          <w:tab w:val="left" w:pos="2160"/>
          <w:tab w:val="left" w:pos="2880"/>
          <w:tab w:val="left" w:pos="3600"/>
          <w:tab w:val="left" w:pos="4320"/>
        </w:tabs>
        <w:autoSpaceDE w:val="0"/>
        <w:autoSpaceDN w:val="0"/>
        <w:spacing w:before="0" w:beforeAutospacing="0" w:afterAutospacing="0" w:line="360" w:lineRule="auto"/>
        <w:jc w:val="center"/>
        <w:outlineLvl w:val="0"/>
        <w:rPr>
          <w:rFonts w:hint="eastAsia" w:ascii="宋体" w:hAnsi="宋体"/>
          <w:b/>
          <w:bCs/>
          <w:color w:val="auto"/>
        </w:rPr>
      </w:pPr>
      <w:r>
        <w:rPr>
          <w:rFonts w:hint="eastAsia" w:ascii="宋体" w:hAnsi="宋体"/>
          <w:b/>
          <w:bCs/>
          <w:color w:val="auto"/>
        </w:rPr>
        <w:t>由磋商响应方提供加盖公章的复印件或扫描件</w:t>
      </w:r>
    </w:p>
    <w:p>
      <w:pPr>
        <w:tabs>
          <w:tab w:val="left" w:pos="0"/>
          <w:tab w:val="left" w:pos="720"/>
          <w:tab w:val="left" w:pos="1440"/>
          <w:tab w:val="left" w:pos="2160"/>
          <w:tab w:val="left" w:pos="2880"/>
          <w:tab w:val="left" w:pos="3600"/>
          <w:tab w:val="left" w:pos="4320"/>
        </w:tabs>
        <w:autoSpaceDE w:val="0"/>
        <w:autoSpaceDN w:val="0"/>
        <w:spacing w:beforeAutospacing="0" w:afterAutospacing="0" w:line="360" w:lineRule="auto"/>
        <w:rPr>
          <w:rFonts w:hint="eastAsia" w:ascii="宋体" w:hAnsi="宋体"/>
          <w:color w:val="auto"/>
          <w:szCs w:val="21"/>
        </w:rPr>
      </w:pPr>
    </w:p>
    <w:p>
      <w:pPr>
        <w:spacing w:beforeAutospacing="0" w:afterAutospacing="0" w:line="360" w:lineRule="auto"/>
        <w:outlineLvl w:val="0"/>
        <w:rPr>
          <w:rFonts w:hint="eastAsia" w:ascii="宋体" w:hAnsi="宋体"/>
          <w:color w:val="auto"/>
          <w:szCs w:val="21"/>
        </w:rPr>
      </w:pPr>
      <w:bookmarkStart w:id="41" w:name="_Toc14196"/>
      <w:bookmarkEnd w:id="41"/>
      <w:r>
        <w:rPr>
          <w:rFonts w:hint="eastAsia" w:ascii="宋体" w:hAnsi="宋体"/>
          <w:color w:val="auto"/>
          <w:szCs w:val="21"/>
        </w:rPr>
        <w:br w:type="page"/>
      </w:r>
      <w:r>
        <w:rPr>
          <w:rFonts w:hint="eastAsia" w:ascii="宋体" w:hAnsi="宋体"/>
          <w:b/>
          <w:color w:val="auto"/>
          <w:szCs w:val="21"/>
        </w:rPr>
        <w:t>附件九   具体的技术及服务方案</w:t>
      </w:r>
    </w:p>
    <w:p>
      <w:pPr>
        <w:spacing w:beforeAutospacing="0" w:afterAutospacing="0" w:line="360" w:lineRule="auto"/>
        <w:jc w:val="center"/>
        <w:rPr>
          <w:rFonts w:hint="eastAsia" w:ascii="宋体" w:hAnsi="宋体"/>
          <w:b/>
          <w:color w:val="auto"/>
          <w:szCs w:val="21"/>
        </w:rPr>
      </w:pPr>
      <w:r>
        <w:rPr>
          <w:rFonts w:hint="eastAsia" w:ascii="宋体" w:hAnsi="宋体"/>
          <w:b/>
          <w:color w:val="auto"/>
          <w:szCs w:val="21"/>
        </w:rPr>
        <w:t>由供应商按采购文件及评分办法自行编制。</w:t>
      </w:r>
    </w:p>
    <w:p>
      <w:pPr>
        <w:pStyle w:val="28"/>
        <w:rPr>
          <w:rFonts w:hint="eastAsia" w:ascii="宋体" w:hAnsi="宋体"/>
          <w:b/>
          <w:color w:val="auto"/>
          <w:szCs w:val="21"/>
        </w:rPr>
      </w:pPr>
    </w:p>
    <w:p>
      <w:pPr>
        <w:rPr>
          <w:rFonts w:hint="eastAsia" w:ascii="宋体" w:hAnsi="宋体"/>
          <w:b/>
          <w:color w:val="auto"/>
          <w:szCs w:val="21"/>
        </w:rPr>
      </w:pPr>
    </w:p>
    <w:p>
      <w:pPr>
        <w:pStyle w:val="28"/>
        <w:rPr>
          <w:rFonts w:hint="eastAsia" w:ascii="宋体" w:hAnsi="宋体"/>
          <w:b/>
          <w:color w:val="auto"/>
          <w:szCs w:val="21"/>
        </w:rPr>
      </w:pPr>
    </w:p>
    <w:p>
      <w:pPr>
        <w:rPr>
          <w:rFonts w:hint="eastAsia" w:ascii="宋体" w:hAnsi="宋体"/>
          <w:b/>
          <w:color w:val="auto"/>
          <w:szCs w:val="21"/>
        </w:rPr>
      </w:pPr>
    </w:p>
    <w:p>
      <w:pPr>
        <w:rPr>
          <w:rFonts w:hint="eastAsia" w:ascii="宋体" w:hAnsi="宋体"/>
          <w:b/>
          <w:color w:val="auto"/>
          <w:szCs w:val="21"/>
        </w:rPr>
      </w:pPr>
    </w:p>
    <w:p>
      <w:pPr>
        <w:pStyle w:val="15"/>
        <w:rPr>
          <w:rFonts w:hint="eastAsia" w:ascii="宋体" w:hAnsi="宋体"/>
          <w:b w:val="0"/>
          <w:color w:val="auto"/>
          <w:szCs w:val="21"/>
        </w:rPr>
      </w:pPr>
    </w:p>
    <w:p>
      <w:pPr>
        <w:rPr>
          <w:rFonts w:hint="eastAsia" w:ascii="宋体" w:hAnsi="宋体"/>
          <w:b/>
          <w:color w:val="auto"/>
          <w:szCs w:val="21"/>
        </w:rPr>
      </w:pPr>
    </w:p>
    <w:p>
      <w:pPr>
        <w:pStyle w:val="15"/>
        <w:rPr>
          <w:rFonts w:hint="eastAsia" w:ascii="宋体" w:hAnsi="宋体"/>
          <w:b w:val="0"/>
          <w:color w:val="auto"/>
          <w:szCs w:val="21"/>
        </w:rPr>
      </w:pPr>
    </w:p>
    <w:p>
      <w:pPr>
        <w:rPr>
          <w:rFonts w:hint="eastAsia" w:ascii="宋体" w:hAnsi="宋体"/>
          <w:b/>
          <w:color w:val="auto"/>
          <w:szCs w:val="21"/>
        </w:rPr>
      </w:pPr>
    </w:p>
    <w:p>
      <w:pPr>
        <w:pStyle w:val="15"/>
        <w:rPr>
          <w:rFonts w:hint="eastAsia" w:ascii="宋体" w:hAnsi="宋体"/>
          <w:b w:val="0"/>
          <w:color w:val="auto"/>
          <w:szCs w:val="21"/>
        </w:rPr>
      </w:pPr>
    </w:p>
    <w:p>
      <w:pPr>
        <w:rPr>
          <w:rFonts w:hint="eastAsia" w:ascii="宋体" w:hAnsi="宋体"/>
          <w:b/>
          <w:color w:val="auto"/>
          <w:szCs w:val="21"/>
        </w:rPr>
      </w:pPr>
    </w:p>
    <w:p>
      <w:pPr>
        <w:pStyle w:val="15"/>
        <w:rPr>
          <w:rFonts w:hint="eastAsia" w:ascii="宋体" w:hAnsi="宋体"/>
          <w:b w:val="0"/>
          <w:color w:val="auto"/>
          <w:szCs w:val="21"/>
        </w:rPr>
      </w:pPr>
    </w:p>
    <w:p>
      <w:pPr>
        <w:rPr>
          <w:rFonts w:hint="eastAsia" w:ascii="宋体" w:hAnsi="宋体"/>
          <w:b/>
          <w:color w:val="auto"/>
          <w:szCs w:val="21"/>
        </w:rPr>
      </w:pPr>
    </w:p>
    <w:p>
      <w:pPr>
        <w:pStyle w:val="15"/>
        <w:rPr>
          <w:rFonts w:hint="eastAsia" w:ascii="宋体" w:hAnsi="宋体"/>
          <w:b w:val="0"/>
          <w:color w:val="auto"/>
          <w:szCs w:val="21"/>
        </w:rPr>
      </w:pPr>
    </w:p>
    <w:p>
      <w:pPr>
        <w:rPr>
          <w:rFonts w:hint="eastAsia" w:ascii="宋体" w:hAnsi="宋体"/>
          <w:b/>
          <w:color w:val="auto"/>
          <w:szCs w:val="21"/>
        </w:rPr>
      </w:pPr>
    </w:p>
    <w:p>
      <w:pPr>
        <w:pStyle w:val="15"/>
        <w:rPr>
          <w:rFonts w:hint="eastAsia" w:ascii="宋体" w:hAnsi="宋体"/>
          <w:b w:val="0"/>
          <w:color w:val="auto"/>
          <w:szCs w:val="21"/>
        </w:rPr>
      </w:pPr>
    </w:p>
    <w:p>
      <w:pPr>
        <w:rPr>
          <w:rFonts w:hint="eastAsia" w:ascii="宋体" w:hAnsi="宋体"/>
          <w:b/>
          <w:color w:val="auto"/>
          <w:szCs w:val="21"/>
        </w:rPr>
      </w:pPr>
    </w:p>
    <w:p>
      <w:pPr>
        <w:pStyle w:val="15"/>
        <w:rPr>
          <w:rFonts w:hint="eastAsia" w:ascii="宋体" w:hAnsi="宋体"/>
          <w:b w:val="0"/>
          <w:color w:val="auto"/>
          <w:szCs w:val="21"/>
        </w:rPr>
      </w:pPr>
    </w:p>
    <w:p>
      <w:pPr>
        <w:rPr>
          <w:rFonts w:hint="eastAsia" w:ascii="宋体" w:hAnsi="宋体"/>
          <w:b/>
          <w:color w:val="auto"/>
          <w:szCs w:val="21"/>
        </w:rPr>
      </w:pPr>
    </w:p>
    <w:p>
      <w:pPr>
        <w:rPr>
          <w:rFonts w:hint="eastAsia" w:ascii="宋体" w:hAnsi="宋体"/>
          <w:b/>
          <w:color w:val="auto"/>
          <w:szCs w:val="21"/>
        </w:rPr>
      </w:pPr>
    </w:p>
    <w:p>
      <w:pPr>
        <w:pStyle w:val="28"/>
        <w:rPr>
          <w:rFonts w:hint="eastAsia" w:ascii="宋体" w:hAnsi="宋体"/>
          <w:b/>
          <w:color w:val="auto"/>
          <w:szCs w:val="21"/>
        </w:rPr>
      </w:pPr>
    </w:p>
    <w:p>
      <w:pPr>
        <w:spacing w:beforeAutospacing="0" w:afterAutospacing="0" w:line="360" w:lineRule="auto"/>
        <w:outlineLvl w:val="0"/>
        <w:rPr>
          <w:rFonts w:hint="eastAsia" w:ascii="宋体" w:hAnsi="宋体"/>
          <w:b/>
          <w:color w:val="auto"/>
          <w:szCs w:val="21"/>
        </w:rPr>
      </w:pPr>
      <w:bookmarkStart w:id="42" w:name="_Toc4502"/>
      <w:bookmarkEnd w:id="42"/>
      <w:r>
        <w:rPr>
          <w:rFonts w:hint="eastAsia" w:ascii="宋体" w:hAnsi="宋体"/>
          <w:b/>
          <w:color w:val="auto"/>
          <w:szCs w:val="21"/>
        </w:rPr>
        <w:t>附件十  磋商响应方认为需要加以说明的其他内容和需要提供的证明文件</w:t>
      </w:r>
    </w:p>
    <w:p>
      <w:pPr>
        <w:spacing w:beforeAutospacing="0" w:afterAutospacing="0" w:line="360" w:lineRule="auto"/>
        <w:jc w:val="center"/>
        <w:rPr>
          <w:rFonts w:hint="eastAsia" w:ascii="宋体" w:hAnsi="宋体"/>
          <w:b/>
          <w:color w:val="auto"/>
          <w:szCs w:val="21"/>
        </w:rPr>
      </w:pPr>
    </w:p>
    <w:p>
      <w:pPr>
        <w:spacing w:beforeAutospacing="0" w:afterAutospacing="0" w:line="360" w:lineRule="auto"/>
        <w:jc w:val="center"/>
        <w:outlineLvl w:val="0"/>
        <w:rPr>
          <w:rFonts w:hint="eastAsia" w:ascii="宋体" w:hAnsi="宋体"/>
          <w:b/>
          <w:color w:val="auto"/>
          <w:szCs w:val="21"/>
        </w:rPr>
      </w:pPr>
      <w:bookmarkStart w:id="43" w:name="_Toc22639"/>
      <w:bookmarkEnd w:id="43"/>
      <w:r>
        <w:rPr>
          <w:rFonts w:hint="eastAsia" w:ascii="宋体" w:hAnsi="宋体"/>
          <w:b/>
          <w:color w:val="auto"/>
          <w:szCs w:val="21"/>
        </w:rPr>
        <w:t>由磋商响应方提供加盖公章的复印件或扫描件</w:t>
      </w:r>
    </w:p>
    <w:p>
      <w:pPr>
        <w:pStyle w:val="100"/>
        <w:spacing w:beforeAutospacing="0" w:afterAutospacing="0" w:line="360" w:lineRule="auto"/>
        <w:ind w:right="480" w:firstLine="420"/>
        <w:jc w:val="left"/>
        <w:rPr>
          <w:rFonts w:hint="eastAsia" w:ascii="宋体" w:hAnsi="宋体"/>
          <w:color w:val="auto"/>
        </w:rPr>
      </w:pPr>
      <w:r>
        <w:rPr>
          <w:rFonts w:hint="eastAsia" w:ascii="宋体" w:hAnsi="宋体"/>
          <w:color w:val="auto"/>
        </w:rPr>
        <w:br w:type="page"/>
      </w:r>
    </w:p>
    <w:p>
      <w:pPr>
        <w:spacing w:beforeAutospacing="0" w:afterAutospacing="0" w:line="360" w:lineRule="auto"/>
        <w:jc w:val="center"/>
        <w:rPr>
          <w:rFonts w:hint="eastAsia" w:ascii="宋体" w:hAnsi="宋体"/>
          <w:color w:val="auto"/>
          <w:szCs w:val="21"/>
        </w:rPr>
      </w:pPr>
    </w:p>
    <w:p>
      <w:pPr>
        <w:spacing w:beforeAutospacing="0" w:afterAutospacing="0" w:line="360" w:lineRule="auto"/>
        <w:jc w:val="center"/>
        <w:rPr>
          <w:rFonts w:hint="eastAsia" w:ascii="宋体" w:hAnsi="宋体"/>
          <w:color w:val="auto"/>
          <w:kern w:val="0"/>
          <w:szCs w:val="21"/>
        </w:rPr>
      </w:pPr>
      <w:r>
        <w:rPr>
          <w:rFonts w:hint="eastAsia" w:ascii="宋体" w:hAnsi="宋体"/>
          <w:color w:val="auto"/>
          <w:kern w:val="0"/>
          <w:szCs w:val="21"/>
        </w:rPr>
        <w:t>磋商</w:t>
      </w:r>
      <w:r>
        <w:rPr>
          <w:rFonts w:hint="eastAsia" w:ascii="宋体" w:hAnsi="宋体"/>
          <w:color w:val="auto"/>
          <w:szCs w:val="21"/>
        </w:rPr>
        <w:t>响应文件密封信封正面格式</w:t>
      </w:r>
    </w:p>
    <w:p>
      <w:pPr>
        <w:spacing w:beforeAutospacing="0" w:afterAutospacing="0" w:line="360" w:lineRule="auto"/>
        <w:jc w:val="center"/>
        <w:rPr>
          <w:rFonts w:hint="eastAsia" w:ascii="宋体" w:hAnsi="宋体"/>
          <w:color w:val="auto"/>
          <w:szCs w:val="21"/>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0" w:hRule="atLeast"/>
          <w:jc w:val="center"/>
        </w:trPr>
        <w:tc>
          <w:tcPr>
            <w:tcW w:w="9234" w:type="dxa"/>
            <w:vAlign w:val="top"/>
          </w:tcPr>
          <w:p>
            <w:pPr>
              <w:spacing w:beforeAutospacing="0" w:afterAutospacing="0" w:line="360" w:lineRule="auto"/>
              <w:jc w:val="center"/>
              <w:rPr>
                <w:rFonts w:hint="eastAsia" w:ascii="宋体" w:hAnsi="宋体" w:eastAsia="宋体"/>
                <w:color w:val="auto"/>
                <w:szCs w:val="21"/>
              </w:rPr>
            </w:pPr>
            <w:r>
              <w:rPr>
                <w:rFonts w:hint="eastAsia" w:ascii="宋体" w:hAnsi="宋体" w:eastAsia="宋体"/>
                <w:color w:val="auto"/>
                <w:szCs w:val="21"/>
              </w:rPr>
              <w:t xml:space="preserve">                                                            正（副）本</w:t>
            </w:r>
          </w:p>
          <w:p>
            <w:pPr>
              <w:spacing w:beforeAutospacing="0" w:afterAutospacing="0" w:line="360" w:lineRule="auto"/>
              <w:ind w:firstLine="420" w:firstLineChars="200"/>
              <w:rPr>
                <w:rFonts w:hint="eastAsia" w:ascii="宋体" w:hAnsi="宋体" w:eastAsia="宋体"/>
                <w:color w:val="auto"/>
                <w:szCs w:val="21"/>
              </w:rPr>
            </w:pPr>
            <w:r>
              <w:rPr>
                <w:rFonts w:hint="eastAsia" w:ascii="宋体" w:hAnsi="宋体" w:eastAsia="宋体"/>
                <w:color w:val="auto"/>
                <w:szCs w:val="21"/>
              </w:rPr>
              <w:t xml:space="preserve">项目编号：                       </w:t>
            </w:r>
          </w:p>
          <w:p>
            <w:pPr>
              <w:spacing w:beforeAutospacing="0" w:afterAutospacing="0" w:line="360" w:lineRule="auto"/>
              <w:ind w:firstLine="420" w:firstLineChars="200"/>
              <w:rPr>
                <w:rFonts w:hint="eastAsia" w:ascii="宋体" w:hAnsi="宋体" w:eastAsia="宋体"/>
                <w:color w:val="auto"/>
                <w:szCs w:val="21"/>
              </w:rPr>
            </w:pPr>
            <w:r>
              <w:rPr>
                <w:rFonts w:hint="eastAsia" w:ascii="宋体" w:hAnsi="宋体" w:eastAsia="宋体"/>
                <w:color w:val="auto"/>
                <w:szCs w:val="21"/>
              </w:rPr>
              <w:t xml:space="preserve">项目名称：                       </w:t>
            </w:r>
          </w:p>
          <w:p>
            <w:pPr>
              <w:spacing w:beforeAutospacing="0" w:afterAutospacing="0" w:line="360" w:lineRule="auto"/>
              <w:ind w:firstLine="420" w:firstLineChars="200"/>
              <w:rPr>
                <w:rFonts w:hint="eastAsia" w:ascii="宋体" w:hAnsi="宋体" w:eastAsia="宋体"/>
                <w:color w:val="auto"/>
                <w:szCs w:val="21"/>
              </w:rPr>
            </w:pPr>
            <w:r>
              <w:rPr>
                <w:rFonts w:hint="eastAsia" w:ascii="宋体" w:hAnsi="宋体" w:eastAsia="宋体"/>
                <w:color w:val="auto"/>
                <w:szCs w:val="21"/>
              </w:rPr>
              <w:t>供应商名称：                   （加盖公章）</w:t>
            </w:r>
          </w:p>
          <w:p>
            <w:pPr>
              <w:spacing w:beforeAutospacing="0" w:afterAutospacing="0" w:line="360" w:lineRule="auto"/>
              <w:ind w:firstLine="420" w:firstLineChars="200"/>
              <w:rPr>
                <w:rFonts w:hint="eastAsia" w:ascii="宋体" w:hAnsi="宋体" w:eastAsia="宋体"/>
                <w:color w:val="auto"/>
                <w:szCs w:val="21"/>
              </w:rPr>
            </w:pPr>
            <w:r>
              <w:rPr>
                <w:rFonts w:hint="eastAsia" w:ascii="宋体" w:hAnsi="宋体" w:eastAsia="宋体"/>
                <w:color w:val="auto"/>
                <w:szCs w:val="21"/>
              </w:rPr>
              <w:t xml:space="preserve">地址：                          </w:t>
            </w:r>
          </w:p>
          <w:p>
            <w:pPr>
              <w:spacing w:beforeAutospacing="0" w:afterAutospacing="0" w:line="360" w:lineRule="auto"/>
              <w:ind w:firstLine="420" w:firstLineChars="200"/>
              <w:rPr>
                <w:rFonts w:hint="eastAsia" w:ascii="宋体" w:hAnsi="宋体" w:eastAsia="宋体"/>
                <w:color w:val="auto"/>
                <w:szCs w:val="21"/>
              </w:rPr>
            </w:pPr>
            <w:r>
              <w:rPr>
                <w:rFonts w:hint="eastAsia" w:ascii="宋体" w:hAnsi="宋体" w:eastAsia="宋体"/>
                <w:color w:val="auto"/>
                <w:szCs w:val="21"/>
              </w:rPr>
              <w:t xml:space="preserve">电话：                          </w:t>
            </w:r>
          </w:p>
          <w:p>
            <w:pPr>
              <w:spacing w:beforeAutospacing="0" w:afterAutospacing="0" w:line="360" w:lineRule="auto"/>
              <w:ind w:firstLine="420" w:firstLineChars="200"/>
              <w:rPr>
                <w:rFonts w:hint="eastAsia" w:ascii="宋体" w:hAnsi="宋体" w:eastAsia="宋体"/>
                <w:color w:val="auto"/>
                <w:szCs w:val="21"/>
              </w:rPr>
            </w:pPr>
            <w:r>
              <w:rPr>
                <w:rFonts w:hint="eastAsia" w:ascii="宋体" w:hAnsi="宋体" w:eastAsia="宋体"/>
                <w:color w:val="auto"/>
                <w:szCs w:val="21"/>
              </w:rPr>
              <w:t xml:space="preserve">传真：                          </w:t>
            </w:r>
          </w:p>
        </w:tc>
      </w:tr>
    </w:tbl>
    <w:p>
      <w:pPr>
        <w:spacing w:beforeAutospacing="0" w:afterAutospacing="0" w:line="360" w:lineRule="auto"/>
        <w:rPr>
          <w:rFonts w:hint="eastAsia" w:ascii="宋体" w:hAnsi="宋体"/>
          <w:color w:val="auto"/>
          <w:szCs w:val="21"/>
        </w:rPr>
      </w:pPr>
    </w:p>
    <w:p>
      <w:pPr>
        <w:spacing w:beforeAutospacing="0" w:afterAutospacing="0" w:line="360" w:lineRule="auto"/>
        <w:jc w:val="center"/>
        <w:rPr>
          <w:rFonts w:hint="eastAsia" w:ascii="宋体" w:hAnsi="宋体"/>
          <w:color w:val="auto"/>
          <w:kern w:val="0"/>
          <w:szCs w:val="21"/>
        </w:rPr>
      </w:pPr>
      <w:r>
        <w:rPr>
          <w:rFonts w:hint="eastAsia" w:ascii="宋体" w:hAnsi="宋体"/>
          <w:color w:val="auto"/>
          <w:kern w:val="0"/>
          <w:szCs w:val="21"/>
        </w:rPr>
        <w:t>磋商</w:t>
      </w:r>
      <w:r>
        <w:rPr>
          <w:rFonts w:hint="eastAsia" w:ascii="宋体" w:hAnsi="宋体"/>
          <w:bCs/>
          <w:color w:val="auto"/>
          <w:szCs w:val="21"/>
        </w:rPr>
        <w:t>响应文件密封信封封口格式</w:t>
      </w:r>
    </w:p>
    <w:p>
      <w:pPr>
        <w:pStyle w:val="43"/>
        <w:spacing w:beforeAutospacing="0" w:afterAutospacing="0" w:line="360" w:lineRule="auto"/>
        <w:rPr>
          <w:bCs/>
          <w:color w:val="auto"/>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4" w:hRule="atLeast"/>
          <w:jc w:val="center"/>
        </w:trPr>
        <w:tc>
          <w:tcPr>
            <w:tcW w:w="9234" w:type="dxa"/>
            <w:vAlign w:val="top"/>
          </w:tcPr>
          <w:p>
            <w:pPr>
              <w:spacing w:beforeAutospacing="0" w:afterAutospacing="0" w:line="360" w:lineRule="auto"/>
              <w:rPr>
                <w:rFonts w:hint="eastAsia" w:ascii="宋体" w:hAnsi="宋体" w:eastAsia="宋体"/>
                <w:bCs/>
                <w:color w:val="auto"/>
                <w:szCs w:val="21"/>
              </w:rPr>
            </w:pPr>
          </w:p>
          <w:p>
            <w:pPr>
              <w:spacing w:beforeAutospacing="0" w:afterAutospacing="0" w:line="360" w:lineRule="auto"/>
              <w:rPr>
                <w:rFonts w:hint="eastAsia" w:ascii="宋体" w:hAnsi="宋体" w:eastAsia="宋体"/>
                <w:bCs/>
                <w:color w:val="auto"/>
                <w:szCs w:val="21"/>
              </w:rPr>
            </w:pPr>
          </w:p>
          <w:p>
            <w:pPr>
              <w:spacing w:beforeAutospacing="0" w:afterAutospacing="0" w:line="360" w:lineRule="auto"/>
              <w:rPr>
                <w:rFonts w:hint="eastAsia" w:ascii="宋体" w:hAnsi="宋体" w:eastAsia="宋体"/>
                <w:bCs/>
                <w:color w:val="auto"/>
                <w:szCs w:val="21"/>
              </w:rPr>
            </w:pPr>
          </w:p>
          <w:p>
            <w:pPr>
              <w:spacing w:beforeAutospacing="0" w:afterAutospacing="0" w:line="360" w:lineRule="auto"/>
              <w:jc w:val="center"/>
              <w:rPr>
                <w:rFonts w:hint="eastAsia" w:ascii="宋体" w:hAnsi="宋体" w:eastAsia="宋体"/>
                <w:bCs/>
                <w:color w:val="auto"/>
                <w:szCs w:val="21"/>
              </w:rPr>
            </w:pPr>
            <w:r>
              <w:rPr>
                <w:rFonts w:hint="eastAsia" w:ascii="宋体" w:hAnsi="宋体" w:eastAsia="宋体"/>
                <w:bCs/>
                <w:color w:val="auto"/>
                <w:szCs w:val="21"/>
              </w:rPr>
              <w:t>……于    年   月   日   时   分前不准启封（加盖公章）……</w:t>
            </w:r>
          </w:p>
          <w:p>
            <w:pPr>
              <w:spacing w:beforeAutospacing="0" w:afterAutospacing="0" w:line="360" w:lineRule="auto"/>
              <w:rPr>
                <w:rFonts w:hint="eastAsia" w:ascii="宋体" w:hAnsi="宋体" w:eastAsia="宋体"/>
                <w:color w:val="auto"/>
                <w:szCs w:val="21"/>
              </w:rPr>
            </w:pPr>
            <w:r>
              <w:rPr>
                <w:rFonts w:hint="eastAsia" w:ascii="宋体" w:hAnsi="宋体" w:eastAsia="宋体"/>
                <w:color w:val="auto"/>
                <w:szCs w:val="21"/>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2700" cy="698500"/>
                      <wp:effectExtent l="26670" t="0" r="36830" b="6350"/>
                      <wp:wrapNone/>
                      <wp:docPr id="3" name="_x0000_s1041"/>
                      <wp:cNvGraphicFramePr/>
                      <a:graphic xmlns:a="http://schemas.openxmlformats.org/drawingml/2006/main">
                        <a:graphicData uri="http://schemas.microsoft.com/office/word/2010/wordprocessingShape">
                          <wps:wsp>
                            <wps:cNvCnPr/>
                            <wps:spPr>
                              <a:xfrm>
                                <a:off x="2628900" y="76200"/>
                                <a:ext cx="12700" cy="698500"/>
                              </a:xfrm>
                              <a:prstGeom prst="line">
                                <a:avLst/>
                              </a:prstGeom>
                              <a:ln w="12700">
                                <a:solidFill>
                                  <a:prstClr val="white"/>
                                </a:solidFill>
                                <a:tailEnd type="triangle" w="med" len="med"/>
                              </a:ln>
                            </wps:spPr>
                            <wps:bodyPr rot="0" vert="horz" wrap="square" lIns="0" tIns="0" rIns="0" bIns="0" anchor="t" anchorCtr="0"/>
                          </wps:wsp>
                        </a:graphicData>
                      </a:graphic>
                    </wp:anchor>
                  </w:drawing>
                </mc:Choice>
                <mc:Fallback>
                  <w:pict>
                    <v:line id="_x0000_s1041" o:spid="_x0000_s1026" o:spt="20" style="position:absolute;left:0pt;margin-left:0pt;margin-top:0pt;height:55pt;width:1pt;z-index:251659264;mso-width-relative:page;mso-height-relative:page;" filled="f" stroked="t" coordsize="21600,21600" o:gfxdata="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AzkyI0QAAAAMBAAAPAAAAAAAAAAEAIAAAACIAAABkcnMvZG93bnJldi54bWxQSwECFAAUAAAA&#10;CACHTuJA9BYtrPUBAADqAwAADgAAAAAAAAABACAAAAAgAQAAZHJzL2Uyb0RvYy54bWxQSwUGAAAA&#10;AAYABgBZAQAAhwUAAAAA&#10;">
                      <v:fill on="f" focussize="0,0"/>
                      <v:stroke weight="1pt" color="#FFFFFF" joinstyle="round" endarrow="block"/>
                      <v:imagedata o:title=""/>
                      <o:lock v:ext="edit" aspectratio="f"/>
                    </v:line>
                  </w:pict>
                </mc:Fallback>
              </mc:AlternateContent>
            </w:r>
          </w:p>
          <w:p>
            <w:pPr>
              <w:pStyle w:val="43"/>
              <w:spacing w:beforeAutospacing="0" w:afterAutospacing="0" w:line="360" w:lineRule="auto"/>
              <w:rPr>
                <w:rFonts w:eastAsia="宋体"/>
                <w:bCs/>
                <w:color w:val="auto"/>
                <w:lang w:bidi="ar"/>
              </w:rPr>
            </w:pPr>
          </w:p>
          <w:p>
            <w:pPr>
              <w:spacing w:beforeAutospacing="0" w:afterAutospacing="0" w:line="360" w:lineRule="auto"/>
              <w:rPr>
                <w:rFonts w:hint="eastAsia" w:ascii="宋体" w:hAnsi="宋体" w:eastAsia="宋体"/>
                <w:bCs/>
                <w:color w:val="auto"/>
                <w:szCs w:val="21"/>
              </w:rPr>
            </w:pPr>
          </w:p>
          <w:p>
            <w:pPr>
              <w:spacing w:beforeAutospacing="0" w:afterAutospacing="0" w:line="360" w:lineRule="auto"/>
              <w:rPr>
                <w:rFonts w:hint="eastAsia" w:ascii="宋体" w:hAnsi="宋体" w:eastAsia="宋体"/>
                <w:bCs/>
                <w:color w:val="auto"/>
                <w:szCs w:val="21"/>
              </w:rPr>
            </w:pPr>
          </w:p>
          <w:p>
            <w:pPr>
              <w:pStyle w:val="114"/>
              <w:widowControl w:val="0"/>
              <w:spacing w:before="0" w:beforeAutospacing="0" w:after="0" w:afterAutospacing="0" w:line="360" w:lineRule="auto"/>
              <w:rPr>
                <w:rFonts w:hint="eastAsia" w:ascii="宋体" w:hAnsi="宋体" w:eastAsia="宋体"/>
                <w:bCs/>
                <w:color w:val="auto"/>
                <w:kern w:val="2"/>
                <w:sz w:val="21"/>
                <w:szCs w:val="21"/>
              </w:rPr>
            </w:pPr>
            <w:r>
              <w:rPr>
                <w:rFonts w:hint="eastAsia" w:ascii="宋体" w:hAnsi="宋体" w:eastAsia="宋体"/>
                <w:bCs/>
                <w:color w:val="auto"/>
                <w:kern w:val="2"/>
                <w:sz w:val="21"/>
                <w:szCs w:val="21"/>
              </w:rPr>
              <w:t>（封口处）</w:t>
            </w:r>
          </w:p>
        </w:tc>
      </w:tr>
    </w:tbl>
    <w:p>
      <w:pPr>
        <w:spacing w:beforeAutospacing="0" w:afterAutospacing="0" w:line="360" w:lineRule="auto"/>
        <w:ind w:firstLine="420" w:firstLineChars="200"/>
        <w:jc w:val="center"/>
        <w:rPr>
          <w:rFonts w:hint="eastAsia" w:ascii="宋体" w:hAnsi="宋体"/>
          <w:color w:val="auto"/>
          <w:szCs w:val="21"/>
        </w:rPr>
      </w:pPr>
    </w:p>
    <w:p>
      <w:pPr>
        <w:spacing w:beforeAutospacing="0" w:afterAutospacing="0" w:line="360" w:lineRule="auto"/>
        <w:rPr>
          <w:rFonts w:hint="eastAsia" w:ascii="宋体" w:hAnsi="宋体"/>
          <w:color w:val="auto"/>
          <w:szCs w:val="21"/>
        </w:rPr>
      </w:pPr>
    </w:p>
    <w:p>
      <w:pPr>
        <w:spacing w:beforeAutospacing="0" w:afterAutospacing="0" w:line="360" w:lineRule="auto"/>
        <w:jc w:val="center"/>
        <w:rPr>
          <w:rFonts w:hint="eastAsia" w:ascii="宋体" w:hAnsi="宋体"/>
          <w:color w:val="auto"/>
        </w:rPr>
      </w:pPr>
      <w:r>
        <w:rPr>
          <w:rFonts w:hint="eastAsia" w:ascii="宋体" w:hAnsi="宋体"/>
          <w:color w:val="auto"/>
        </w:rPr>
        <w:t xml:space="preserve"> </w:t>
      </w:r>
    </w:p>
    <w:sectPr>
      <w:pgSz w:w="11906" w:h="16838"/>
      <w:pgMar w:top="1440" w:right="1080" w:bottom="1440" w:left="1080" w:header="851" w:footer="992" w:gutter="0"/>
      <w:cols w:space="720" w:num="1"/>
      <w:rtlGutter w:val="1"/>
      <w:docGrid w:type="lines" w:linePitch="2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等线 Light">
    <w:altName w:val="宋体"/>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 w:name="Microsoft YaHei UI">
    <w:altName w:val="微软雅黑"/>
    <w:panose1 w:val="00000000000000000000"/>
    <w:charset w:val="86"/>
    <w:family w:val="swiss"/>
    <w:pitch w:val="default"/>
    <w:sig w:usb0="00000000" w:usb1="00000000" w:usb2="00000016" w:usb3="00000000" w:csb0="0004001F" w:csb1="00000000"/>
  </w:font>
  <w:font w:name="新宋体">
    <w:panose1 w:val="02010609030101010101"/>
    <w:charset w:val="86"/>
    <w:family w:val="modern"/>
    <w:pitch w:val="default"/>
    <w:sig w:usb0="00000003" w:usb1="288F0000" w:usb2="00000006" w:usb3="00000000" w:csb0="00040001"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tabs>
        <w:tab w:val="clear" w:pos="4153"/>
        <w:tab w:val="clear" w:pos="8306"/>
      </w:tabs>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49"/>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p/>
                      </w:txbxContent>
                    </wps:txbx>
                    <wps:bodyPr rot="0" vert="horz" wrap="square" lIns="0" tIns="0" rIns="0" bIns="0" anchor="t" anchorCtr="0"/>
                  </wps:wsp>
                </a:graphicData>
              </a:graphic>
            </wp:anchor>
          </w:drawing>
        </mc:Choice>
        <mc:Fallback>
          <w:pict>
            <v:rect id="_x0000_s2050"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AS5GFI&#10;sAEAAHYDAAAOAAAAAAAAAAEAIAAAACIBAABkcnMvZTJvRG9jLnhtbFBLBQYAAAAABgAGAFkBAABE&#10;BQAAAAA=&#10;">
              <v:fill on="f" focussize="0,0"/>
              <v:stroke on="f"/>
              <v:imagedata o:title=""/>
              <o:lock v:ext="edit" aspectratio="f"/>
              <v:textbox inset="0mm,0mm,0mm,0mm">
                <w:txbxContent>
                  <w:p>
                    <w:pPr>
                      <w:pStyle w:val="49"/>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tabs>
        <w:tab w:val="clear" w:pos="4153"/>
        <w:tab w:val="clear" w:pos="8306"/>
      </w:tabs>
    </w:pPr>
    <w:r>
      <w:fldChar w:fldCharType="begin"/>
    </w:r>
    <w:r>
      <w:rPr>
        <w:rStyle w:val="67"/>
      </w:rPr>
      <w:instrText xml:space="preserve">PAGE  </w:instrText>
    </w:r>
    <w:r>
      <w:fldChar w:fldCharType="separate"/>
    </w:r>
    <w:r>
      <w:rPr>
        <w:rStyle w:val="67"/>
      </w:rPr>
      <w:t>11</w:t>
    </w:r>
    <w:r>
      <w:fldChar w:fldCharType="end"/>
    </w:r>
  </w:p>
  <w:p>
    <w:pPr>
      <w:pStyle w:val="49"/>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49"/>
                            <w:tabs>
                              <w:tab w:val="clear" w:pos="4153"/>
                              <w:tab w:val="clear" w:pos="8306"/>
                            </w:tabs>
                            <w:rPr>
                              <w:rFonts w:hint="eastAsia"/>
                            </w:rPr>
                          </w:pPr>
                        </w:p>
                        <w:p/>
                      </w:txbxContent>
                    </wps:txbx>
                    <wps:bodyPr rot="0" vert="horz" wrap="square" lIns="0" tIns="0" rIns="0" bIns="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D/UPkL&#10;sAEAAHYDAAAOAAAAAAAAAAEAIAAAACIBAABkcnMvZTJvRG9jLnhtbFBLBQYAAAAABgAGAFkBAABE&#10;BQAAAAA=&#10;">
              <v:fill on="f" focussize="0,0"/>
              <v:stroke on="f"/>
              <v:imagedata o:title=""/>
              <o:lock v:ext="edit" aspectratio="f"/>
              <v:textbox inset="0mm,0mm,0mm,0mm">
                <w:txbxContent>
                  <w:p>
                    <w:pPr>
                      <w:pStyle w:val="49"/>
                      <w:tabs>
                        <w:tab w:val="clear" w:pos="4153"/>
                        <w:tab w:val="clear" w:pos="8306"/>
                      </w:tabs>
                      <w:rPr>
                        <w:rFonts w:hint="eastAsia"/>
                      </w:rPr>
                    </w:pPr>
                  </w:p>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tabs>
        <w:tab w:val="clear" w:pos="4153"/>
        <w:tab w:val="clear" w:pos="8306"/>
      </w:tabs>
      <w:jc w:val="center"/>
    </w:pPr>
    <w:r>
      <w:fldChar w:fldCharType="begin"/>
    </w:r>
    <w:r>
      <w:instrText xml:space="preserve">PAGE   \* MERGEFORMAT</w:instrText>
    </w:r>
    <w:r>
      <w:fldChar w:fldCharType="separate"/>
    </w:r>
    <w:r>
      <w:rPr>
        <w:lang w:val="zh-CN"/>
      </w:rPr>
      <w:t>14</w:t>
    </w:r>
    <w:r>
      <w:fldChar w:fldCharType="end"/>
    </w:r>
  </w:p>
  <w:p>
    <w:pPr>
      <w:pStyle w:val="49"/>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none" w:color="000000" w:sz="0" w:space="0"/>
      </w:pBdr>
      <w:tabs>
        <w:tab w:val="clear" w:pos="4153"/>
        <w:tab w:val="clear" w:pos="8306"/>
      </w:tabs>
      <w:jc w:val="right"/>
      <w:rPr>
        <w:rFonts w:hint="eastAsia"/>
        <w:i/>
        <w:iCs/>
      </w:rPr>
    </w:pPr>
    <w:r>
      <w:rPr>
        <w:rFonts w:hint="eastAsia"/>
        <w:i/>
        <w:iCs/>
      </w:rPr>
      <w:t xml:space="preserve">  </w:t>
    </w:r>
    <w:r>
      <w:rPr>
        <w:rFonts w:hint="eastAsia"/>
        <w:i/>
        <w:iCs/>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rPr>
        <w:bCs/>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C51CCC"/>
    <w:multiLevelType w:val="singleLevel"/>
    <w:tmpl w:val="74C51CC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1OGZjMDNiYjAzN2QyMDBmNDE0ZmJkNmVjNzQ2NTcifQ=="/>
  </w:docVars>
  <w:rsids>
    <w:rsidRoot w:val="00000000"/>
    <w:rsid w:val="07C66F31"/>
    <w:rsid w:val="302A3C52"/>
    <w:rsid w:val="35D25344"/>
    <w:rsid w:val="3BFD046C"/>
    <w:rsid w:val="44B00EBD"/>
    <w:rsid w:val="48763A80"/>
    <w:rsid w:val="63247AA4"/>
    <w:rsid w:val="69342181"/>
    <w:rsid w:val="72AC1CC9"/>
    <w:rsid w:val="74E24DC3"/>
    <w:rsid w:val="7BB92DDE"/>
    <w:rsid w:val="7D431C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9"/>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1"/>
    <w:basedOn w:val="1"/>
    <w:link w:val="16"/>
    <w:qFormat/>
    <w:uiPriority w:val="0"/>
    <w:pPr>
      <w:keepNext/>
      <w:keepLines/>
      <w:spacing w:before="340" w:beforeAutospacing="0" w:after="330" w:afterAutospacing="0" w:line="360" w:lineRule="auto"/>
      <w:jc w:val="center"/>
      <w:outlineLvl w:val="0"/>
    </w:pPr>
    <w:rPr>
      <w:rFonts w:hint="eastAsia" w:ascii="宋体" w:hAnsi="宋体" w:eastAsia="宋体"/>
      <w:b/>
      <w:kern w:val="44"/>
      <w:sz w:val="32"/>
      <w:szCs w:val="44"/>
    </w:rPr>
  </w:style>
  <w:style w:type="paragraph" w:customStyle="1" w:styleId="5">
    <w:name w:val="标题 21"/>
    <w:basedOn w:val="1"/>
    <w:link w:val="17"/>
    <w:qFormat/>
    <w:uiPriority w:val="0"/>
    <w:pPr>
      <w:keepNext/>
      <w:keepLines/>
      <w:widowControl w:val="0"/>
      <w:suppressLineNumbers w:val="0"/>
      <w:spacing w:before="260" w:beforeAutospacing="0" w:after="260" w:afterAutospacing="0" w:line="412" w:lineRule="auto"/>
      <w:ind w:left="0" w:right="0"/>
      <w:jc w:val="both"/>
      <w:outlineLvl w:val="1"/>
    </w:pPr>
    <w:rPr>
      <w:rFonts w:ascii="Arial" w:hAnsi="Arial" w:eastAsia="黑体"/>
      <w:b/>
      <w:sz w:val="32"/>
      <w:szCs w:val="32"/>
    </w:rPr>
  </w:style>
  <w:style w:type="paragraph" w:customStyle="1" w:styleId="6">
    <w:name w:val="标题 31"/>
    <w:basedOn w:val="1"/>
    <w:link w:val="18"/>
    <w:qFormat/>
    <w:uiPriority w:val="0"/>
    <w:pPr>
      <w:keepNext/>
      <w:keepLines/>
      <w:widowControl w:val="0"/>
      <w:suppressLineNumbers w:val="0"/>
      <w:spacing w:before="0" w:beforeAutospacing="0" w:after="0" w:afterAutospacing="0" w:line="360" w:lineRule="auto"/>
      <w:ind w:left="0" w:right="0"/>
      <w:jc w:val="both"/>
      <w:outlineLvl w:val="2"/>
    </w:pPr>
    <w:rPr>
      <w:rFonts w:hint="eastAsia" w:ascii="宋体" w:hAnsi="宋体"/>
      <w:b/>
      <w:sz w:val="24"/>
      <w:szCs w:val="32"/>
    </w:rPr>
  </w:style>
  <w:style w:type="paragraph" w:customStyle="1" w:styleId="7">
    <w:name w:val="标题 41"/>
    <w:basedOn w:val="1"/>
    <w:link w:val="19"/>
    <w:qFormat/>
    <w:uiPriority w:val="0"/>
    <w:pPr>
      <w:keepNext/>
      <w:keepLines/>
      <w:spacing w:before="280" w:beforeAutospacing="0" w:after="290" w:afterAutospacing="0" w:line="372" w:lineRule="auto"/>
      <w:outlineLvl w:val="3"/>
    </w:pPr>
    <w:rPr>
      <w:rFonts w:ascii="Arial" w:hAnsi="Arial" w:eastAsia="黑体"/>
      <w:b/>
      <w:sz w:val="28"/>
      <w:szCs w:val="28"/>
    </w:rPr>
  </w:style>
  <w:style w:type="paragraph" w:customStyle="1" w:styleId="8">
    <w:name w:val="标题 51"/>
    <w:basedOn w:val="1"/>
    <w:link w:val="20"/>
    <w:qFormat/>
    <w:uiPriority w:val="0"/>
    <w:pPr>
      <w:keepNext/>
      <w:keepLines/>
      <w:spacing w:before="280" w:beforeAutospacing="0" w:after="290" w:afterAutospacing="0" w:line="372" w:lineRule="auto"/>
      <w:outlineLvl w:val="4"/>
    </w:pPr>
    <w:rPr>
      <w:rFonts w:hint="eastAsia" w:ascii="宋体" w:hAnsi="宋体"/>
      <w:b/>
      <w:sz w:val="28"/>
      <w:szCs w:val="21"/>
    </w:rPr>
  </w:style>
  <w:style w:type="paragraph" w:customStyle="1" w:styleId="9">
    <w:name w:val="标题 61"/>
    <w:basedOn w:val="1"/>
    <w:link w:val="21"/>
    <w:qFormat/>
    <w:uiPriority w:val="0"/>
    <w:pPr>
      <w:keepNext/>
      <w:keepLines/>
      <w:widowControl/>
      <w:tabs>
        <w:tab w:val="left" w:pos="1440"/>
      </w:tabs>
      <w:spacing w:before="240" w:beforeAutospacing="0" w:after="64" w:afterAutospacing="0" w:line="317" w:lineRule="auto"/>
      <w:ind w:left="1152" w:hanging="1152"/>
      <w:jc w:val="left"/>
      <w:outlineLvl w:val="5"/>
    </w:pPr>
    <w:rPr>
      <w:rFonts w:ascii="Arial" w:hAnsi="Arial" w:eastAsia="黑体"/>
      <w:b/>
      <w:bCs/>
      <w:kern w:val="0"/>
      <w:sz w:val="24"/>
    </w:rPr>
  </w:style>
  <w:style w:type="paragraph" w:customStyle="1" w:styleId="10">
    <w:name w:val="标题 71"/>
    <w:basedOn w:val="1"/>
    <w:link w:val="22"/>
    <w:qFormat/>
    <w:uiPriority w:val="0"/>
    <w:pPr>
      <w:keepNext/>
      <w:keepLines/>
      <w:widowControl/>
      <w:tabs>
        <w:tab w:val="left" w:pos="2520"/>
      </w:tabs>
      <w:spacing w:before="240" w:beforeAutospacing="0" w:after="64" w:afterAutospacing="0" w:line="317" w:lineRule="auto"/>
      <w:ind w:left="1296" w:hanging="1296"/>
      <w:jc w:val="left"/>
      <w:outlineLvl w:val="6"/>
    </w:pPr>
    <w:rPr>
      <w:b/>
      <w:bCs/>
      <w:kern w:val="0"/>
      <w:sz w:val="24"/>
    </w:rPr>
  </w:style>
  <w:style w:type="paragraph" w:customStyle="1" w:styleId="11">
    <w:name w:val="标题 81"/>
    <w:basedOn w:val="1"/>
    <w:link w:val="23"/>
    <w:qFormat/>
    <w:uiPriority w:val="0"/>
    <w:pPr>
      <w:keepNext/>
      <w:keepLines/>
      <w:widowControl/>
      <w:tabs>
        <w:tab w:val="left" w:pos="1440"/>
      </w:tabs>
      <w:spacing w:before="240" w:beforeAutospacing="0" w:after="64" w:afterAutospacing="0" w:line="317" w:lineRule="auto"/>
      <w:ind w:left="1440" w:hanging="1440"/>
      <w:jc w:val="left"/>
      <w:outlineLvl w:val="7"/>
    </w:pPr>
    <w:rPr>
      <w:rFonts w:ascii="Arial" w:hAnsi="Arial" w:eastAsia="黑体"/>
      <w:kern w:val="0"/>
      <w:sz w:val="24"/>
    </w:rPr>
  </w:style>
  <w:style w:type="paragraph" w:customStyle="1" w:styleId="12">
    <w:name w:val="标题 91"/>
    <w:basedOn w:val="1"/>
    <w:link w:val="24"/>
    <w:qFormat/>
    <w:uiPriority w:val="0"/>
    <w:pPr>
      <w:keepNext/>
      <w:keepLines/>
      <w:widowControl/>
      <w:tabs>
        <w:tab w:val="left" w:pos="1584"/>
      </w:tabs>
      <w:spacing w:before="240" w:beforeAutospacing="0" w:after="64" w:afterAutospacing="0" w:line="317" w:lineRule="auto"/>
      <w:ind w:left="1584" w:hanging="1584"/>
      <w:jc w:val="left"/>
      <w:outlineLvl w:val="8"/>
    </w:pPr>
    <w:rPr>
      <w:rFonts w:ascii="Arial" w:hAnsi="Arial" w:eastAsia="黑体"/>
      <w:kern w:val="0"/>
      <w:szCs w:val="21"/>
    </w:rPr>
  </w:style>
  <w:style w:type="character" w:customStyle="1" w:styleId="13">
    <w:name w:val="默认段落字体1"/>
    <w:link w:val="1"/>
    <w:semiHidden/>
    <w:qFormat/>
    <w:uiPriority w:val="0"/>
    <w:rPr>
      <w:szCs w:val="21"/>
    </w:rPr>
  </w:style>
  <w:style w:type="table" w:customStyle="1" w:styleId="14">
    <w:name w:val="普通表格1"/>
    <w:semiHidden/>
    <w:qFormat/>
    <w:uiPriority w:val="0"/>
    <w:pPr>
      <w:keepNext w:val="0"/>
      <w:keepLines w:val="0"/>
      <w:widowControl/>
      <w:suppressLineNumbers w:val="0"/>
      <w:spacing w:before="0" w:beforeAutospacing="0" w:after="0" w:afterAutospacing="0"/>
      <w:ind w:left="0" w:right="0"/>
    </w:pPr>
    <w:rPr>
      <w:rFonts w:ascii="Times New Roman" w:hAnsi="Times New Roman" w:eastAsia="Times New Roman"/>
      <w:sz w:val="20"/>
      <w:szCs w:val="20"/>
    </w:rPr>
  </w:style>
  <w:style w:type="paragraph" w:customStyle="1" w:styleId="15">
    <w:name w:val="TOC 标题1"/>
    <w:basedOn w:val="4"/>
    <w:qFormat/>
    <w:uiPriority w:val="0"/>
    <w:pPr>
      <w:widowControl/>
      <w:numPr>
        <w:ilvl w:val="0"/>
        <w:numId w:val="0"/>
      </w:numPr>
      <w:spacing w:before="480" w:beforeAutospacing="0" w:after="0" w:afterAutospacing="0" w:line="276" w:lineRule="auto"/>
      <w:jc w:val="left"/>
      <w:outlineLvl w:val="9"/>
    </w:pPr>
    <w:rPr>
      <w:rFonts w:ascii="Cambria" w:hAnsi="Cambria" w:eastAsia="宋体"/>
      <w:color w:val="366091"/>
      <w:kern w:val="0"/>
      <w:sz w:val="28"/>
      <w:szCs w:val="28"/>
    </w:rPr>
  </w:style>
  <w:style w:type="character" w:customStyle="1" w:styleId="16">
    <w:name w:val="标题 1 Char"/>
    <w:link w:val="4"/>
    <w:uiPriority w:val="0"/>
    <w:rPr>
      <w:rFonts w:hint="eastAsia" w:ascii="宋体" w:hAnsi="宋体" w:eastAsia="宋体"/>
      <w:b/>
      <w:kern w:val="44"/>
      <w:sz w:val="32"/>
      <w:szCs w:val="44"/>
      <w:lang w:val="en-US" w:eastAsia="zh-CN" w:bidi="ar"/>
    </w:rPr>
  </w:style>
  <w:style w:type="character" w:customStyle="1" w:styleId="17">
    <w:name w:val="标题 2 Char"/>
    <w:link w:val="5"/>
    <w:uiPriority w:val="0"/>
    <w:rPr>
      <w:rFonts w:ascii="Arial" w:hAnsi="Arial" w:eastAsia="黑体"/>
      <w:b/>
      <w:kern w:val="2"/>
      <w:sz w:val="32"/>
      <w:szCs w:val="32"/>
      <w:lang w:val="en-US" w:eastAsia="zh-CN" w:bidi="ar"/>
    </w:rPr>
  </w:style>
  <w:style w:type="character" w:customStyle="1" w:styleId="18">
    <w:name w:val="标题 3 Char"/>
    <w:link w:val="6"/>
    <w:uiPriority w:val="0"/>
    <w:rPr>
      <w:rFonts w:hint="eastAsia" w:ascii="宋体" w:hAnsi="宋体" w:eastAsia="宋体"/>
      <w:b/>
      <w:kern w:val="2"/>
      <w:sz w:val="24"/>
      <w:szCs w:val="32"/>
      <w:lang w:val="en-US" w:eastAsia="zh-CN" w:bidi="ar"/>
    </w:rPr>
  </w:style>
  <w:style w:type="character" w:customStyle="1" w:styleId="19">
    <w:name w:val="标题 4 Char"/>
    <w:link w:val="7"/>
    <w:uiPriority w:val="0"/>
    <w:rPr>
      <w:rFonts w:ascii="Arial" w:hAnsi="Arial" w:eastAsia="黑体"/>
      <w:b/>
      <w:kern w:val="2"/>
      <w:sz w:val="28"/>
      <w:szCs w:val="28"/>
      <w:lang w:val="en-US" w:eastAsia="zh-CN" w:bidi="ar"/>
    </w:rPr>
  </w:style>
  <w:style w:type="character" w:customStyle="1" w:styleId="20">
    <w:name w:val="标题 5 Char"/>
    <w:link w:val="8"/>
    <w:uiPriority w:val="0"/>
    <w:rPr>
      <w:rFonts w:hint="eastAsia" w:ascii="宋体" w:hAnsi="宋体" w:eastAsia="宋体"/>
      <w:b/>
      <w:kern w:val="2"/>
      <w:sz w:val="28"/>
      <w:szCs w:val="21"/>
      <w:lang w:val="en-US" w:eastAsia="zh-CN" w:bidi="ar"/>
    </w:rPr>
  </w:style>
  <w:style w:type="character" w:customStyle="1" w:styleId="21">
    <w:name w:val="标题 6 Char"/>
    <w:link w:val="9"/>
    <w:uiPriority w:val="0"/>
    <w:rPr>
      <w:rFonts w:ascii="Arial" w:hAnsi="Arial" w:eastAsia="黑体"/>
      <w:b/>
      <w:bCs/>
      <w:sz w:val="24"/>
      <w:szCs w:val="24"/>
    </w:rPr>
  </w:style>
  <w:style w:type="character" w:customStyle="1" w:styleId="22">
    <w:name w:val="标题 7 Char"/>
    <w:link w:val="10"/>
    <w:uiPriority w:val="0"/>
    <w:rPr>
      <w:rFonts w:ascii="Times New Roman" w:hAnsi="Times New Roman"/>
      <w:b/>
      <w:bCs/>
      <w:sz w:val="24"/>
      <w:szCs w:val="24"/>
    </w:rPr>
  </w:style>
  <w:style w:type="character" w:customStyle="1" w:styleId="23">
    <w:name w:val="标题 8 Char"/>
    <w:link w:val="11"/>
    <w:uiPriority w:val="0"/>
    <w:rPr>
      <w:rFonts w:ascii="Arial" w:hAnsi="Arial" w:eastAsia="黑体"/>
      <w:sz w:val="24"/>
      <w:szCs w:val="24"/>
    </w:rPr>
  </w:style>
  <w:style w:type="character" w:customStyle="1" w:styleId="24">
    <w:name w:val="标题 9 Char"/>
    <w:link w:val="12"/>
    <w:uiPriority w:val="0"/>
    <w:rPr>
      <w:rFonts w:ascii="Arial" w:hAnsi="Arial" w:eastAsia="黑体"/>
      <w:sz w:val="21"/>
      <w:szCs w:val="21"/>
    </w:rPr>
  </w:style>
  <w:style w:type="paragraph" w:customStyle="1" w:styleId="25">
    <w:name w:val="正文缩进1"/>
    <w:basedOn w:val="1"/>
    <w:uiPriority w:val="0"/>
    <w:pPr>
      <w:spacing w:beforeAutospacing="0" w:afterAutospacing="0" w:line="360" w:lineRule="atLeast"/>
      <w:ind w:firstLine="420"/>
    </w:pPr>
    <w:rPr>
      <w:szCs w:val="20"/>
    </w:rPr>
  </w:style>
  <w:style w:type="paragraph" w:customStyle="1" w:styleId="26">
    <w:name w:val="文档结构图1"/>
    <w:basedOn w:val="1"/>
    <w:link w:val="27"/>
    <w:uiPriority w:val="0"/>
    <w:pPr>
      <w:shd w:val="clear" w:color="auto" w:fill="000080"/>
    </w:pPr>
    <w:rPr>
      <w:rFonts w:hint="eastAsia" w:ascii="宋体" w:hAnsi="宋体"/>
    </w:rPr>
  </w:style>
  <w:style w:type="character" w:customStyle="1" w:styleId="27">
    <w:name w:val="文档结构图 Char"/>
    <w:link w:val="26"/>
    <w:uiPriority w:val="0"/>
    <w:rPr>
      <w:rFonts w:hint="eastAsia" w:ascii="宋体" w:hAnsi="宋体" w:eastAsia="宋体"/>
      <w:kern w:val="2"/>
      <w:sz w:val="21"/>
      <w:szCs w:val="24"/>
      <w:shd w:val="clear" w:color="auto" w:fill="000080"/>
      <w:lang w:bidi="ar"/>
    </w:rPr>
  </w:style>
  <w:style w:type="paragraph" w:customStyle="1" w:styleId="28">
    <w:name w:val="引文目录标题1"/>
    <w:basedOn w:val="1"/>
    <w:uiPriority w:val="0"/>
    <w:pPr>
      <w:keepNext w:val="0"/>
      <w:keepLines w:val="0"/>
      <w:widowControl w:val="0"/>
      <w:suppressLineNumbers w:val="0"/>
      <w:spacing w:before="120" w:beforeAutospacing="0" w:after="0" w:afterAutospacing="0"/>
      <w:ind w:left="0" w:right="0"/>
      <w:jc w:val="both"/>
    </w:pPr>
    <w:rPr>
      <w:rFonts w:ascii="Arial" w:hAnsi="Arial" w:eastAsia="宋体"/>
      <w:kern w:val="2"/>
      <w:sz w:val="24"/>
      <w:szCs w:val="24"/>
      <w:lang w:val="en-US" w:eastAsia="zh-CN" w:bidi="ar"/>
    </w:rPr>
  </w:style>
  <w:style w:type="paragraph" w:customStyle="1" w:styleId="29">
    <w:name w:val="批注文字1"/>
    <w:basedOn w:val="1"/>
    <w:link w:val="30"/>
    <w:uiPriority w:val="0"/>
    <w:pPr>
      <w:jc w:val="left"/>
    </w:pPr>
    <w:rPr>
      <w:rFonts w:hint="eastAsia" w:ascii="宋体" w:hAnsi="宋体"/>
    </w:rPr>
  </w:style>
  <w:style w:type="character" w:customStyle="1" w:styleId="30">
    <w:name w:val="批注文字 Char2"/>
    <w:link w:val="29"/>
    <w:uiPriority w:val="0"/>
    <w:rPr>
      <w:rFonts w:hint="eastAsia" w:ascii="宋体" w:hAnsi="宋体" w:eastAsia="宋体"/>
      <w:kern w:val="2"/>
      <w:sz w:val="21"/>
      <w:szCs w:val="24"/>
      <w:lang w:val="en-US" w:eastAsia="zh-CN" w:bidi="ar"/>
    </w:rPr>
  </w:style>
  <w:style w:type="paragraph" w:customStyle="1" w:styleId="31">
    <w:name w:val="正文文本 31"/>
    <w:basedOn w:val="1"/>
    <w:link w:val="32"/>
    <w:uiPriority w:val="0"/>
    <w:pPr>
      <w:spacing w:beforeAutospacing="0" w:after="120" w:afterAutospacing="0"/>
    </w:pPr>
    <w:rPr>
      <w:rFonts w:hint="eastAsia" w:ascii="宋体" w:hAnsi="宋体"/>
      <w:sz w:val="16"/>
      <w:szCs w:val="21"/>
    </w:rPr>
  </w:style>
  <w:style w:type="character" w:customStyle="1" w:styleId="32">
    <w:name w:val="正文文本 3 Char"/>
    <w:link w:val="31"/>
    <w:uiPriority w:val="0"/>
    <w:rPr>
      <w:rFonts w:hint="eastAsia" w:ascii="宋体" w:hAnsi="宋体" w:eastAsia="宋体"/>
      <w:kern w:val="2"/>
      <w:sz w:val="16"/>
      <w:szCs w:val="21"/>
      <w:lang w:val="en-US" w:eastAsia="zh-CN" w:bidi="ar"/>
    </w:rPr>
  </w:style>
  <w:style w:type="paragraph" w:customStyle="1" w:styleId="33">
    <w:name w:val="结束语1"/>
    <w:basedOn w:val="1"/>
    <w:link w:val="34"/>
    <w:uiPriority w:val="0"/>
    <w:pPr>
      <w:ind w:left="100" w:leftChars="2100"/>
    </w:pPr>
    <w:rPr>
      <w:rFonts w:hint="eastAsia" w:ascii="宋体" w:hAnsi="宋体"/>
      <w:sz w:val="28"/>
      <w:szCs w:val="28"/>
    </w:rPr>
  </w:style>
  <w:style w:type="character" w:customStyle="1" w:styleId="34">
    <w:name w:val="结束语 Char"/>
    <w:link w:val="33"/>
    <w:uiPriority w:val="0"/>
    <w:rPr>
      <w:rFonts w:hint="eastAsia" w:ascii="宋体" w:hAnsi="宋体" w:eastAsia="宋体"/>
      <w:kern w:val="2"/>
      <w:sz w:val="28"/>
      <w:szCs w:val="28"/>
      <w:lang w:bidi="ar"/>
    </w:rPr>
  </w:style>
  <w:style w:type="paragraph" w:customStyle="1" w:styleId="35">
    <w:name w:val="正文文本1"/>
    <w:basedOn w:val="1"/>
    <w:link w:val="36"/>
    <w:uiPriority w:val="0"/>
    <w:pPr>
      <w:spacing w:beforeAutospacing="0" w:after="120" w:afterAutospacing="0"/>
    </w:pPr>
    <w:rPr>
      <w:rFonts w:hint="eastAsia" w:ascii="宋体" w:hAnsi="宋体"/>
      <w:sz w:val="32"/>
      <w:szCs w:val="21"/>
    </w:rPr>
  </w:style>
  <w:style w:type="character" w:customStyle="1" w:styleId="36">
    <w:name w:val="正文文本 Char"/>
    <w:link w:val="35"/>
    <w:uiPriority w:val="0"/>
    <w:rPr>
      <w:rFonts w:hint="eastAsia" w:ascii="宋体" w:hAnsi="宋体" w:eastAsia="宋体"/>
      <w:kern w:val="2"/>
      <w:sz w:val="32"/>
      <w:szCs w:val="21"/>
      <w:lang w:val="en-US" w:eastAsia="zh-CN" w:bidi="ar"/>
    </w:rPr>
  </w:style>
  <w:style w:type="paragraph" w:customStyle="1" w:styleId="37">
    <w:name w:val="正文文本缩进1"/>
    <w:basedOn w:val="1"/>
    <w:link w:val="38"/>
    <w:uiPriority w:val="0"/>
    <w:pPr>
      <w:spacing w:beforeAutospacing="0" w:after="120" w:afterAutospacing="0"/>
      <w:ind w:left="420" w:leftChars="200"/>
    </w:pPr>
    <w:rPr>
      <w:rFonts w:hint="eastAsia" w:ascii="宋体" w:hAnsi="宋体"/>
      <w:szCs w:val="21"/>
    </w:rPr>
  </w:style>
  <w:style w:type="character" w:customStyle="1" w:styleId="38">
    <w:name w:val="正文文本缩进 Char"/>
    <w:link w:val="37"/>
    <w:uiPriority w:val="0"/>
    <w:rPr>
      <w:rFonts w:hint="eastAsia" w:ascii="宋体" w:hAnsi="宋体" w:eastAsia="宋体"/>
      <w:kern w:val="2"/>
      <w:sz w:val="21"/>
      <w:szCs w:val="21"/>
      <w:lang w:val="en-US" w:eastAsia="zh-CN" w:bidi="ar"/>
    </w:rPr>
  </w:style>
  <w:style w:type="paragraph" w:customStyle="1" w:styleId="39">
    <w:name w:val="列表 21"/>
    <w:basedOn w:val="1"/>
    <w:uiPriority w:val="0"/>
    <w:pPr>
      <w:ind w:left="100" w:leftChars="200" w:hanging="200" w:hangingChars="200"/>
    </w:pPr>
    <w:rPr>
      <w:rFonts w:ascii="Times New Roman" w:hAnsi="Times New Roman"/>
    </w:rPr>
  </w:style>
  <w:style w:type="paragraph" w:customStyle="1" w:styleId="40">
    <w:name w:val="目录 31"/>
    <w:basedOn w:val="1"/>
    <w:uiPriority w:val="0"/>
    <w:pPr>
      <w:ind w:left="840" w:leftChars="400"/>
    </w:pPr>
    <w:rPr>
      <w:rFonts w:ascii="Times New Roman" w:hAnsi="Times New Roman"/>
    </w:rPr>
  </w:style>
  <w:style w:type="paragraph" w:customStyle="1" w:styleId="41">
    <w:name w:val="纯文本1"/>
    <w:basedOn w:val="1"/>
    <w:link w:val="42"/>
    <w:uiPriority w:val="0"/>
    <w:pPr>
      <w:keepNext w:val="0"/>
      <w:keepLines w:val="0"/>
      <w:widowControl w:val="0"/>
      <w:suppressLineNumbers w:val="0"/>
      <w:spacing w:before="0" w:beforeAutospacing="0" w:after="0" w:afterAutospacing="0"/>
      <w:ind w:left="0" w:right="0"/>
      <w:jc w:val="left"/>
    </w:pPr>
    <w:rPr>
      <w:rFonts w:hint="eastAsia" w:ascii="宋体" w:hAnsi="Courier New"/>
      <w:sz w:val="24"/>
      <w:szCs w:val="21"/>
    </w:rPr>
  </w:style>
  <w:style w:type="character" w:customStyle="1" w:styleId="42">
    <w:name w:val="纯文本 Char2"/>
    <w:link w:val="41"/>
    <w:uiPriority w:val="0"/>
    <w:rPr>
      <w:rFonts w:hint="eastAsia" w:ascii="宋体" w:hAnsi="Courier New" w:eastAsia="宋体"/>
      <w:kern w:val="2"/>
      <w:sz w:val="24"/>
      <w:szCs w:val="21"/>
      <w:lang w:bidi="ar"/>
    </w:rPr>
  </w:style>
  <w:style w:type="paragraph" w:customStyle="1" w:styleId="43">
    <w:name w:val="日期1"/>
    <w:basedOn w:val="1"/>
    <w:link w:val="44"/>
    <w:uiPriority w:val="0"/>
    <w:pPr>
      <w:keepNext w:val="0"/>
      <w:keepLines w:val="0"/>
      <w:widowControl w:val="0"/>
      <w:suppressLineNumbers w:val="0"/>
      <w:spacing w:before="0" w:beforeAutospacing="0" w:after="0" w:afterAutospacing="0"/>
      <w:ind w:left="0" w:right="0"/>
      <w:jc w:val="both"/>
    </w:pPr>
    <w:rPr>
      <w:rFonts w:hint="eastAsia" w:ascii="宋体" w:hAnsi="宋体"/>
      <w:szCs w:val="21"/>
    </w:rPr>
  </w:style>
  <w:style w:type="character" w:customStyle="1" w:styleId="44">
    <w:name w:val="日期 Char"/>
    <w:link w:val="43"/>
    <w:uiPriority w:val="0"/>
    <w:rPr>
      <w:rFonts w:hint="eastAsia" w:ascii="宋体" w:hAnsi="宋体" w:eastAsia="宋体"/>
      <w:kern w:val="2"/>
      <w:sz w:val="21"/>
      <w:szCs w:val="21"/>
      <w:lang w:val="en-US" w:eastAsia="zh-CN" w:bidi="ar"/>
    </w:rPr>
  </w:style>
  <w:style w:type="paragraph" w:customStyle="1" w:styleId="45">
    <w:name w:val="正文文本缩进 21"/>
    <w:basedOn w:val="1"/>
    <w:link w:val="46"/>
    <w:uiPriority w:val="0"/>
    <w:pPr>
      <w:spacing w:beforeAutospacing="0" w:after="120" w:afterAutospacing="0" w:line="480" w:lineRule="auto"/>
      <w:ind w:left="420" w:leftChars="200"/>
    </w:pPr>
    <w:rPr>
      <w:rFonts w:hint="eastAsia" w:ascii="宋体" w:hAnsi="宋体"/>
      <w:sz w:val="28"/>
    </w:rPr>
  </w:style>
  <w:style w:type="character" w:customStyle="1" w:styleId="46">
    <w:name w:val="正文文本缩进 2 Char"/>
    <w:link w:val="45"/>
    <w:uiPriority w:val="0"/>
    <w:rPr>
      <w:rFonts w:hint="eastAsia" w:ascii="宋体" w:hAnsi="宋体" w:eastAsia="宋体"/>
      <w:kern w:val="2"/>
      <w:sz w:val="28"/>
      <w:szCs w:val="24"/>
      <w:lang w:bidi="ar"/>
    </w:rPr>
  </w:style>
  <w:style w:type="paragraph" w:customStyle="1" w:styleId="47">
    <w:name w:val="批注框文本1"/>
    <w:basedOn w:val="1"/>
    <w:link w:val="48"/>
    <w:uiPriority w:val="0"/>
    <w:rPr>
      <w:rFonts w:hint="eastAsia" w:ascii="宋体" w:hAnsi="宋体"/>
      <w:sz w:val="18"/>
      <w:szCs w:val="18"/>
    </w:rPr>
  </w:style>
  <w:style w:type="character" w:customStyle="1" w:styleId="48">
    <w:name w:val="批注框文本 Char"/>
    <w:link w:val="47"/>
    <w:uiPriority w:val="0"/>
    <w:rPr>
      <w:rFonts w:hint="eastAsia" w:ascii="宋体" w:hAnsi="宋体" w:eastAsia="宋体"/>
      <w:kern w:val="2"/>
      <w:sz w:val="18"/>
      <w:szCs w:val="18"/>
      <w:lang w:val="en-US" w:eastAsia="zh-CN" w:bidi="ar"/>
    </w:rPr>
  </w:style>
  <w:style w:type="paragraph" w:customStyle="1" w:styleId="49">
    <w:name w:val="页脚1"/>
    <w:basedOn w:val="1"/>
    <w:link w:val="50"/>
    <w:uiPriority w:val="0"/>
    <w:pPr>
      <w:tabs>
        <w:tab w:val="center" w:pos="4153"/>
        <w:tab w:val="right" w:pos="8306"/>
      </w:tabs>
      <w:snapToGrid w:val="0"/>
      <w:jc w:val="left"/>
    </w:pPr>
    <w:rPr>
      <w:rFonts w:hint="eastAsia" w:ascii="宋体" w:hAnsi="宋体"/>
      <w:sz w:val="18"/>
      <w:szCs w:val="18"/>
    </w:rPr>
  </w:style>
  <w:style w:type="character" w:customStyle="1" w:styleId="50">
    <w:name w:val="页脚 Char"/>
    <w:link w:val="49"/>
    <w:uiPriority w:val="0"/>
    <w:rPr>
      <w:rFonts w:hint="eastAsia" w:ascii="宋体" w:hAnsi="宋体" w:eastAsia="宋体"/>
      <w:kern w:val="2"/>
      <w:sz w:val="18"/>
      <w:szCs w:val="18"/>
      <w:lang w:val="en-US" w:eastAsia="zh-CN" w:bidi="ar"/>
    </w:rPr>
  </w:style>
  <w:style w:type="paragraph" w:customStyle="1" w:styleId="51">
    <w:name w:val="页眉1"/>
    <w:basedOn w:val="1"/>
    <w:link w:val="52"/>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beforeAutospacing="0" w:afterAutospacing="0" w:line="240" w:lineRule="auto"/>
      <w:jc w:val="both"/>
      <w:outlineLvl w:val="9"/>
    </w:pPr>
    <w:rPr>
      <w:rFonts w:hint="eastAsia" w:ascii="宋体" w:hAnsi="宋体"/>
      <w:sz w:val="18"/>
      <w:szCs w:val="18"/>
    </w:rPr>
  </w:style>
  <w:style w:type="character" w:customStyle="1" w:styleId="52">
    <w:name w:val="页眉 Char"/>
    <w:link w:val="51"/>
    <w:uiPriority w:val="0"/>
    <w:rPr>
      <w:rFonts w:hint="eastAsia" w:ascii="宋体" w:hAnsi="宋体" w:eastAsia="宋体"/>
      <w:kern w:val="2"/>
      <w:sz w:val="18"/>
      <w:szCs w:val="18"/>
      <w:lang w:bidi="ar"/>
    </w:rPr>
  </w:style>
  <w:style w:type="paragraph" w:customStyle="1" w:styleId="53">
    <w:name w:val="目录 11"/>
    <w:basedOn w:val="1"/>
    <w:uiPriority w:val="0"/>
    <w:pPr>
      <w:keepNext w:val="0"/>
      <w:keepLines w:val="0"/>
      <w:widowControl w:val="0"/>
      <w:suppressLineNumbers w:val="0"/>
      <w:spacing w:before="120" w:beforeAutospacing="0" w:after="120" w:afterAutospacing="0"/>
      <w:ind w:left="0" w:right="0"/>
      <w:jc w:val="left"/>
    </w:pPr>
    <w:rPr>
      <w:rFonts w:ascii="Times New Roman" w:hAnsi="Times New Roman" w:eastAsia="宋体"/>
      <w:b/>
      <w:caps/>
      <w:kern w:val="2"/>
      <w:sz w:val="20"/>
      <w:szCs w:val="20"/>
      <w:lang w:val="en-US" w:eastAsia="zh-CN" w:bidi="ar"/>
    </w:rPr>
  </w:style>
  <w:style w:type="paragraph" w:customStyle="1" w:styleId="54">
    <w:name w:val="目录 41"/>
    <w:basedOn w:val="1"/>
    <w:uiPriority w:val="0"/>
    <w:pPr>
      <w:widowControl/>
      <w:ind w:left="600"/>
      <w:jc w:val="left"/>
    </w:pPr>
    <w:rPr>
      <w:rFonts w:ascii="Times New Roman" w:hAnsi="Times New Roman"/>
      <w:kern w:val="0"/>
      <w:sz w:val="20"/>
      <w:szCs w:val="21"/>
    </w:rPr>
  </w:style>
  <w:style w:type="paragraph" w:customStyle="1" w:styleId="55">
    <w:name w:val="正文文本缩进 31"/>
    <w:basedOn w:val="1"/>
    <w:link w:val="56"/>
    <w:uiPriority w:val="0"/>
    <w:pPr>
      <w:spacing w:beforeAutospacing="0" w:afterAutospacing="0" w:line="300" w:lineRule="auto"/>
      <w:ind w:firstLine="480" w:firstLineChars="200"/>
    </w:pPr>
    <w:rPr>
      <w:sz w:val="24"/>
    </w:rPr>
  </w:style>
  <w:style w:type="character" w:customStyle="1" w:styleId="56">
    <w:name w:val="正文文本缩进 3 Char"/>
    <w:link w:val="55"/>
    <w:uiPriority w:val="0"/>
    <w:rPr>
      <w:rFonts w:ascii="Times New Roman" w:hAnsi="Times New Roman"/>
      <w:kern w:val="2"/>
      <w:sz w:val="24"/>
      <w:szCs w:val="24"/>
    </w:rPr>
  </w:style>
  <w:style w:type="paragraph" w:customStyle="1" w:styleId="57">
    <w:name w:val="信息标题1"/>
    <w:basedOn w:val="1"/>
    <w:uiPriority w:val="0"/>
    <w:pPr>
      <w:pBdr>
        <w:top w:val="none" w:color="000000" w:sz="0" w:space="1"/>
        <w:left w:val="none" w:color="000000" w:sz="0" w:space="1"/>
        <w:bottom w:val="none" w:color="000000" w:sz="0" w:space="1"/>
        <w:right w:val="none" w:color="000000" w:sz="0" w:space="1"/>
      </w:pBdr>
      <w:ind w:left="1080" w:leftChars="500" w:hanging="1080" w:hangingChars="500"/>
    </w:pPr>
    <w:rPr>
      <w:rFonts w:ascii="Arial" w:hAnsi="Arial"/>
      <w:sz w:val="24"/>
    </w:rPr>
  </w:style>
  <w:style w:type="paragraph" w:customStyle="1" w:styleId="58">
    <w:name w:val="HTML 预设格式1"/>
    <w:basedOn w:val="1"/>
    <w:link w:val="59"/>
    <w:uiPriority w:val="0"/>
    <w:rPr>
      <w:rFonts w:hint="eastAsia" w:ascii="宋体" w:hAnsi="宋体"/>
      <w:kern w:val="0"/>
      <w:sz w:val="24"/>
      <w:szCs w:val="21"/>
    </w:rPr>
  </w:style>
  <w:style w:type="character" w:customStyle="1" w:styleId="59">
    <w:name w:val="HTML 预设格式 Char"/>
    <w:link w:val="58"/>
    <w:uiPriority w:val="0"/>
    <w:rPr>
      <w:rFonts w:hint="eastAsia" w:ascii="宋体" w:hAnsi="宋体" w:eastAsia="宋体"/>
      <w:sz w:val="24"/>
      <w:szCs w:val="21"/>
      <w:lang w:val="en-US" w:eastAsia="zh-CN" w:bidi="ar"/>
    </w:rPr>
  </w:style>
  <w:style w:type="paragraph" w:customStyle="1" w:styleId="60">
    <w:name w:val="普通(网站)1"/>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kern w:val="0"/>
      <w:sz w:val="24"/>
      <w:szCs w:val="24"/>
      <w:lang w:val="en-US" w:eastAsia="zh-CN" w:bidi="ar"/>
    </w:rPr>
  </w:style>
  <w:style w:type="paragraph" w:customStyle="1" w:styleId="61">
    <w:name w:val="标题1"/>
    <w:basedOn w:val="1"/>
    <w:link w:val="62"/>
    <w:uiPriority w:val="0"/>
    <w:pPr>
      <w:spacing w:before="240" w:beforeAutospacing="0" w:after="60" w:afterAutospacing="0"/>
      <w:jc w:val="center"/>
      <w:outlineLvl w:val="0"/>
    </w:pPr>
    <w:rPr>
      <w:rFonts w:ascii="Arial" w:hAnsi="Arial"/>
      <w:b/>
      <w:bCs/>
      <w:kern w:val="0"/>
      <w:sz w:val="32"/>
      <w:szCs w:val="32"/>
    </w:rPr>
  </w:style>
  <w:style w:type="character" w:customStyle="1" w:styleId="62">
    <w:name w:val="标题 Char"/>
    <w:link w:val="61"/>
    <w:uiPriority w:val="0"/>
    <w:rPr>
      <w:rFonts w:ascii="Arial" w:hAnsi="Arial"/>
      <w:b/>
      <w:bCs/>
      <w:sz w:val="32"/>
      <w:szCs w:val="32"/>
    </w:rPr>
  </w:style>
  <w:style w:type="paragraph" w:customStyle="1" w:styleId="63">
    <w:name w:val="批注主题1"/>
    <w:basedOn w:val="29"/>
    <w:link w:val="64"/>
    <w:uiPriority w:val="0"/>
    <w:rPr>
      <w:b/>
    </w:rPr>
  </w:style>
  <w:style w:type="character" w:customStyle="1" w:styleId="64">
    <w:name w:val="批注主题 Char"/>
    <w:link w:val="63"/>
    <w:uiPriority w:val="0"/>
    <w:rPr>
      <w:rFonts w:hint="eastAsia" w:ascii="宋体" w:hAnsi="宋体" w:eastAsia="宋体"/>
      <w:b/>
      <w:kern w:val="2"/>
      <w:sz w:val="21"/>
      <w:szCs w:val="24"/>
      <w:lang w:val="en-US" w:eastAsia="zh-CN" w:bidi="ar"/>
    </w:rPr>
  </w:style>
  <w:style w:type="table" w:customStyle="1" w:styleId="65">
    <w:name w:val="网格型1"/>
    <w:basedOn w:val="14"/>
    <w:uiPriority w:val="0"/>
    <w:pPr>
      <w:keepNext w:val="0"/>
      <w:keepLines w:val="0"/>
      <w:widowControl w:val="0"/>
      <w:suppressLineNumbers w:val="0"/>
      <w:spacing w:before="0" w:beforeAutospacing="0" w:after="0" w:afterAutospacing="0"/>
      <w:ind w:left="0" w:right="0"/>
      <w:jc w:val="both"/>
    </w:pPr>
    <w:rPr>
      <w:rFonts w:ascii="Times New Roman" w:hAnsi="Times New Roman"/>
      <w:sz w:val="20"/>
      <w:szCs w:val="20"/>
    </w:rPr>
  </w:style>
  <w:style w:type="character" w:customStyle="1" w:styleId="66">
    <w:name w:val="要点1"/>
    <w:link w:val="1"/>
    <w:uiPriority w:val="0"/>
    <w:rPr>
      <w:rFonts w:ascii="Times New Roman" w:hAnsi="Times New Roman" w:eastAsia="宋体"/>
      <w:b/>
      <w:szCs w:val="21"/>
    </w:rPr>
  </w:style>
  <w:style w:type="character" w:customStyle="1" w:styleId="67">
    <w:name w:val="页码1"/>
    <w:link w:val="1"/>
    <w:uiPriority w:val="0"/>
    <w:rPr>
      <w:rFonts w:ascii="Times New Roman" w:hAnsi="Times New Roman" w:eastAsia="宋体"/>
      <w:szCs w:val="21"/>
    </w:rPr>
  </w:style>
  <w:style w:type="character" w:customStyle="1" w:styleId="68">
    <w:name w:val="已访问的超链接1"/>
    <w:link w:val="1"/>
    <w:uiPriority w:val="0"/>
    <w:rPr>
      <w:color w:val="800080"/>
      <w:szCs w:val="21"/>
    </w:rPr>
  </w:style>
  <w:style w:type="character" w:customStyle="1" w:styleId="69">
    <w:name w:val="强调1"/>
    <w:link w:val="1"/>
    <w:uiPriority w:val="0"/>
    <w:rPr>
      <w:rFonts w:ascii="Times New Roman" w:hAnsi="Times New Roman" w:eastAsia="宋体"/>
      <w:i/>
      <w:szCs w:val="21"/>
    </w:rPr>
  </w:style>
  <w:style w:type="character" w:customStyle="1" w:styleId="70">
    <w:name w:val="HTML 定义1"/>
    <w:link w:val="1"/>
    <w:uiPriority w:val="0"/>
    <w:rPr>
      <w:i/>
      <w:szCs w:val="21"/>
    </w:rPr>
  </w:style>
  <w:style w:type="character" w:customStyle="1" w:styleId="71">
    <w:name w:val="超链接1"/>
    <w:link w:val="1"/>
    <w:uiPriority w:val="0"/>
    <w:rPr>
      <w:rFonts w:ascii="Times New Roman" w:hAnsi="Times New Roman" w:eastAsia="宋体"/>
      <w:color w:val="0000FF"/>
      <w:szCs w:val="21"/>
    </w:rPr>
  </w:style>
  <w:style w:type="character" w:customStyle="1" w:styleId="72">
    <w:name w:val="HTML 代码1"/>
    <w:link w:val="1"/>
    <w:uiPriority w:val="0"/>
    <w:rPr>
      <w:rFonts w:ascii="Consolas" w:hAnsi="Consolas" w:eastAsia="Consolas"/>
      <w:color w:val="C7254E"/>
      <w:sz w:val="21"/>
      <w:szCs w:val="21"/>
      <w:shd w:val="clear" w:color="auto" w:fill="F9F2F4"/>
    </w:rPr>
  </w:style>
  <w:style w:type="character" w:customStyle="1" w:styleId="73">
    <w:name w:val="批注引用1"/>
    <w:basedOn w:val="13"/>
    <w:link w:val="1"/>
    <w:uiPriority w:val="0"/>
    <w:rPr>
      <w:rFonts w:ascii="Times New Roman" w:hAnsi="Times New Roman" w:eastAsia="宋体"/>
      <w:sz w:val="21"/>
      <w:szCs w:val="21"/>
    </w:rPr>
  </w:style>
  <w:style w:type="character" w:customStyle="1" w:styleId="74">
    <w:name w:val="HTML 键盘1"/>
    <w:link w:val="1"/>
    <w:uiPriority w:val="0"/>
    <w:rPr>
      <w:rFonts w:ascii="Consolas" w:hAnsi="Consolas" w:eastAsia="Consolas"/>
      <w:color w:val="FFFFFF"/>
      <w:sz w:val="21"/>
      <w:szCs w:val="21"/>
      <w:shd w:val="clear" w:color="auto" w:fill="333333"/>
    </w:rPr>
  </w:style>
  <w:style w:type="character" w:customStyle="1" w:styleId="75">
    <w:name w:val="HTML 样本1"/>
    <w:link w:val="1"/>
    <w:uiPriority w:val="0"/>
    <w:rPr>
      <w:rFonts w:ascii="Consolas" w:hAnsi="Consolas" w:eastAsia="Consolas"/>
      <w:sz w:val="21"/>
      <w:szCs w:val="21"/>
    </w:rPr>
  </w:style>
  <w:style w:type="character" w:customStyle="1" w:styleId="76">
    <w:name w:val="font01"/>
    <w:link w:val="1"/>
    <w:uiPriority w:val="0"/>
    <w:rPr>
      <w:rFonts w:hint="eastAsia" w:ascii="宋体" w:hAnsi="宋体" w:eastAsia="宋体"/>
      <w:color w:val="000000"/>
      <w:sz w:val="24"/>
      <w:szCs w:val="24"/>
    </w:rPr>
  </w:style>
  <w:style w:type="character" w:customStyle="1" w:styleId="77">
    <w:name w:val="正文1"/>
    <w:link w:val="1"/>
    <w:uiPriority w:val="0"/>
    <w:rPr>
      <w:rFonts w:hint="eastAsia" w:ascii="宋体" w:hAnsi="宋体" w:eastAsia="宋体"/>
      <w:color w:val="000000"/>
      <w:szCs w:val="21"/>
    </w:rPr>
  </w:style>
  <w:style w:type="character" w:customStyle="1" w:styleId="78">
    <w:name w:val=" Char Char1"/>
    <w:link w:val="1"/>
    <w:uiPriority w:val="0"/>
    <w:rPr>
      <w:rFonts w:ascii="Times New Roman" w:hAnsi="Times New Roman" w:eastAsia="宋体"/>
      <w:b/>
      <w:kern w:val="44"/>
      <w:sz w:val="44"/>
      <w:szCs w:val="44"/>
      <w:lang w:val="en-US" w:eastAsia="zh-CN" w:bidi="ar"/>
    </w:rPr>
  </w:style>
  <w:style w:type="character" w:customStyle="1" w:styleId="79">
    <w:name w:val="标题 Char1"/>
    <w:link w:val="1"/>
    <w:uiPriority w:val="0"/>
    <w:rPr>
      <w:rFonts w:ascii="Cambria" w:hAnsi="Cambria" w:eastAsia="宋体"/>
      <w:b/>
      <w:bCs/>
      <w:sz w:val="32"/>
      <w:szCs w:val="32"/>
    </w:rPr>
  </w:style>
  <w:style w:type="character" w:customStyle="1" w:styleId="80">
    <w:name w:val="font11"/>
    <w:link w:val="1"/>
    <w:uiPriority w:val="0"/>
    <w:rPr>
      <w:rFonts w:hint="eastAsia" w:ascii="宋体" w:hAnsi="宋体" w:eastAsia="宋体"/>
      <w:color w:val="FF0000"/>
      <w:sz w:val="24"/>
      <w:szCs w:val="24"/>
    </w:rPr>
  </w:style>
  <w:style w:type="character" w:customStyle="1" w:styleId="81">
    <w:name w:val="标题 字符1"/>
    <w:link w:val="1"/>
    <w:uiPriority w:val="0"/>
    <w:rPr>
      <w:rFonts w:ascii="等线 Light" w:hAnsi="等线 Light"/>
      <w:b/>
      <w:bCs/>
      <w:kern w:val="2"/>
      <w:sz w:val="32"/>
      <w:szCs w:val="32"/>
    </w:rPr>
  </w:style>
  <w:style w:type="character" w:customStyle="1" w:styleId="82">
    <w:name w:val="标题 2 Char2"/>
    <w:link w:val="1"/>
    <w:uiPriority w:val="0"/>
    <w:rPr>
      <w:rFonts w:ascii="Arial" w:hAnsi="Arial" w:eastAsia="黑体"/>
      <w:b/>
      <w:kern w:val="2"/>
      <w:sz w:val="32"/>
      <w:szCs w:val="32"/>
      <w:lang w:val="en-US" w:eastAsia="zh-CN" w:bidi="ar"/>
    </w:rPr>
  </w:style>
  <w:style w:type="character" w:customStyle="1" w:styleId="83">
    <w:name w:val="12pl"/>
    <w:link w:val="1"/>
    <w:uiPriority w:val="0"/>
  </w:style>
  <w:style w:type="character" w:customStyle="1" w:styleId="84">
    <w:name w:val="标题 2 Char1"/>
    <w:link w:val="1"/>
    <w:uiPriority w:val="0"/>
    <w:rPr>
      <w:rFonts w:ascii="Arial" w:hAnsi="Arial" w:eastAsia="黑体"/>
      <w:b/>
      <w:kern w:val="2"/>
      <w:sz w:val="32"/>
      <w:szCs w:val="32"/>
      <w:lang w:val="en-US" w:eastAsia="zh-CN" w:bidi="ar"/>
    </w:rPr>
  </w:style>
  <w:style w:type="character" w:customStyle="1" w:styleId="85">
    <w:name w:val="纯文本 Char"/>
    <w:link w:val="1"/>
    <w:uiPriority w:val="0"/>
    <w:rPr>
      <w:rFonts w:hint="eastAsia" w:ascii="宋体" w:hAnsi="Courier New" w:eastAsia="宋体"/>
      <w:color w:val="000000"/>
      <w:kern w:val="2"/>
      <w:sz w:val="21"/>
      <w:szCs w:val="21"/>
      <w:lang w:bidi="ar"/>
    </w:rPr>
  </w:style>
  <w:style w:type="character" w:customStyle="1" w:styleId="86">
    <w:name w:val="anv320"/>
    <w:link w:val="1"/>
    <w:uiPriority w:val="0"/>
  </w:style>
  <w:style w:type="character" w:customStyle="1" w:styleId="87">
    <w:name w:val="disabled6"/>
    <w:link w:val="1"/>
    <w:uiPriority w:val="0"/>
    <w:rPr>
      <w:rFonts w:ascii="Times New Roman" w:hAnsi="Times New Roman" w:eastAsia="宋体"/>
      <w:color w:val="929292"/>
      <w:szCs w:val="21"/>
      <w:bdr w:val="single" w:color="000000" w:sz="6" w:space="0"/>
    </w:rPr>
  </w:style>
  <w:style w:type="character" w:customStyle="1" w:styleId="88">
    <w:name w:val=" Char Char Char Char Char Char"/>
    <w:link w:val="1"/>
    <w:uiPriority w:val="0"/>
    <w:rPr>
      <w:rFonts w:ascii="Times New Roman" w:hAnsi="Times New Roman" w:eastAsia="宋体"/>
      <w:b/>
      <w:kern w:val="2"/>
      <w:sz w:val="24"/>
      <w:szCs w:val="32"/>
      <w:lang w:val="en-US" w:eastAsia="zh-CN" w:bidi="ar"/>
    </w:rPr>
  </w:style>
  <w:style w:type="character" w:customStyle="1" w:styleId="89">
    <w:name w:val="批注文字 Char"/>
    <w:link w:val="1"/>
    <w:uiPriority w:val="0"/>
    <w:rPr>
      <w:rFonts w:ascii="Times New Roman" w:hAnsi="Times New Roman" w:eastAsia="宋体"/>
      <w:kern w:val="2"/>
      <w:sz w:val="21"/>
      <w:szCs w:val="24"/>
      <w:lang w:val="en-US" w:eastAsia="zh-CN" w:bidi="ar"/>
    </w:rPr>
  </w:style>
  <w:style w:type="character" w:customStyle="1" w:styleId="90">
    <w:name w:val="纯文本 Char Char"/>
    <w:link w:val="1"/>
    <w:uiPriority w:val="0"/>
    <w:rPr>
      <w:rFonts w:hint="eastAsia" w:ascii="宋体" w:hAnsi="Courier New" w:eastAsia="宋体"/>
      <w:kern w:val="2"/>
      <w:sz w:val="24"/>
      <w:szCs w:val="21"/>
      <w:lang w:val="en-US" w:eastAsia="zh-CN" w:bidi="ar"/>
    </w:rPr>
  </w:style>
  <w:style w:type="character" w:customStyle="1" w:styleId="91">
    <w:name w:val="font51"/>
    <w:link w:val="1"/>
    <w:uiPriority w:val="0"/>
    <w:rPr>
      <w:rFonts w:ascii="Times New Roman" w:hAnsi="Times New Roman"/>
      <w:color w:val="000000"/>
      <w:sz w:val="20"/>
      <w:szCs w:val="20"/>
    </w:rPr>
  </w:style>
  <w:style w:type="character" w:customStyle="1" w:styleId="92">
    <w:name w:val="批注文字 Char1"/>
    <w:link w:val="1"/>
    <w:uiPriority w:val="0"/>
    <w:rPr>
      <w:rFonts w:ascii="Times New Roman" w:hAnsi="Times New Roman" w:eastAsia="宋体"/>
      <w:szCs w:val="20"/>
    </w:rPr>
  </w:style>
  <w:style w:type="character" w:customStyle="1" w:styleId="93">
    <w:name w:val="dxs456"/>
    <w:link w:val="1"/>
    <w:uiPriority w:val="0"/>
  </w:style>
  <w:style w:type="character" w:customStyle="1" w:styleId="94">
    <w:name w:val="font61"/>
    <w:link w:val="1"/>
    <w:uiPriority w:val="0"/>
    <w:rPr>
      <w:rFonts w:ascii="Wingdings 2" w:hAnsi="Wingdings 2" w:eastAsia="Wingdings 2"/>
      <w:color w:val="000000"/>
      <w:sz w:val="20"/>
      <w:szCs w:val="20"/>
    </w:rPr>
  </w:style>
  <w:style w:type="character" w:customStyle="1" w:styleId="95">
    <w:name w:val=" Char Char Char"/>
    <w:link w:val="1"/>
    <w:uiPriority w:val="0"/>
    <w:rPr>
      <w:rFonts w:ascii="Arial" w:hAnsi="Arial" w:eastAsia="黑体"/>
      <w:b/>
      <w:kern w:val="2"/>
      <w:sz w:val="32"/>
      <w:szCs w:val="32"/>
      <w:lang w:val="en-US" w:eastAsia="zh-CN" w:bidi="ar"/>
    </w:rPr>
  </w:style>
  <w:style w:type="character" w:customStyle="1" w:styleId="96">
    <w:name w:val="font31"/>
    <w:link w:val="1"/>
    <w:uiPriority w:val="0"/>
    <w:rPr>
      <w:rFonts w:hint="eastAsia" w:ascii="宋体" w:hAnsi="宋体" w:eastAsia="宋体"/>
      <w:color w:val="000000"/>
      <w:sz w:val="24"/>
      <w:szCs w:val="24"/>
    </w:rPr>
  </w:style>
  <w:style w:type="character" w:customStyle="1" w:styleId="97">
    <w:name w:val="标题 3 Char Char"/>
    <w:link w:val="1"/>
    <w:uiPriority w:val="0"/>
    <w:rPr>
      <w:rFonts w:eastAsia="宋体"/>
      <w:b/>
      <w:sz w:val="32"/>
      <w:szCs w:val="21"/>
      <w:lang w:val="en-US" w:eastAsia="zh-CN" w:bidi="ar-SA"/>
    </w:rPr>
  </w:style>
  <w:style w:type="character" w:customStyle="1" w:styleId="98">
    <w:name w:val="纯文本 Char1"/>
    <w:link w:val="1"/>
    <w:semiHidden/>
    <w:uiPriority w:val="0"/>
    <w:rPr>
      <w:rFonts w:ascii="宋体" w:hAnsi="Courier New" w:eastAsia="宋体"/>
      <w:szCs w:val="21"/>
    </w:rPr>
  </w:style>
  <w:style w:type="character" w:customStyle="1" w:styleId="99">
    <w:name w:val="font21"/>
    <w:link w:val="1"/>
    <w:uiPriority w:val="0"/>
    <w:rPr>
      <w:rFonts w:ascii="Times New Roman" w:hAnsi="Times New Roman" w:eastAsia="宋体"/>
      <w:color w:val="000000"/>
      <w:sz w:val="24"/>
      <w:szCs w:val="24"/>
    </w:rPr>
  </w:style>
  <w:style w:type="paragraph" w:customStyle="1" w:styleId="100">
    <w:name w:val="p0"/>
    <w:basedOn w:val="1"/>
    <w:uiPriority w:val="0"/>
    <w:pPr>
      <w:keepNext w:val="0"/>
      <w:keepLines w:val="0"/>
      <w:widowControl/>
      <w:suppressLineNumbers w:val="0"/>
      <w:spacing w:before="0" w:beforeAutospacing="0" w:after="0" w:afterAutospacing="0"/>
      <w:ind w:left="0" w:right="0"/>
      <w:jc w:val="both"/>
    </w:pPr>
    <w:rPr>
      <w:rFonts w:ascii="Times New Roman" w:hAnsi="Times New Roman" w:eastAsia="宋体"/>
      <w:kern w:val="0"/>
      <w:sz w:val="21"/>
      <w:szCs w:val="21"/>
      <w:lang w:val="en-US" w:eastAsia="zh-CN" w:bidi="ar"/>
    </w:rPr>
  </w:style>
  <w:style w:type="paragraph" w:customStyle="1" w:styleId="101">
    <w:name w:val="Char Char Char Char Char Char"/>
    <w:basedOn w:val="1"/>
    <w:uiPriority w:val="0"/>
    <w:rPr>
      <w:rFonts w:ascii="Times New Roman" w:hAnsi="Times New Roman"/>
      <w:szCs w:val="21"/>
    </w:rPr>
  </w:style>
  <w:style w:type="paragraph" w:customStyle="1" w:styleId="102">
    <w:name w:val="1"/>
    <w:basedOn w:val="1"/>
    <w:uiPriority w:val="0"/>
    <w:pPr>
      <w:widowControl/>
      <w:spacing w:beforeAutospacing="0" w:after="160" w:afterAutospacing="0" w:line="240" w:lineRule="exact"/>
      <w:jc w:val="left"/>
    </w:pPr>
    <w:rPr>
      <w:rFonts w:ascii="Verdana" w:hAnsi="Verdana" w:eastAsia="楷体_GB2312"/>
      <w:b/>
      <w:i/>
      <w:iCs/>
      <w:color w:val="000000"/>
      <w:kern w:val="0"/>
      <w:sz w:val="20"/>
      <w:szCs w:val="20"/>
      <w:lang w:eastAsia="en-US"/>
    </w:rPr>
  </w:style>
  <w:style w:type="paragraph" w:customStyle="1" w:styleId="103">
    <w:name w:val="Char2"/>
    <w:basedOn w:val="1"/>
    <w:uiPriority w:val="0"/>
    <w:pPr>
      <w:widowControl/>
      <w:spacing w:beforeAutospacing="0" w:after="160" w:afterAutospacing="0" w:line="240" w:lineRule="exact"/>
      <w:jc w:val="left"/>
    </w:pPr>
    <w:rPr>
      <w:rFonts w:eastAsia="Verdana"/>
      <w:kern w:val="0"/>
      <w:sz w:val="20"/>
      <w:szCs w:val="20"/>
      <w:lang w:eastAsia="en-US" w:bidi="kn-IN"/>
    </w:rPr>
  </w:style>
  <w:style w:type="paragraph" w:customStyle="1" w:styleId="104">
    <w:name w:val="列出段落1"/>
    <w:basedOn w:val="1"/>
    <w:uiPriority w:val="0"/>
    <w:pPr>
      <w:ind w:firstLine="420" w:firstLineChars="200"/>
    </w:pPr>
    <w:rPr>
      <w:szCs w:val="21"/>
    </w:rPr>
  </w:style>
  <w:style w:type="paragraph" w:customStyle="1" w:styleId="105">
    <w:name w:val="Char Char Char"/>
    <w:basedOn w:val="1"/>
    <w:uiPriority w:val="0"/>
    <w:pPr>
      <w:spacing w:beforeAutospacing="0" w:afterAutospacing="0" w:line="360" w:lineRule="auto"/>
    </w:pPr>
    <w:rPr>
      <w:rFonts w:ascii="Times New Roman" w:hAnsi="Times New Roman"/>
      <w:kern w:val="0"/>
      <w:sz w:val="24"/>
      <w:szCs w:val="20"/>
    </w:rPr>
  </w:style>
  <w:style w:type="paragraph" w:customStyle="1" w:styleId="106">
    <w:name w:val="anv3201"/>
    <w:basedOn w:val="1"/>
    <w:uiPriority w:val="0"/>
    <w:pPr>
      <w:widowControl/>
      <w:spacing w:before="100" w:beforeAutospacing="1" w:after="100" w:afterAutospacing="1"/>
      <w:jc w:val="left"/>
    </w:pPr>
    <w:rPr>
      <w:rFonts w:ascii="宋体" w:hAnsi="宋体"/>
      <w:kern w:val="0"/>
      <w:sz w:val="24"/>
    </w:rPr>
  </w:style>
  <w:style w:type="paragraph" w:customStyle="1" w:styleId="107">
    <w:name w:val="Char Char1"/>
    <w:basedOn w:val="1"/>
    <w:uiPriority w:val="0"/>
    <w:rPr>
      <w:szCs w:val="21"/>
    </w:rPr>
  </w:style>
  <w:style w:type="paragraph" w:customStyle="1" w:styleId="108">
    <w:name w:val="(1)"/>
    <w:basedOn w:val="1"/>
    <w:uiPriority w:val="0"/>
    <w:pPr>
      <w:widowControl/>
      <w:tabs>
        <w:tab w:val="left" w:pos="2608"/>
      </w:tabs>
      <w:overflowPunct w:val="0"/>
      <w:autoSpaceDE w:val="0"/>
      <w:autoSpaceDN w:val="0"/>
      <w:spacing w:before="120" w:beforeAutospacing="0" w:after="120" w:afterAutospacing="0" w:line="264" w:lineRule="auto"/>
      <w:ind w:left="2608" w:hanging="567"/>
    </w:pPr>
    <w:rPr>
      <w:rFonts w:ascii="Times New Roman" w:hAnsi="Times New Roman"/>
      <w:kern w:val="0"/>
      <w:sz w:val="22"/>
      <w:szCs w:val="22"/>
    </w:rPr>
  </w:style>
  <w:style w:type="paragraph" w:customStyle="1" w:styleId="109">
    <w:name w:val="Char Char7 Char Char"/>
    <w:basedOn w:val="1"/>
    <w:uiPriority w:val="0"/>
    <w:rPr>
      <w:rFonts w:ascii="Times New Roman" w:hAnsi="Times New Roman"/>
      <w:szCs w:val="21"/>
    </w:rPr>
  </w:style>
  <w:style w:type="paragraph" w:customStyle="1" w:styleId="110">
    <w:name w:val="Char Char 字元 字元 字元 Char Char Char Char"/>
    <w:basedOn w:val="1"/>
    <w:uiPriority w:val="0"/>
    <w:pPr>
      <w:spacing w:beforeAutospacing="0" w:afterAutospacing="0" w:line="360" w:lineRule="auto"/>
    </w:pPr>
    <w:rPr>
      <w:rFonts w:ascii="Times New Roman" w:hAnsi="Times New Roman"/>
      <w:kern w:val="0"/>
      <w:sz w:val="24"/>
      <w:szCs w:val="20"/>
    </w:rPr>
  </w:style>
  <w:style w:type="paragraph" w:customStyle="1" w:styleId="111">
    <w:name w:val=" Char Char Char Char"/>
    <w:basedOn w:val="1"/>
    <w:uiPriority w:val="0"/>
    <w:pPr>
      <w:keepNext w:val="0"/>
      <w:keepLines w:val="0"/>
      <w:widowControl w:val="0"/>
      <w:suppressLineNumbers w:val="0"/>
      <w:spacing w:before="0" w:beforeAutospacing="0" w:after="0" w:afterAutospacing="0"/>
      <w:ind w:left="0" w:right="0"/>
      <w:jc w:val="both"/>
    </w:pPr>
    <w:rPr>
      <w:rFonts w:ascii="Times New Roman" w:hAnsi="Times New Roman" w:eastAsia="宋体"/>
      <w:kern w:val="0"/>
      <w:sz w:val="24"/>
      <w:szCs w:val="20"/>
      <w:lang w:val="en-US" w:eastAsia="zh-CN" w:bidi="ar"/>
    </w:rPr>
  </w:style>
  <w:style w:type="paragraph" w:customStyle="1" w:styleId="112">
    <w:name w:val="p18"/>
    <w:basedOn w:val="1"/>
    <w:uiPriority w:val="0"/>
    <w:pPr>
      <w:widowControl/>
    </w:pPr>
    <w:rPr>
      <w:rFonts w:ascii="Times New Roman" w:hAnsi="Times New Roman"/>
      <w:kern w:val="0"/>
      <w:szCs w:val="21"/>
    </w:rPr>
  </w:style>
  <w:style w:type="paragraph" w:customStyle="1" w:styleId="113">
    <w:name w:val="Char Char Char1 Char Char Char3 Char Char Char Char Char Char1 Char"/>
    <w:basedOn w:val="1"/>
    <w:uiPriority w:val="0"/>
    <w:pPr>
      <w:spacing w:beforeAutospacing="0" w:afterAutospacing="0" w:line="360" w:lineRule="atLeast"/>
      <w:jc w:val="left"/>
    </w:pPr>
    <w:rPr>
      <w:rFonts w:ascii="Tahoma" w:hAnsi="Tahoma"/>
      <w:kern w:val="0"/>
      <w:sz w:val="24"/>
      <w:szCs w:val="20"/>
    </w:rPr>
  </w:style>
  <w:style w:type="paragraph" w:customStyle="1" w:styleId="114">
    <w:name w:val="xl27"/>
    <w:basedOn w:val="1"/>
    <w:uiPriority w:val="0"/>
    <w:pPr>
      <w:keepNext w:val="0"/>
      <w:keepLines w:val="0"/>
      <w:widowControl/>
      <w:suppressLineNumbers w:val="0"/>
      <w:spacing w:before="100" w:beforeAutospacing="1" w:after="100" w:afterAutospacing="1"/>
      <w:ind w:left="0" w:right="0"/>
      <w:jc w:val="center"/>
    </w:pPr>
    <w:rPr>
      <w:rFonts w:ascii="Arial Unicode MS" w:hAnsi="Arial Unicode MS" w:eastAsia="Arial Unicode MS"/>
      <w:kern w:val="0"/>
      <w:sz w:val="24"/>
      <w:szCs w:val="24"/>
      <w:lang w:val="en-US" w:eastAsia="zh-CN" w:bidi="ar"/>
    </w:rPr>
  </w:style>
  <w:style w:type="paragraph" w:customStyle="1" w:styleId="115">
    <w:name w:val="标3"/>
    <w:basedOn w:val="1"/>
    <w:uiPriority w:val="0"/>
    <w:pPr>
      <w:tabs>
        <w:tab w:val="left" w:pos="720"/>
      </w:tabs>
      <w:snapToGrid w:val="0"/>
      <w:spacing w:before="50" w:beforeAutospacing="0" w:afterAutospacing="0"/>
      <w:ind w:left="720" w:hanging="720"/>
      <w:outlineLvl w:val="2"/>
    </w:pPr>
    <w:rPr>
      <w:rFonts w:ascii="Arial Narrow" w:hAnsi="Arial Narrow" w:eastAsia="仿宋_GB2312"/>
      <w:sz w:val="28"/>
      <w:szCs w:val="20"/>
    </w:rPr>
  </w:style>
  <w:style w:type="paragraph" w:customStyle="1" w:styleId="116">
    <w:name w:val="菲页(卷)"/>
    <w:basedOn w:val="4"/>
    <w:uiPriority w:val="0"/>
    <w:pPr>
      <w:keepLines w:val="0"/>
      <w:widowControl/>
      <w:tabs>
        <w:tab w:val="left" w:pos="432"/>
      </w:tabs>
      <w:spacing w:before="0" w:beforeAutospacing="0" w:after="0" w:afterAutospacing="0" w:line="240" w:lineRule="auto"/>
      <w:ind w:left="340" w:hanging="340"/>
      <w:jc w:val="center"/>
      <w:outlineLvl w:val="1"/>
    </w:pPr>
    <w:rPr>
      <w:rFonts w:ascii="黑体" w:hAnsi="Times New Roman" w:eastAsia="黑体"/>
      <w:b w:val="0"/>
      <w:kern w:val="0"/>
      <w:sz w:val="52"/>
      <w:szCs w:val="20"/>
    </w:rPr>
  </w:style>
  <w:style w:type="paragraph" w:customStyle="1" w:styleId="117">
    <w:name w:val="正文2"/>
    <w:basedOn w:val="1"/>
    <w:uiPriority w:val="0"/>
    <w:pPr>
      <w:spacing w:before="156" w:beforeAutospacing="0" w:afterAutospacing="0" w:line="360" w:lineRule="auto"/>
      <w:ind w:firstLine="510" w:firstLineChars="200"/>
    </w:pPr>
    <w:rPr>
      <w:rFonts w:ascii="Times New Roman" w:hAnsi="Times New Roman"/>
      <w:sz w:val="24"/>
      <w:szCs w:val="20"/>
    </w:rPr>
  </w:style>
  <w:style w:type="paragraph" w:customStyle="1" w:styleId="118">
    <w:name w:val="表格"/>
    <w:basedOn w:val="1"/>
    <w:uiPriority w:val="0"/>
    <w:pPr>
      <w:spacing w:before="60" w:beforeAutospacing="0" w:after="60" w:afterAutospacing="0"/>
    </w:pPr>
    <w:rPr>
      <w:rFonts w:ascii="Times New Roman" w:hAnsi="Times New Roman"/>
      <w:sz w:val="24"/>
      <w:szCs w:val="20"/>
    </w:rPr>
  </w:style>
  <w:style w:type="paragraph" w:customStyle="1" w:styleId="119">
    <w:name w:val="P1"/>
    <w:uiPriority w:val="0"/>
    <w:pPr>
      <w:widowControl w:val="0"/>
      <w:spacing w:beforeAutospacing="0" w:after="240" w:afterAutospacing="0" w:line="0" w:lineRule="atLeast"/>
      <w:ind w:left="2304" w:hanging="576"/>
      <w:jc w:val="both"/>
    </w:pPr>
    <w:rPr>
      <w:rFonts w:ascii="Times New Roman" w:hAnsi="Times New Roman" w:eastAsia="全真中明體" w:cs="Times New Roman"/>
      <w:spacing w:val="30"/>
      <w:sz w:val="24"/>
      <w:lang w:val="en-GB" w:eastAsia="zh-TW" w:bidi="ar-SA"/>
    </w:rPr>
  </w:style>
  <w:style w:type="paragraph" w:customStyle="1" w:styleId="120">
    <w:name w:val="sma."/>
    <w:basedOn w:val="1"/>
    <w:uiPriority w:val="0"/>
    <w:pPr>
      <w:widowControl/>
      <w:tabs>
        <w:tab w:val="left" w:pos="1496"/>
      </w:tabs>
      <w:spacing w:before="240" w:beforeAutospacing="0" w:afterAutospacing="0" w:line="240" w:lineRule="atLeast"/>
      <w:ind w:left="1496" w:hanging="454"/>
    </w:pPr>
    <w:rPr>
      <w:rFonts w:ascii="Times New Roman" w:hAnsi="Times New Roman"/>
      <w:sz w:val="24"/>
    </w:rPr>
  </w:style>
  <w:style w:type="paragraph" w:customStyle="1" w:styleId="121">
    <w:name w:val="列出段落"/>
    <w:basedOn w:val="1"/>
    <w:uiPriority w:val="0"/>
    <w:pPr>
      <w:ind w:firstLine="420" w:firstLineChars="200"/>
    </w:pPr>
    <w:rPr>
      <w:szCs w:val="22"/>
    </w:rPr>
  </w:style>
  <w:style w:type="paragraph" w:customStyle="1" w:styleId="122">
    <w:name w:val="1."/>
    <w:basedOn w:val="1"/>
    <w:uiPriority w:val="0"/>
    <w:pPr>
      <w:widowControl/>
      <w:tabs>
        <w:tab w:val="left" w:pos="1134"/>
      </w:tabs>
      <w:spacing w:before="240" w:beforeAutospacing="0" w:afterAutospacing="0" w:line="240" w:lineRule="atLeast"/>
      <w:ind w:left="1134" w:hanging="454"/>
    </w:pPr>
    <w:rPr>
      <w:rFonts w:ascii="Times New Roman" w:hAnsi="Times New Roman"/>
      <w:sz w:val="24"/>
    </w:rPr>
  </w:style>
  <w:style w:type="paragraph" w:customStyle="1" w:styleId="123">
    <w:name w:val="Table Paragraph"/>
    <w:basedOn w:val="1"/>
    <w:uiPriority w:val="0"/>
    <w:rPr>
      <w:rFonts w:ascii="仿宋" w:hAnsi="仿宋" w:eastAsia="仿宋"/>
      <w:lang w:val="zh-CN" w:eastAsia="zh-CN" w:bidi="zh-CN"/>
    </w:rPr>
  </w:style>
  <w:style w:type="paragraph" w:customStyle="1" w:styleId="124">
    <w:name w:val="菲页2"/>
    <w:basedOn w:val="6"/>
    <w:uiPriority w:val="0"/>
    <w:pPr>
      <w:widowControl/>
      <w:tabs>
        <w:tab w:val="left" w:pos="720"/>
      </w:tabs>
      <w:spacing w:before="120" w:beforeAutospacing="0" w:after="120" w:afterAutospacing="0"/>
      <w:ind w:left="720" w:hanging="720"/>
      <w:jc w:val="center"/>
    </w:pPr>
    <w:rPr>
      <w:rFonts w:ascii="黑体" w:hAnsi="宋体" w:eastAsia="黑体"/>
      <w:b w:val="0"/>
      <w:kern w:val="0"/>
      <w:sz w:val="44"/>
      <w:szCs w:val="20"/>
    </w:rPr>
  </w:style>
  <w:style w:type="paragraph" w:customStyle="1" w:styleId="125">
    <w:name w:val="Char Char Char Char"/>
    <w:basedOn w:val="1"/>
    <w:uiPriority w:val="0"/>
    <w:rPr>
      <w:rFonts w:ascii="Times New Roman" w:hAnsi="Times New Roman"/>
      <w:kern w:val="0"/>
      <w:sz w:val="24"/>
      <w:szCs w:val="20"/>
    </w:rPr>
  </w:style>
  <w:style w:type="paragraph" w:customStyle="1" w:styleId="126">
    <w:name w:val="B"/>
    <w:basedOn w:val="1"/>
    <w:uiPriority w:val="0"/>
    <w:pPr>
      <w:widowControl/>
      <w:tabs>
        <w:tab w:val="left" w:pos="1200"/>
      </w:tabs>
      <w:spacing w:before="240" w:beforeAutospacing="0" w:afterAutospacing="0" w:line="240" w:lineRule="atLeast"/>
    </w:pPr>
    <w:rPr>
      <w:rFonts w:ascii="Times New Roman" w:hAnsi="Times New Roman"/>
      <w:sz w:val="24"/>
    </w:rPr>
  </w:style>
  <w:style w:type="paragraph" w:customStyle="1" w:styleId="127">
    <w:name w:val="P3"/>
    <w:uiPriority w:val="0"/>
    <w:pPr>
      <w:widowControl w:val="0"/>
      <w:spacing w:beforeAutospacing="0" w:after="240" w:afterAutospacing="0" w:line="0" w:lineRule="atLeast"/>
      <w:ind w:left="2880" w:hanging="576"/>
      <w:jc w:val="both"/>
    </w:pPr>
    <w:rPr>
      <w:rFonts w:ascii="Times New Roman" w:hAnsi="Times New Roman" w:eastAsia="全真中明體" w:cs="Times New Roman"/>
      <w:spacing w:val="30"/>
      <w:sz w:val="24"/>
      <w:lang w:val="en-GB" w:eastAsia="zh-TW" w:bidi="ar-SA"/>
    </w:rPr>
  </w:style>
  <w:style w:type="paragraph" w:customStyle="1" w:styleId="128">
    <w:name w:val="样式1"/>
    <w:basedOn w:val="1"/>
    <w:uiPriority w:val="0"/>
    <w:pPr>
      <w:spacing w:before="120" w:beforeAutospacing="0" w:after="120" w:afterAutospacing="0" w:line="300" w:lineRule="auto"/>
    </w:pPr>
    <w:rPr>
      <w:rFonts w:ascii="宋体" w:hAnsi="宋体"/>
      <w:b/>
      <w:sz w:val="24"/>
      <w:szCs w:val="20"/>
    </w:rPr>
  </w:style>
  <w:style w:type="paragraph" w:customStyle="1" w:styleId="129">
    <w:name w:val="text"/>
    <w:basedOn w:val="1"/>
    <w:uiPriority w:val="0"/>
    <w:pPr>
      <w:widowControl/>
      <w:tabs>
        <w:tab w:val="left" w:pos="1020"/>
        <w:tab w:val="left" w:pos="1090"/>
      </w:tabs>
      <w:overflowPunct w:val="0"/>
      <w:autoSpaceDE w:val="0"/>
      <w:autoSpaceDN w:val="0"/>
      <w:spacing w:beforeAutospacing="0" w:after="60" w:afterAutospacing="0" w:line="264" w:lineRule="auto"/>
      <w:ind w:left="1098" w:leftChars="522" w:hanging="2"/>
    </w:pPr>
    <w:rPr>
      <w:rFonts w:ascii="Times New Roman" w:hAnsi="Times New Roman"/>
      <w:kern w:val="0"/>
      <w:sz w:val="24"/>
    </w:rPr>
  </w:style>
  <w:style w:type="paragraph" w:customStyle="1" w:styleId="130">
    <w:name w:val="i."/>
    <w:basedOn w:val="1"/>
    <w:uiPriority w:val="0"/>
    <w:pPr>
      <w:tabs>
        <w:tab w:val="left" w:pos="2041"/>
        <w:tab w:val="left" w:pos="2308"/>
      </w:tabs>
      <w:spacing w:before="60" w:beforeAutospacing="0" w:after="60" w:afterAutospacing="0" w:line="264" w:lineRule="auto"/>
      <w:ind w:left="2041" w:hanging="453"/>
    </w:pPr>
    <w:rPr>
      <w:rFonts w:ascii="Times New Roman" w:hAnsi="Times New Roman"/>
      <w:sz w:val="22"/>
      <w:szCs w:val="22"/>
    </w:rPr>
  </w:style>
  <w:style w:type="paragraph" w:customStyle="1" w:styleId="131">
    <w:name w:val="样式3"/>
    <w:basedOn w:val="41"/>
    <w:uiPriority w:val="0"/>
    <w:pPr>
      <w:spacing w:beforeAutospacing="0" w:afterAutospacing="0" w:line="0" w:lineRule="atLeast"/>
      <w:jc w:val="both"/>
      <w:outlineLvl w:val="0"/>
    </w:pPr>
    <w:rPr>
      <w:rFonts w:eastAsia="宋体"/>
      <w:sz w:val="28"/>
      <w:szCs w:val="22"/>
    </w:rPr>
  </w:style>
  <w:style w:type="paragraph" w:customStyle="1" w:styleId="132">
    <w:name w:val="样式6"/>
    <w:basedOn w:val="61"/>
    <w:uiPriority w:val="0"/>
    <w:rPr>
      <w:rFonts w:ascii="仿宋_GB2312" w:eastAsia="仿宋_GB2312"/>
      <w:sz w:val="36"/>
      <w:szCs w:val="36"/>
    </w:rPr>
  </w:style>
  <w:style w:type="paragraph" w:customStyle="1" w:styleId="133">
    <w:name w:val="Char"/>
    <w:basedOn w:val="1"/>
    <w:uiPriority w:val="0"/>
    <w:rPr>
      <w:rFonts w:ascii="Times New Roman" w:hAnsi="Times New Roman"/>
    </w:rPr>
  </w:style>
  <w:style w:type="paragraph" w:customStyle="1" w:styleId="134">
    <w:name w:val="Default"/>
    <w:uiPriority w:val="0"/>
    <w:pPr>
      <w:widowControl w:val="0"/>
      <w:autoSpaceDE w:val="0"/>
      <w:autoSpaceDN w:val="0"/>
    </w:pPr>
    <w:rPr>
      <w:rFonts w:ascii="宋体" w:hAnsi="Times New Roman" w:eastAsia="宋体" w:cs="Times New Roman"/>
      <w:color w:val="000000"/>
      <w:sz w:val="24"/>
      <w:szCs w:val="24"/>
      <w:lang w:val="en-US" w:eastAsia="zh-CN" w:bidi="ar-SA"/>
    </w:rPr>
  </w:style>
  <w:style w:type="paragraph" w:customStyle="1" w:styleId="135">
    <w:name w:val="目录文字"/>
    <w:basedOn w:val="1"/>
    <w:uiPriority w:val="0"/>
    <w:pPr>
      <w:widowControl/>
      <w:spacing w:beforeAutospacing="0" w:afterAutospacing="0" w:line="480" w:lineRule="auto"/>
      <w:jc w:val="left"/>
    </w:pPr>
    <w:rPr>
      <w:rFonts w:ascii="宋体" w:hAnsi="宋体"/>
      <w:kern w:val="0"/>
      <w:sz w:val="24"/>
      <w:szCs w:val="20"/>
    </w:rPr>
  </w:style>
  <w:style w:type="paragraph" w:customStyle="1" w:styleId="136">
    <w:name w:val="A."/>
    <w:basedOn w:val="1"/>
    <w:uiPriority w:val="0"/>
    <w:pPr>
      <w:widowControl/>
      <w:tabs>
        <w:tab w:val="left" w:pos="680"/>
        <w:tab w:val="left" w:pos="1200"/>
      </w:tabs>
      <w:spacing w:before="240" w:beforeAutospacing="0" w:afterAutospacing="0" w:line="240" w:lineRule="atLeast"/>
      <w:ind w:left="680" w:hanging="453"/>
    </w:pPr>
    <w:rPr>
      <w:rFonts w:ascii="Times New Roman" w:hAnsi="Times New Roman"/>
      <w:sz w:val="24"/>
    </w:rPr>
  </w:style>
  <w:style w:type="paragraph" w:customStyle="1" w:styleId="137">
    <w:name w:val="reader-word-layer reader-word-s46-2"/>
    <w:basedOn w:val="1"/>
    <w:uiPriority w:val="0"/>
    <w:pPr>
      <w:widowControl/>
      <w:spacing w:before="280" w:beforeAutospacing="0" w:after="280" w:afterAutospacing="0"/>
    </w:pPr>
    <w:rPr>
      <w:rFonts w:ascii="宋体" w:hAnsi="Calibri"/>
      <w:sz w:val="24"/>
    </w:rPr>
  </w:style>
  <w:style w:type="paragraph" w:customStyle="1" w:styleId="138">
    <w:name w:val="xl35"/>
    <w:basedOn w:val="1"/>
    <w:uiPriority w:val="0"/>
    <w:pPr>
      <w:widowControl/>
      <w:shd w:val="clear" w:color="FFFFFF" w:fill="FFFFFF"/>
      <w:spacing w:before="280" w:beforeAutospacing="0" w:after="280" w:afterAutospacing="0"/>
    </w:pPr>
    <w:rPr>
      <w:rFonts w:ascii="Arial Unicode MS" w:hAnsi="Calibri" w:eastAsia="Arial Unicode MS"/>
      <w:sz w:val="24"/>
    </w:rPr>
  </w:style>
  <w:style w:type="paragraph" w:customStyle="1" w:styleId="139">
    <w:name w:val="WPSOffice手动目录 1"/>
    <w:uiPriority w:val="0"/>
    <w:pPr>
      <w:ind w:leftChars="0"/>
    </w:pPr>
    <w:rPr>
      <w:rFonts w:ascii="Times New Roman" w:hAnsi="Times New Roman" w:eastAsia="宋体" w:cs="Times New Roman"/>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20032</Words>
  <Characters>22615</Characters>
  <Lines>0</Lines>
  <Paragraphs>0</Paragraphs>
  <TotalTime>40</TotalTime>
  <ScaleCrop>false</ScaleCrop>
  <LinksUpToDate>false</LinksUpToDate>
  <CharactersWithSpaces>23861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2023-03-03T03:15:00Z</dcterms:created>
  <dc:creator>Administrator</dc:creator>
  <cp:lastModifiedBy>王来彬</cp:lastModifiedBy>
  <dcterms:modified xsi:type="dcterms:W3CDTF">2023-03-03T07:04:00Z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BE0883E72F124AB49C78E29549F7AD18</vt:lpwstr>
  </property>
</Properties>
</file>